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0D" w:rsidRDefault="008249E0" w:rsidP="0014210D">
      <w:pPr>
        <w:pStyle w:val="Title"/>
      </w:pPr>
      <w:r>
        <w:t xml:space="preserve">LAW 7632 </w:t>
      </w:r>
      <w:bookmarkStart w:id="0" w:name="_GoBack"/>
      <w:bookmarkEnd w:id="0"/>
      <w:r w:rsidR="0014210D">
        <w:t>DEFERRED COMPENSATION</w:t>
      </w:r>
    </w:p>
    <w:p w:rsidR="0014210D" w:rsidRDefault="007E1DB2" w:rsidP="0014210D">
      <w:pPr>
        <w:jc w:val="center"/>
        <w:rPr>
          <w:b/>
        </w:rPr>
      </w:pPr>
      <w:r>
        <w:rPr>
          <w:b/>
        </w:rPr>
        <w:t>Spring</w:t>
      </w:r>
      <w:r w:rsidR="0014210D">
        <w:rPr>
          <w:b/>
        </w:rPr>
        <w:t xml:space="preserve"> 201</w:t>
      </w:r>
      <w:r w:rsidR="00242D63">
        <w:rPr>
          <w:b/>
        </w:rPr>
        <w:t>8</w:t>
      </w:r>
    </w:p>
    <w:p w:rsidR="00296017" w:rsidRDefault="00094176" w:rsidP="0014210D">
      <w:pPr>
        <w:jc w:val="center"/>
        <w:rPr>
          <w:b/>
        </w:rPr>
      </w:pPr>
      <w:r>
        <w:rPr>
          <w:b/>
        </w:rPr>
        <w:t>T</w:t>
      </w:r>
      <w:r w:rsidR="003B3A61">
        <w:rPr>
          <w:b/>
        </w:rPr>
        <w:t>u</w:t>
      </w:r>
      <w:r>
        <w:rPr>
          <w:b/>
        </w:rPr>
        <w:t>e</w:t>
      </w:r>
      <w:r w:rsidR="003B3A61">
        <w:rPr>
          <w:b/>
        </w:rPr>
        <w:t xml:space="preserve">s </w:t>
      </w:r>
      <w:r>
        <w:rPr>
          <w:b/>
        </w:rPr>
        <w:t>3:00</w:t>
      </w:r>
      <w:r w:rsidR="009D40BA">
        <w:rPr>
          <w:b/>
        </w:rPr>
        <w:t xml:space="preserve">– </w:t>
      </w:r>
      <w:r>
        <w:rPr>
          <w:b/>
        </w:rPr>
        <w:t>4</w:t>
      </w:r>
      <w:r w:rsidR="009D40BA">
        <w:rPr>
          <w:b/>
        </w:rPr>
        <w:t>:</w:t>
      </w:r>
      <w:r>
        <w:rPr>
          <w:b/>
        </w:rPr>
        <w:t>4</w:t>
      </w:r>
      <w:r w:rsidR="007E1DB2">
        <w:rPr>
          <w:b/>
        </w:rPr>
        <w:t>0</w:t>
      </w:r>
      <w:r w:rsidR="00296017">
        <w:rPr>
          <w:b/>
        </w:rPr>
        <w:t xml:space="preserve"> PM</w:t>
      </w:r>
    </w:p>
    <w:p w:rsidR="0014210D" w:rsidRDefault="0014210D" w:rsidP="0014210D">
      <w:pPr>
        <w:jc w:val="center"/>
        <w:rPr>
          <w:b/>
        </w:rPr>
      </w:pPr>
      <w:r>
        <w:rPr>
          <w:b/>
        </w:rPr>
        <w:t>Prof. Dilley</w:t>
      </w:r>
    </w:p>
    <w:p w:rsidR="00B85279" w:rsidRDefault="00B85279" w:rsidP="00B85279">
      <w:pPr>
        <w:rPr>
          <w:b/>
        </w:rPr>
      </w:pPr>
      <w:r>
        <w:rPr>
          <w:b/>
        </w:rPr>
        <w:t>Office:  312K</w:t>
      </w:r>
    </w:p>
    <w:p w:rsidR="00B85279" w:rsidRDefault="00B85279" w:rsidP="00B85279">
      <w:pPr>
        <w:rPr>
          <w:b/>
        </w:rPr>
      </w:pPr>
      <w:r>
        <w:rPr>
          <w:b/>
        </w:rPr>
        <w:t>Phone: 273-0916</w:t>
      </w:r>
    </w:p>
    <w:p w:rsidR="00B85279" w:rsidRDefault="00B85279" w:rsidP="00B85279">
      <w:pPr>
        <w:rPr>
          <w:b/>
        </w:rPr>
      </w:pPr>
      <w:r>
        <w:rPr>
          <w:b/>
        </w:rPr>
        <w:t xml:space="preserve">E-mail: </w:t>
      </w:r>
      <w:hyperlink r:id="rId5" w:history="1">
        <w:r w:rsidRPr="00074C91">
          <w:rPr>
            <w:rStyle w:val="Hyperlink"/>
            <w:b/>
          </w:rPr>
          <w:t>dilley@law.ufl.edu/</w:t>
        </w:r>
      </w:hyperlink>
      <w:r>
        <w:rPr>
          <w:b/>
        </w:rPr>
        <w:t xml:space="preserve"> </w:t>
      </w:r>
      <w:hyperlink r:id="rId6" w:history="1">
        <w:r w:rsidRPr="00074C91">
          <w:rPr>
            <w:rStyle w:val="Hyperlink"/>
            <w:b/>
          </w:rPr>
          <w:t>ped1@cox.net</w:t>
        </w:r>
      </w:hyperlink>
    </w:p>
    <w:p w:rsidR="00B85279" w:rsidRDefault="00B85279" w:rsidP="00B85279">
      <w:pPr>
        <w:rPr>
          <w:b/>
        </w:rPr>
      </w:pPr>
      <w:r>
        <w:rPr>
          <w:b/>
        </w:rPr>
        <w:t xml:space="preserve">Office Hours:  </w:t>
      </w:r>
      <w:r w:rsidR="00094176">
        <w:rPr>
          <w:b/>
        </w:rPr>
        <w:t>B</w:t>
      </w:r>
      <w:r w:rsidR="003B3A61">
        <w:rPr>
          <w:b/>
        </w:rPr>
        <w:t>y appointment</w:t>
      </w:r>
    </w:p>
    <w:p w:rsidR="0014210D" w:rsidRDefault="0014210D" w:rsidP="0014210D">
      <w:pPr>
        <w:jc w:val="center"/>
        <w:rPr>
          <w:b/>
        </w:rPr>
      </w:pPr>
    </w:p>
    <w:p w:rsidR="0014210D" w:rsidRDefault="00B85279" w:rsidP="0014210D">
      <w:pPr>
        <w:jc w:val="center"/>
        <w:rPr>
          <w:b/>
        </w:rPr>
      </w:pPr>
      <w:r>
        <w:rPr>
          <w:b/>
        </w:rPr>
        <w:t>Syllabus</w:t>
      </w:r>
    </w:p>
    <w:p w:rsidR="0014210D" w:rsidRDefault="009D40BA" w:rsidP="0014210D">
      <w:pPr>
        <w:pStyle w:val="Heading1"/>
        <w:spacing w:after="120"/>
      </w:pPr>
      <w:r>
        <w:t xml:space="preserve">Required Materials: </w:t>
      </w:r>
    </w:p>
    <w:p w:rsidR="009D40BA" w:rsidRDefault="009D40BA" w:rsidP="009D40BA">
      <w:pPr>
        <w:rPr>
          <w:b/>
        </w:rPr>
      </w:pPr>
      <w:r>
        <w:rPr>
          <w:b/>
        </w:rPr>
        <w:t xml:space="preserve">Textbook:  </w:t>
      </w:r>
      <w:r w:rsidR="00242D63">
        <w:rPr>
          <w:b/>
        </w:rPr>
        <w:t xml:space="preserve">Pensions and </w:t>
      </w:r>
      <w:r>
        <w:rPr>
          <w:b/>
        </w:rPr>
        <w:t>Employee Benefits Law</w:t>
      </w:r>
      <w:r w:rsidR="00242D63">
        <w:rPr>
          <w:b/>
        </w:rPr>
        <w:t xml:space="preserve">, </w:t>
      </w:r>
      <w:proofErr w:type="spellStart"/>
      <w:r w:rsidR="00242D63">
        <w:rPr>
          <w:b/>
        </w:rPr>
        <w:t>Langbein</w:t>
      </w:r>
      <w:proofErr w:type="spellEnd"/>
      <w:r w:rsidR="00242D63">
        <w:rPr>
          <w:b/>
        </w:rPr>
        <w:t xml:space="preserve">, Pratt, Stabile and </w:t>
      </w:r>
      <w:proofErr w:type="spellStart"/>
      <w:r w:rsidR="00242D63">
        <w:rPr>
          <w:b/>
        </w:rPr>
        <w:t>Stumpff</w:t>
      </w:r>
      <w:proofErr w:type="spellEnd"/>
      <w:r w:rsidR="00242D63">
        <w:rPr>
          <w:b/>
        </w:rPr>
        <w:t>, 6</w:t>
      </w:r>
      <w:r w:rsidR="00242D63" w:rsidRPr="00242D63">
        <w:rPr>
          <w:b/>
          <w:vertAlign w:val="superscript"/>
        </w:rPr>
        <w:t>th</w:t>
      </w:r>
      <w:r w:rsidR="00242D63">
        <w:rPr>
          <w:b/>
        </w:rPr>
        <w:t xml:space="preserve"> edition</w:t>
      </w:r>
    </w:p>
    <w:p w:rsidR="00A00D8F" w:rsidRDefault="00A00D8F" w:rsidP="00A00D8F">
      <w:pPr>
        <w:spacing w:after="120"/>
        <w:rPr>
          <w:b/>
        </w:rPr>
      </w:pPr>
      <w:r w:rsidRPr="00542080">
        <w:rPr>
          <w:b/>
        </w:rPr>
        <w:t>Code and Regulations</w:t>
      </w:r>
      <w:r>
        <w:rPr>
          <w:b/>
        </w:rPr>
        <w:t xml:space="preserve"> – </w:t>
      </w:r>
      <w:r w:rsidRPr="00242D63">
        <w:t>Volumes Required for Graduate Tax Program</w:t>
      </w:r>
      <w:r>
        <w:rPr>
          <w:b/>
        </w:rPr>
        <w:t xml:space="preserve"> </w:t>
      </w:r>
    </w:p>
    <w:p w:rsidR="009D40BA" w:rsidRPr="009D40BA" w:rsidRDefault="009D40BA" w:rsidP="009D40BA">
      <w:pPr>
        <w:rPr>
          <w:b/>
        </w:rPr>
      </w:pPr>
    </w:p>
    <w:p w:rsidR="0014210D" w:rsidRDefault="0014210D" w:rsidP="0014210D">
      <w:pPr>
        <w:spacing w:after="120"/>
      </w:pPr>
      <w:r w:rsidRPr="00542080">
        <w:rPr>
          <w:b/>
        </w:rPr>
        <w:t>Deferred Compensation Teaching Materials</w:t>
      </w:r>
      <w:r>
        <w:rPr>
          <w:b/>
        </w:rPr>
        <w:t xml:space="preserve"> [</w:t>
      </w:r>
      <w:r>
        <w:t>“</w:t>
      </w:r>
      <w:r>
        <w:rPr>
          <w:b/>
        </w:rPr>
        <w:t>Materials</w:t>
      </w:r>
      <w:r w:rsidRPr="00B41AAD">
        <w:rPr>
          <w:b/>
        </w:rPr>
        <w:t>]</w:t>
      </w:r>
      <w:r>
        <w:t xml:space="preserve"> : </w:t>
      </w:r>
      <w:r w:rsidR="009D40BA">
        <w:t>Additional</w:t>
      </w:r>
      <w:r>
        <w:t xml:space="preserve"> materials </w:t>
      </w:r>
      <w:r w:rsidR="009D40BA">
        <w:t xml:space="preserve">and problems </w:t>
      </w:r>
      <w:r>
        <w:t xml:space="preserve">will be available on the course web site on LEXIS.  The web site for the course </w:t>
      </w:r>
      <w:r w:rsidR="006D0EA9">
        <w:t xml:space="preserve">will be up Jan. </w:t>
      </w:r>
      <w:proofErr w:type="gramStart"/>
      <w:r w:rsidR="00242D63">
        <w:t>3</w:t>
      </w:r>
      <w:r w:rsidR="00242D63" w:rsidRPr="00242D63">
        <w:rPr>
          <w:vertAlign w:val="superscript"/>
        </w:rPr>
        <w:t>rd</w:t>
      </w:r>
      <w:r w:rsidR="00242D63">
        <w:t xml:space="preserve"> </w:t>
      </w:r>
      <w:r>
        <w:t xml:space="preserve"> through</w:t>
      </w:r>
      <w:proofErr w:type="gramEnd"/>
      <w:r>
        <w:t xml:space="preserve"> LEXIS’s Web Courses.  Be sure you are registered with LEXIS, including giving them a valid e-mail address so that you can register for the web site and have access to course materials.  If you have any difficulties either with getting to the web site, or downloading the materials, please e-mail me at dilley@law.ufl.edu.    You need to bring to </w:t>
      </w:r>
      <w:r w:rsidRPr="00CF606F">
        <w:rPr>
          <w:u w:val="single"/>
        </w:rPr>
        <w:t>every</w:t>
      </w:r>
      <w:r>
        <w:t xml:space="preserve"> class the appropriate volumes of the Code and Regulations necessary for that day's discussion.</w:t>
      </w:r>
    </w:p>
    <w:p w:rsidR="00242D63" w:rsidRDefault="00242D63" w:rsidP="0014210D">
      <w:pPr>
        <w:spacing w:after="120"/>
        <w:rPr>
          <w:b/>
        </w:rPr>
      </w:pPr>
      <w:r>
        <w:rPr>
          <w:b/>
        </w:rPr>
        <w:t xml:space="preserve">Course Description: </w:t>
      </w:r>
      <w:r>
        <w:t>This course will provide an overview of the taxation of deferred compensation, both in the qualified and nonqualified contex</w:t>
      </w:r>
      <w:r w:rsidR="002F3FF2">
        <w:t>t, as well some aspects of the labor law side of the Employee Retirement Income Security Act.</w:t>
      </w:r>
    </w:p>
    <w:p w:rsidR="00296017" w:rsidRDefault="00296017" w:rsidP="0014210D">
      <w:pPr>
        <w:spacing w:after="120"/>
      </w:pPr>
      <w:r>
        <w:rPr>
          <w:b/>
        </w:rPr>
        <w:t xml:space="preserve">Course Objectives:  </w:t>
      </w:r>
      <w:r>
        <w:t>Students should develop a sound grasp of the basic principles of deferral and of the technical requirements for qualified and nonqualified plans.</w:t>
      </w:r>
      <w:r w:rsidR="00242D63">
        <w:t xml:space="preserve"> </w:t>
      </w:r>
    </w:p>
    <w:p w:rsidR="009671AA" w:rsidRDefault="00372D8F" w:rsidP="0014210D">
      <w:pPr>
        <w:spacing w:after="120"/>
        <w:rPr>
          <w:b/>
        </w:rPr>
      </w:pPr>
      <w:r>
        <w:rPr>
          <w:b/>
        </w:rPr>
        <w:t xml:space="preserve">Expected </w:t>
      </w:r>
      <w:r w:rsidR="002F3FF2">
        <w:rPr>
          <w:b/>
        </w:rPr>
        <w:t xml:space="preserve">Learning Outcomes: </w:t>
      </w:r>
    </w:p>
    <w:p w:rsidR="004769E7" w:rsidRDefault="009671AA" w:rsidP="004769E7">
      <w:pPr>
        <w:spacing w:after="120"/>
      </w:pPr>
      <w:r>
        <w:rPr>
          <w:b/>
        </w:rPr>
        <w:t xml:space="preserve">Skills: </w:t>
      </w:r>
      <w:r w:rsidR="002F3FF2">
        <w:t xml:space="preserve">Through the use of class discussion of cases and statutes, and of problems requiring careful reading and application of the statute, regulations and other guidance, students will </w:t>
      </w:r>
      <w:r>
        <w:t>develop</w:t>
      </w:r>
      <w:r w:rsidR="002F3FF2">
        <w:t xml:space="preserve"> and practice skills in statutory</w:t>
      </w:r>
      <w:r>
        <w:t xml:space="preserve"> </w:t>
      </w:r>
      <w:r>
        <w:lastRenderedPageBreak/>
        <w:t>and regulatory</w:t>
      </w:r>
      <w:r w:rsidR="002F3FF2">
        <w:t xml:space="preserve"> interpretation that are the bedrock skill set of every tax practitioner.</w:t>
      </w:r>
      <w:r>
        <w:t xml:space="preserve">  Students will also, thru reading and class discussion, further develop their analytical skills to enable them to identify the tax and employee benefit issues presented by clients and accurately apply the law to develop strategies to deal with those issues.</w:t>
      </w:r>
    </w:p>
    <w:p w:rsidR="009671AA" w:rsidRPr="004769E7" w:rsidRDefault="009671AA" w:rsidP="004769E7">
      <w:pPr>
        <w:spacing w:after="120"/>
      </w:pPr>
      <w:r>
        <w:rPr>
          <w:b/>
        </w:rPr>
        <w:t>Subject Matter Understanding:</w:t>
      </w:r>
      <w:r>
        <w:t xml:space="preserve"> </w:t>
      </w:r>
      <w:r>
        <w:rPr>
          <w:b/>
        </w:rPr>
        <w:t xml:space="preserve"> </w:t>
      </w:r>
      <w:r w:rsidR="004769E7">
        <w:t>By the end of the semester, students should have an understanding of the major components of employee benefit law, focusing on the major areas of taxation, including (for qualified plans) vesting, nondiscrimination, contribution and benefit calculations especially in the §401(k) context, and distributions, as well as some areas of the labor law aspects of ERISA, especially spousal interests.  Students will also learn the major components of nonqualified deferred compensation arrangements for executives, for both cash and stock deferral plans.  In all of these areas, students will gain an understanding of the basic building blocks of the various plans, and most importantly will develop the analytical and research tools to learn additional information in areas we don’t have time to cover, in order to serve their future clients’ needs.</w:t>
      </w:r>
    </w:p>
    <w:p w:rsidR="009671AA" w:rsidRPr="009671AA" w:rsidRDefault="004769E7" w:rsidP="009671AA">
      <w:pPr>
        <w:shd w:val="clear" w:color="auto" w:fill="FFFFFF"/>
        <w:spacing w:before="100" w:beforeAutospacing="1" w:after="120" w:afterAutospacing="1"/>
      </w:pPr>
      <w:r>
        <w:rPr>
          <w:b/>
        </w:rPr>
        <w:t>S</w:t>
      </w:r>
      <w:r w:rsidR="009671AA" w:rsidRPr="009671AA">
        <w:rPr>
          <w:b/>
        </w:rPr>
        <w:t xml:space="preserve">tudent Workload/Class Preparation:  </w:t>
      </w:r>
      <w:r w:rsidR="009671AA" w:rsidRPr="009671AA">
        <w:rPr>
          <w:color w:val="000000"/>
          <w:szCs w:val="24"/>
        </w:rPr>
        <w:t xml:space="preserve">ABA Standard 310 requires that students devote at least 120 minutes to out-of-class preparation for every “classroom hour” of in-class instruction. Deferred Compensation has 2 “classroom hours” of in-class instruction each week, and you should expect to spend at least 6 hours of preparation outside of class. Because the course includes statutory and regulatory excerpts that require careful reading, as well as </w:t>
      </w:r>
      <w:r w:rsidR="00D53642">
        <w:rPr>
          <w:color w:val="000000"/>
          <w:szCs w:val="24"/>
        </w:rPr>
        <w:t>p</w:t>
      </w:r>
      <w:r w:rsidR="009671AA" w:rsidRPr="009671AA">
        <w:rPr>
          <w:color w:val="000000"/>
          <w:szCs w:val="24"/>
        </w:rPr>
        <w:t>roblems that require thoughtful advance written preparation, you should spend at least one hour on every 10-15 pages of reading.</w:t>
      </w:r>
      <w:r w:rsidR="00D53642">
        <w:rPr>
          <w:color w:val="000000"/>
          <w:szCs w:val="24"/>
        </w:rPr>
        <w:t xml:space="preserve">  Please prepare written answers to problems in advance of class.</w:t>
      </w:r>
    </w:p>
    <w:p w:rsidR="00296017" w:rsidRDefault="00296017" w:rsidP="00CA01F5">
      <w:pPr>
        <w:spacing w:after="120"/>
        <w:rPr>
          <w:b/>
        </w:rPr>
      </w:pPr>
      <w:r>
        <w:rPr>
          <w:b/>
        </w:rPr>
        <w:t>Evaluation</w:t>
      </w:r>
    </w:p>
    <w:p w:rsidR="003B3A61" w:rsidRDefault="00C76055" w:rsidP="00CA01F5">
      <w:pPr>
        <w:spacing w:after="120"/>
      </w:pPr>
      <w:r>
        <w:t>Grades will be based on a combination of final exam performance</w:t>
      </w:r>
      <w:r w:rsidR="003B3A61">
        <w:t xml:space="preserve"> and </w:t>
      </w:r>
      <w:r>
        <w:t xml:space="preserve">class participation generally, final exam </w:t>
      </w:r>
      <w:r w:rsidR="003B3A61">
        <w:t>7</w:t>
      </w:r>
      <w:r>
        <w:t>0%</w:t>
      </w:r>
      <w:r w:rsidR="003B3A61">
        <w:t xml:space="preserve"> </w:t>
      </w:r>
      <w:r w:rsidR="00534599">
        <w:t xml:space="preserve">and </w:t>
      </w:r>
      <w:r>
        <w:t xml:space="preserve">class </w:t>
      </w:r>
      <w:r w:rsidR="00816F7B">
        <w:t xml:space="preserve">participation </w:t>
      </w:r>
      <w:r w:rsidR="003B3A61">
        <w:t>3</w:t>
      </w:r>
      <w:r>
        <w:t xml:space="preserve">0%.  </w:t>
      </w:r>
    </w:p>
    <w:p w:rsidR="002F3FF2" w:rsidRDefault="002F3FF2" w:rsidP="002F3FF2">
      <w:pPr>
        <w:shd w:val="clear" w:color="auto" w:fill="FFFFFF"/>
        <w:rPr>
          <w:rFonts w:ascii="Calibri" w:hAnsi="Calibri" w:cs="Calibri"/>
          <w:color w:val="212121"/>
          <w:sz w:val="22"/>
        </w:rPr>
      </w:pPr>
      <w:r>
        <w:rPr>
          <w:color w:val="000000"/>
        </w:rPr>
        <w:t>The law school’s mean and mandatory distributions are posted on the College’s website and this course will adhere to the College’s posted grading policy in your syllabus.  The following chart shows the point equivalents for the letter grades that will be used:</w:t>
      </w:r>
    </w:p>
    <w:p w:rsidR="002F3FF2" w:rsidRDefault="002F3FF2" w:rsidP="002F3FF2">
      <w:pPr>
        <w:shd w:val="clear" w:color="auto" w:fill="FFFFFF"/>
        <w:rPr>
          <w:rFonts w:ascii="Calibri" w:hAnsi="Calibri" w:cs="Calibri"/>
          <w:color w:val="212121"/>
        </w:rPr>
      </w:pPr>
      <w:r>
        <w:rPr>
          <w:color w:val="000000"/>
        </w:rPr>
        <w:t> </w:t>
      </w:r>
    </w:p>
    <w:tbl>
      <w:tblPr>
        <w:tblW w:w="0" w:type="auto"/>
        <w:shd w:val="clear" w:color="auto" w:fill="FFFFFF"/>
        <w:tblCellMar>
          <w:left w:w="0" w:type="dxa"/>
          <w:right w:w="0" w:type="dxa"/>
        </w:tblCellMar>
        <w:tblLook w:val="04A0" w:firstRow="1" w:lastRow="0" w:firstColumn="1" w:lastColumn="0" w:noHBand="0" w:noVBand="1"/>
      </w:tblPr>
      <w:tblGrid>
        <w:gridCol w:w="3116"/>
        <w:gridCol w:w="3117"/>
      </w:tblGrid>
      <w:tr w:rsidR="002F3FF2" w:rsidTr="002F3FF2">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b/>
                <w:bCs/>
                <w:color w:val="212121"/>
                <w:sz w:val="28"/>
                <w:szCs w:val="28"/>
              </w:rPr>
              <w:t>Letter Grade</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b/>
                <w:bCs/>
                <w:color w:val="212121"/>
                <w:sz w:val="28"/>
                <w:szCs w:val="28"/>
              </w:rPr>
              <w:t>Point Equivalent</w:t>
            </w:r>
          </w:p>
        </w:tc>
      </w:tr>
      <w:tr w:rsidR="002F3FF2" w:rsidTr="002F3FF2">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A (Excellent)</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4.0</w:t>
            </w:r>
          </w:p>
        </w:tc>
      </w:tr>
      <w:tr w:rsidR="002F3FF2" w:rsidTr="002F3FF2">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A-</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3.67</w:t>
            </w:r>
          </w:p>
        </w:tc>
      </w:tr>
      <w:tr w:rsidR="002F3FF2" w:rsidTr="002F3FF2">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3.33</w:t>
            </w:r>
          </w:p>
        </w:tc>
      </w:tr>
      <w:tr w:rsidR="002F3FF2" w:rsidTr="002F3FF2">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lastRenderedPageBreak/>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3.0</w:t>
            </w:r>
          </w:p>
        </w:tc>
      </w:tr>
      <w:tr w:rsidR="002F3FF2" w:rsidTr="002F3FF2">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2.67</w:t>
            </w:r>
          </w:p>
        </w:tc>
      </w:tr>
      <w:tr w:rsidR="002F3FF2" w:rsidTr="002F3FF2">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2.33</w:t>
            </w:r>
          </w:p>
        </w:tc>
      </w:tr>
      <w:tr w:rsidR="002F3FF2" w:rsidTr="002F3FF2">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C (Satisfactory)</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2.0</w:t>
            </w:r>
          </w:p>
        </w:tc>
      </w:tr>
      <w:tr w:rsidR="002F3FF2" w:rsidTr="002F3FF2">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1.67</w:t>
            </w:r>
          </w:p>
        </w:tc>
      </w:tr>
      <w:tr w:rsidR="002F3FF2" w:rsidTr="002F3FF2">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1.33</w:t>
            </w:r>
          </w:p>
        </w:tc>
      </w:tr>
      <w:tr w:rsidR="002F3FF2" w:rsidTr="002F3FF2">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D (Poor)</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1.0</w:t>
            </w:r>
          </w:p>
        </w:tc>
      </w:tr>
      <w:tr w:rsidR="002F3FF2" w:rsidTr="002F3FF2">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0.67</w:t>
            </w:r>
          </w:p>
        </w:tc>
      </w:tr>
      <w:tr w:rsidR="002F3FF2" w:rsidTr="002F3FF2">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E (Failure)</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0.0</w:t>
            </w:r>
          </w:p>
        </w:tc>
      </w:tr>
      <w:tr w:rsidR="002F3FF2" w:rsidTr="002F3FF2">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3FF2" w:rsidRDefault="002F3FF2">
            <w:pPr>
              <w:spacing w:line="276" w:lineRule="auto"/>
              <w:rPr>
                <w:rFonts w:ascii="Calibri" w:hAnsi="Calibri" w:cs="Calibri"/>
                <w:color w:val="212121"/>
              </w:rPr>
            </w:pPr>
            <w:r>
              <w:rPr>
                <w:color w:val="212121"/>
              </w:rPr>
              <w:t> </w:t>
            </w:r>
          </w:p>
        </w:tc>
      </w:tr>
    </w:tbl>
    <w:p w:rsidR="00C76055" w:rsidRDefault="00C76055" w:rsidP="00CA01F5">
      <w:pPr>
        <w:spacing w:after="120"/>
        <w:rPr>
          <w:b/>
        </w:rPr>
      </w:pPr>
      <w:r>
        <w:rPr>
          <w:b/>
        </w:rPr>
        <w:t>Class Attendance Policy</w:t>
      </w:r>
    </w:p>
    <w:p w:rsidR="00C76055" w:rsidRDefault="00C76055" w:rsidP="00CA01F5">
      <w:pPr>
        <w:spacing w:after="120"/>
      </w:pPr>
      <w:r>
        <w:t xml:space="preserve"> Class attendance is mandatory – if you must miss more than</w:t>
      </w:r>
      <w:r w:rsidR="007D4759">
        <w:t xml:space="preserve"> 2</w:t>
      </w:r>
      <w:r>
        <w:t xml:space="preserve"> classes during the semester</w:t>
      </w:r>
      <w:r w:rsidR="00D53642">
        <w:t xml:space="preserve"> for health or family reasons</w:t>
      </w:r>
      <w:r>
        <w:t xml:space="preserve">, please see me.  More than </w:t>
      </w:r>
      <w:r w:rsidR="00603522">
        <w:t>2</w:t>
      </w:r>
      <w:r>
        <w:t xml:space="preserve"> unexcused absences </w:t>
      </w:r>
      <w:r w:rsidR="007D4759">
        <w:t>will result in a half a grade reduction in your</w:t>
      </w:r>
      <w:r>
        <w:t xml:space="preserve"> final grade.</w:t>
      </w:r>
    </w:p>
    <w:p w:rsidR="00C76055" w:rsidRDefault="00C76055" w:rsidP="00C76055">
      <w:pPr>
        <w:spacing w:after="120" w:line="276" w:lineRule="auto"/>
        <w:rPr>
          <w:rFonts w:eastAsiaTheme="minorEastAsia"/>
          <w:b/>
          <w:sz w:val="22"/>
          <w:szCs w:val="22"/>
        </w:rPr>
      </w:pPr>
      <w:r w:rsidRPr="00C76055">
        <w:rPr>
          <w:rFonts w:eastAsiaTheme="minorEastAsia"/>
          <w:b/>
          <w:sz w:val="22"/>
          <w:szCs w:val="22"/>
        </w:rPr>
        <w:t xml:space="preserve">Policy related to Make-up exams </w:t>
      </w:r>
    </w:p>
    <w:p w:rsidR="00C76055" w:rsidRDefault="00C76055" w:rsidP="00C76055">
      <w:pPr>
        <w:spacing w:after="120" w:line="276" w:lineRule="auto"/>
        <w:rPr>
          <w:rFonts w:eastAsiaTheme="minorEastAsia"/>
          <w:sz w:val="22"/>
          <w:szCs w:val="22"/>
        </w:rPr>
      </w:pPr>
      <w:r w:rsidRPr="00C76055">
        <w:rPr>
          <w:rFonts w:eastAsiaTheme="minorEastAsia"/>
          <w:sz w:val="22"/>
          <w:szCs w:val="22"/>
        </w:rPr>
        <w:t xml:space="preserve">The law school policy on delay in taking exams can be found at: </w:t>
      </w:r>
      <w:hyperlink r:id="rId7" w:anchor="12" w:history="1">
        <w:r w:rsidRPr="00C76055">
          <w:rPr>
            <w:rFonts w:eastAsiaTheme="minorEastAsia"/>
            <w:color w:val="0000FF" w:themeColor="hyperlink"/>
            <w:sz w:val="22"/>
            <w:szCs w:val="22"/>
            <w:u w:val="single"/>
          </w:rPr>
          <w:t>http://www.law.ufl.edu/students/policies.shtml#12</w:t>
        </w:r>
      </w:hyperlink>
      <w:r w:rsidRPr="00C76055">
        <w:rPr>
          <w:rFonts w:eastAsiaTheme="minorEastAsia"/>
          <w:sz w:val="22"/>
          <w:szCs w:val="22"/>
        </w:rPr>
        <w:t xml:space="preserve">. </w:t>
      </w:r>
    </w:p>
    <w:p w:rsidR="00F64D58" w:rsidRDefault="00F64D58" w:rsidP="00C76055">
      <w:pPr>
        <w:spacing w:line="276" w:lineRule="auto"/>
        <w:rPr>
          <w:rFonts w:eastAsiaTheme="minorEastAsia"/>
          <w:sz w:val="22"/>
          <w:szCs w:val="22"/>
        </w:rPr>
      </w:pPr>
    </w:p>
    <w:p w:rsidR="00F64D58" w:rsidRDefault="00997A93" w:rsidP="00997A93">
      <w:pPr>
        <w:spacing w:after="120" w:line="276" w:lineRule="auto"/>
        <w:rPr>
          <w:rFonts w:eastAsiaTheme="minorEastAsia"/>
          <w:b/>
          <w:sz w:val="22"/>
          <w:szCs w:val="22"/>
        </w:rPr>
      </w:pPr>
      <w:r>
        <w:rPr>
          <w:rFonts w:eastAsiaTheme="minorEastAsia"/>
          <w:b/>
          <w:sz w:val="22"/>
          <w:szCs w:val="22"/>
        </w:rPr>
        <w:t>Electronics Usage</w:t>
      </w:r>
    </w:p>
    <w:p w:rsidR="00997A93" w:rsidRPr="00997A93" w:rsidRDefault="00997A93" w:rsidP="00997A93">
      <w:pPr>
        <w:spacing w:after="120"/>
      </w:pPr>
      <w:r w:rsidRPr="00997A93">
        <w:t>You may use your laptop in class, but you may NOT access the internet during class for any purpose.  Any other electronic devices, such as cell phones, must be turned off during class. Violation of this rule will result in your being mandatorily dropped from the class.</w:t>
      </w:r>
    </w:p>
    <w:p w:rsidR="00997A93" w:rsidRDefault="00997A93" w:rsidP="00C76055">
      <w:pPr>
        <w:spacing w:line="276" w:lineRule="auto"/>
        <w:rPr>
          <w:rFonts w:eastAsiaTheme="minorEastAsia"/>
          <w:b/>
          <w:sz w:val="22"/>
          <w:szCs w:val="22"/>
        </w:rPr>
      </w:pPr>
    </w:p>
    <w:p w:rsidR="00816F7B" w:rsidRDefault="00816F7B" w:rsidP="00816F7B">
      <w:r w:rsidRPr="002F3FF2">
        <w:rPr>
          <w:rStyle w:val="Heading3Char"/>
          <w:rFonts w:ascii="Times New Roman" w:hAnsi="Times New Roman" w:cs="Times New Roman"/>
          <w:b/>
          <w:color w:val="auto"/>
        </w:rPr>
        <w:t>University Policy on Accommodating Students with Disabilities</w:t>
      </w:r>
      <w:r>
        <w:rPr>
          <w:rStyle w:val="Heading3Char"/>
        </w:rPr>
        <w:t>:</w:t>
      </w:r>
      <w:r>
        <w:rPr>
          <w:rFonts w:eastAsia="Calibri" w:cs="Calibri"/>
        </w:rPr>
        <w:t xml:space="preserve"> </w:t>
      </w:r>
      <w:r>
        <w:t>Students requesting accommodation for disabilities must first register with the Dean of Students Office (</w:t>
      </w:r>
      <w:hyperlink r:id="rId8" w:history="1">
        <w:r>
          <w:rPr>
            <w:rStyle w:val="Hyperlink"/>
          </w:rPr>
          <w:t>http</w:t>
        </w:r>
      </w:hyperlink>
      <w:hyperlink r:id="rId9" w:history="1">
        <w:r>
          <w:rPr>
            <w:rStyle w:val="Hyperlink"/>
          </w:rPr>
          <w:t>://</w:t>
        </w:r>
      </w:hyperlink>
      <w:hyperlink r:id="rId10" w:history="1">
        <w:r>
          <w:rPr>
            <w:rStyle w:val="Hyperlink"/>
          </w:rPr>
          <w:t>www</w:t>
        </w:r>
      </w:hyperlink>
      <w:hyperlink r:id="rId11" w:history="1">
        <w:r>
          <w:rPr>
            <w:rStyle w:val="Hyperlink"/>
          </w:rPr>
          <w:t>.</w:t>
        </w:r>
      </w:hyperlink>
      <w:hyperlink r:id="rId12" w:history="1">
        <w:r>
          <w:rPr>
            <w:rStyle w:val="Hyperlink"/>
          </w:rPr>
          <w:t>ds</w:t>
        </w:r>
      </w:hyperlink>
      <w:hyperlink r:id="rId13" w:history="1">
        <w:r>
          <w:rPr>
            <w:rStyle w:val="Hyperlink"/>
          </w:rPr>
          <w:t>o</w:t>
        </w:r>
      </w:hyperlink>
      <w:hyperlink r:id="rId14" w:history="1">
        <w:r>
          <w:rPr>
            <w:rStyle w:val="Hyperlink"/>
          </w:rPr>
          <w:t>.</w:t>
        </w:r>
      </w:hyperlink>
      <w:hyperlink r:id="rId15" w:history="1">
        <w:r>
          <w:rPr>
            <w:rStyle w:val="Hyperlink"/>
          </w:rPr>
          <w:t>ufl</w:t>
        </w:r>
      </w:hyperlink>
      <w:hyperlink r:id="rId16" w:history="1">
        <w:r>
          <w:rPr>
            <w:rStyle w:val="Hyperlink"/>
          </w:rPr>
          <w:t>.</w:t>
        </w:r>
      </w:hyperlink>
      <w:hyperlink r:id="rId17" w:history="1">
        <w:r>
          <w:rPr>
            <w:rStyle w:val="Hyperlink"/>
          </w:rPr>
          <w:t>edu</w:t>
        </w:r>
      </w:hyperlink>
      <w:hyperlink r:id="rId18" w:history="1">
        <w:r>
          <w:rPr>
            <w:rStyle w:val="Hyperlink"/>
          </w:rPr>
          <w:t>/</w:t>
        </w:r>
      </w:hyperlink>
      <w:hyperlink r:id="rId19" w:history="1">
        <w:r>
          <w:rPr>
            <w:rStyle w:val="Hyperlink"/>
          </w:rPr>
          <w:t>drc</w:t>
        </w:r>
      </w:hyperlink>
      <w:hyperlink r:id="rId20" w:history="1">
        <w:r>
          <w:rPr>
            <w:rStyle w:val="Hyperlink"/>
          </w:rPr>
          <w:t>/</w:t>
        </w:r>
      </w:hyperlink>
      <w: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816F7B" w:rsidRDefault="00816F7B" w:rsidP="00816F7B">
      <w:pPr>
        <w:spacing w:before="120"/>
      </w:pPr>
      <w:r w:rsidRPr="002F3FF2">
        <w:rPr>
          <w:rStyle w:val="Heading3Char"/>
          <w:rFonts w:ascii="Times New Roman" w:hAnsi="Times New Roman" w:cs="Times New Roman"/>
          <w:b/>
          <w:color w:val="auto"/>
        </w:rPr>
        <w:lastRenderedPageBreak/>
        <w:t>University Policy on Academic Misconduct</w:t>
      </w:r>
      <w:r>
        <w:rPr>
          <w:rStyle w:val="Heading3Char"/>
        </w:rPr>
        <w:t>:</w:t>
      </w:r>
      <w:r>
        <w:rPr>
          <w:rFonts w:eastAsia="Calibri" w:cs="Calibri"/>
        </w:rPr>
        <w:t xml:space="preserve">  </w:t>
      </w:r>
      <w:r>
        <w:rPr>
          <w:rFonts w:eastAsia="Calibri"/>
        </w:rPr>
        <w:t>A</w:t>
      </w:r>
      <w:r>
        <w:t xml:space="preserve">cademic honesty and integrity are fundamental values of the University community. Students should be sure that they understand the UF Student Honor Code at </w:t>
      </w:r>
      <w:hyperlink r:id="rId21" w:history="1">
        <w:r>
          <w:rPr>
            <w:rStyle w:val="Hyperlink"/>
          </w:rPr>
          <w:t>http</w:t>
        </w:r>
      </w:hyperlink>
      <w:hyperlink r:id="rId22" w:history="1">
        <w:r>
          <w:rPr>
            <w:rStyle w:val="Hyperlink"/>
          </w:rPr>
          <w:t>://</w:t>
        </w:r>
      </w:hyperlink>
      <w:hyperlink r:id="rId23" w:history="1">
        <w:r>
          <w:rPr>
            <w:rStyle w:val="Hyperlink"/>
          </w:rPr>
          <w:t>www</w:t>
        </w:r>
      </w:hyperlink>
      <w:hyperlink r:id="rId24" w:history="1">
        <w:r>
          <w:rPr>
            <w:rStyle w:val="Hyperlink"/>
          </w:rPr>
          <w:t>.</w:t>
        </w:r>
      </w:hyperlink>
      <w:hyperlink r:id="rId25" w:history="1">
        <w:r>
          <w:rPr>
            <w:rStyle w:val="Hyperlink"/>
          </w:rPr>
          <w:t>dso</w:t>
        </w:r>
      </w:hyperlink>
      <w:hyperlink r:id="rId26" w:history="1">
        <w:r>
          <w:rPr>
            <w:rStyle w:val="Hyperlink"/>
          </w:rPr>
          <w:t>.</w:t>
        </w:r>
      </w:hyperlink>
      <w:hyperlink r:id="rId27" w:history="1">
        <w:r>
          <w:rPr>
            <w:rStyle w:val="Hyperlink"/>
          </w:rPr>
          <w:t>ufl</w:t>
        </w:r>
      </w:hyperlink>
      <w:hyperlink r:id="rId28" w:history="1">
        <w:r>
          <w:rPr>
            <w:rStyle w:val="Hyperlink"/>
          </w:rPr>
          <w:t>.</w:t>
        </w:r>
      </w:hyperlink>
      <w:hyperlink r:id="rId29" w:history="1">
        <w:r>
          <w:rPr>
            <w:rStyle w:val="Hyperlink"/>
          </w:rPr>
          <w:t>edu</w:t>
        </w:r>
      </w:hyperlink>
      <w:hyperlink r:id="rId30" w:history="1">
        <w:r>
          <w:rPr>
            <w:rStyle w:val="Hyperlink"/>
          </w:rPr>
          <w:t>/</w:t>
        </w:r>
      </w:hyperlink>
      <w:hyperlink r:id="rId31" w:history="1">
        <w:r>
          <w:rPr>
            <w:rStyle w:val="Hyperlink"/>
          </w:rPr>
          <w:t>students</w:t>
        </w:r>
      </w:hyperlink>
      <w:hyperlink r:id="rId32" w:history="1">
        <w:r>
          <w:rPr>
            <w:rStyle w:val="Hyperlink"/>
          </w:rPr>
          <w:t>.</w:t>
        </w:r>
      </w:hyperlink>
      <w:hyperlink r:id="rId33" w:history="1">
        <w:r>
          <w:rPr>
            <w:rStyle w:val="Hyperlink"/>
          </w:rPr>
          <w:t>php</w:t>
        </w:r>
      </w:hyperlink>
      <w:r>
        <w:t>.</w:t>
      </w:r>
    </w:p>
    <w:p w:rsidR="009671AA" w:rsidRDefault="009671AA" w:rsidP="00816F7B">
      <w:pPr>
        <w:spacing w:before="120"/>
      </w:pPr>
    </w:p>
    <w:p w:rsidR="009671AA" w:rsidRDefault="009671AA" w:rsidP="009671AA">
      <w:pPr>
        <w:jc w:val="center"/>
        <w:rPr>
          <w:b/>
        </w:rPr>
      </w:pPr>
      <w:r>
        <w:rPr>
          <w:b/>
        </w:rPr>
        <w:t xml:space="preserve">Course Schedule (subject to change based on class progress) </w:t>
      </w:r>
    </w:p>
    <w:p w:rsidR="009671AA" w:rsidRDefault="009671AA" w:rsidP="009671AA">
      <w:pPr>
        <w:spacing w:after="120"/>
        <w:jc w:val="center"/>
        <w:rPr>
          <w:b/>
        </w:rPr>
      </w:pPr>
      <w:r>
        <w:rPr>
          <w:b/>
        </w:rPr>
        <w:t>Detailed Assignments will be posted each week at the web site</w:t>
      </w:r>
    </w:p>
    <w:p w:rsidR="009671AA" w:rsidRDefault="009671AA" w:rsidP="009671AA">
      <w:pPr>
        <w:spacing w:after="120"/>
        <w:rPr>
          <w:b/>
        </w:rPr>
      </w:pPr>
      <w:r>
        <w:rPr>
          <w:b/>
        </w:rPr>
        <w:t>I.</w:t>
      </w:r>
      <w:r>
        <w:t xml:space="preserve">  </w:t>
      </w:r>
      <w:r>
        <w:rPr>
          <w:b/>
        </w:rPr>
        <w:t xml:space="preserve">Background and Basic Principles </w:t>
      </w:r>
    </w:p>
    <w:p w:rsidR="009671AA" w:rsidRDefault="009671AA" w:rsidP="009671AA">
      <w:pPr>
        <w:spacing w:after="120"/>
        <w:ind w:left="720"/>
      </w:pPr>
      <w:r>
        <w:t xml:space="preserve">Origins and Fundamentals of the US Pension and Retirement System (including Social Security and private sources of retirement income) </w:t>
      </w:r>
    </w:p>
    <w:p w:rsidR="009671AA" w:rsidRDefault="009671AA" w:rsidP="009671AA">
      <w:pPr>
        <w:spacing w:after="120"/>
        <w:ind w:left="720"/>
      </w:pPr>
      <w:r>
        <w:t>Basics of Tax Deferral and Timing (Supplemental Materials at web site)</w:t>
      </w:r>
    </w:p>
    <w:p w:rsidR="009671AA" w:rsidRDefault="009671AA" w:rsidP="009671AA">
      <w:pPr>
        <w:spacing w:after="120"/>
        <w:ind w:left="720"/>
      </w:pPr>
      <w:r>
        <w:t xml:space="preserve">Typology of Retirement Plans – Defined Benefit and Defined Contribution Plans </w:t>
      </w:r>
    </w:p>
    <w:p w:rsidR="009671AA" w:rsidRDefault="009671AA" w:rsidP="009671AA">
      <w:pPr>
        <w:spacing w:after="120"/>
        <w:ind w:left="720"/>
      </w:pPr>
      <w:r>
        <w:t xml:space="preserve">Origins of ERISA </w:t>
      </w:r>
    </w:p>
    <w:p w:rsidR="009671AA" w:rsidRDefault="009671AA" w:rsidP="009671AA">
      <w:pPr>
        <w:tabs>
          <w:tab w:val="left" w:pos="5496"/>
        </w:tabs>
        <w:spacing w:after="120"/>
        <w:rPr>
          <w:b/>
        </w:rPr>
      </w:pPr>
      <w:r>
        <w:rPr>
          <w:b/>
        </w:rPr>
        <w:t xml:space="preserve">II. Selected ERISA Based Plan Requirements </w:t>
      </w:r>
    </w:p>
    <w:p w:rsidR="009671AA" w:rsidRDefault="009671AA" w:rsidP="009671AA">
      <w:pPr>
        <w:spacing w:after="120"/>
        <w:ind w:left="720"/>
      </w:pPr>
      <w:r>
        <w:t xml:space="preserve">Preventing Forfeiture thru Vesting  </w:t>
      </w:r>
    </w:p>
    <w:p w:rsidR="009671AA" w:rsidRDefault="009671AA" w:rsidP="009671AA">
      <w:pPr>
        <w:spacing w:after="120"/>
        <w:ind w:left="720"/>
      </w:pPr>
      <w:r>
        <w:t xml:space="preserve">Spousal Interests </w:t>
      </w:r>
    </w:p>
    <w:p w:rsidR="009671AA" w:rsidRDefault="009671AA" w:rsidP="009671AA">
      <w:pPr>
        <w:spacing w:after="120"/>
        <w:rPr>
          <w:b/>
        </w:rPr>
      </w:pPr>
      <w:r>
        <w:rPr>
          <w:b/>
        </w:rPr>
        <w:t>III. Tax Treatment of Qualified Pension and Profit Sharing Plans (Classes Four-Nine</w:t>
      </w:r>
    </w:p>
    <w:p w:rsidR="009671AA" w:rsidRDefault="009671AA" w:rsidP="009671AA">
      <w:pPr>
        <w:spacing w:after="120"/>
        <w:ind w:firstLine="720"/>
      </w:pPr>
      <w:r>
        <w:t>Overview</w:t>
      </w:r>
    </w:p>
    <w:p w:rsidR="009671AA" w:rsidRDefault="009671AA" w:rsidP="009671AA">
      <w:pPr>
        <w:spacing w:after="120"/>
        <w:ind w:left="720"/>
      </w:pPr>
      <w:r>
        <w:t>Minimum Age and Service Rules (Supplemental Materials at Web Site)</w:t>
      </w:r>
    </w:p>
    <w:p w:rsidR="009671AA" w:rsidRDefault="009671AA" w:rsidP="009671AA">
      <w:pPr>
        <w:spacing w:after="120"/>
        <w:ind w:left="720"/>
      </w:pPr>
      <w:r>
        <w:t>Antidiscrimination in Coverage and Benefits</w:t>
      </w:r>
    </w:p>
    <w:p w:rsidR="009671AA" w:rsidRDefault="009671AA" w:rsidP="009671AA">
      <w:pPr>
        <w:spacing w:after="120"/>
        <w:ind w:left="720"/>
      </w:pPr>
      <w:r>
        <w:t xml:space="preserve">Limits on DB Plan Benefits and </w:t>
      </w:r>
      <w:proofErr w:type="gramStart"/>
      <w:r>
        <w:t>DC  Plan</w:t>
      </w:r>
      <w:proofErr w:type="gramEnd"/>
      <w:r>
        <w:t xml:space="preserve"> Contributions</w:t>
      </w:r>
    </w:p>
    <w:p w:rsidR="009671AA" w:rsidRDefault="009671AA" w:rsidP="009671AA">
      <w:pPr>
        <w:spacing w:after="120"/>
        <w:ind w:left="720"/>
      </w:pPr>
      <w:r>
        <w:t>Deductibility of Employer Contributions</w:t>
      </w:r>
    </w:p>
    <w:p w:rsidR="009671AA" w:rsidRDefault="009671AA" w:rsidP="009671AA">
      <w:pPr>
        <w:spacing w:after="120"/>
        <w:ind w:left="720"/>
      </w:pPr>
      <w:r>
        <w:t>Taxation of Participants and Beneficiaries – Distributions</w:t>
      </w:r>
    </w:p>
    <w:p w:rsidR="009671AA" w:rsidRDefault="009671AA" w:rsidP="009671AA">
      <w:pPr>
        <w:spacing w:after="120"/>
        <w:ind w:left="720"/>
      </w:pPr>
      <w:r>
        <w:t>Treatment of Affiliated Employers</w:t>
      </w:r>
    </w:p>
    <w:p w:rsidR="009671AA" w:rsidRDefault="009671AA" w:rsidP="009671AA">
      <w:pPr>
        <w:ind w:left="720"/>
      </w:pPr>
    </w:p>
    <w:p w:rsidR="009671AA" w:rsidRDefault="009671AA" w:rsidP="009671AA">
      <w:pPr>
        <w:spacing w:after="120"/>
        <w:rPr>
          <w:b/>
        </w:rPr>
      </w:pPr>
      <w:r>
        <w:rPr>
          <w:b/>
        </w:rPr>
        <w:lastRenderedPageBreak/>
        <w:t>III.  Employer-Sponsored Tax Favored Savings Plans – 401(k) and 401(m) (Classes Ten and Eleven)</w:t>
      </w:r>
    </w:p>
    <w:p w:rsidR="009671AA" w:rsidRDefault="009671AA" w:rsidP="009671AA">
      <w:pPr>
        <w:spacing w:after="120"/>
        <w:rPr>
          <w:b/>
        </w:rPr>
      </w:pPr>
      <w:r>
        <w:rPr>
          <w:b/>
        </w:rPr>
        <w:t>IV.</w:t>
      </w:r>
      <w:r>
        <w:rPr>
          <w:b/>
        </w:rPr>
        <w:tab/>
        <w:t>Nonqualified Deferred Compensation (Classes Twelve through Fourteen)</w:t>
      </w:r>
    </w:p>
    <w:p w:rsidR="009671AA" w:rsidRDefault="009671AA" w:rsidP="009671AA">
      <w:r>
        <w:tab/>
        <w:t>A. Cash Nonqualified Deferred Compensation – Rabbi Trusts, etc.</w:t>
      </w:r>
    </w:p>
    <w:p w:rsidR="009671AA" w:rsidRDefault="009671AA" w:rsidP="009671AA">
      <w:r>
        <w:tab/>
        <w:t>B.  Stock Based Deferred Compensation –</w:t>
      </w:r>
    </w:p>
    <w:p w:rsidR="009671AA" w:rsidRDefault="009671AA" w:rsidP="009671AA">
      <w:pPr>
        <w:spacing w:after="120"/>
      </w:pPr>
      <w:r>
        <w:tab/>
        <w:t>C. Section 409A</w:t>
      </w:r>
    </w:p>
    <w:p w:rsidR="009671AA" w:rsidRDefault="009671AA" w:rsidP="00816F7B">
      <w:pPr>
        <w:spacing w:before="120"/>
      </w:pPr>
    </w:p>
    <w:p w:rsidR="00816F7B" w:rsidRDefault="00816F7B" w:rsidP="00816F7B">
      <w:pPr>
        <w:pStyle w:val="Heading2"/>
        <w:rPr>
          <w:rFonts w:eastAsia="Calibri"/>
        </w:rPr>
      </w:pPr>
    </w:p>
    <w:p w:rsidR="00997A93" w:rsidRPr="00997A93" w:rsidRDefault="00997A93" w:rsidP="00C76055">
      <w:pPr>
        <w:spacing w:line="276" w:lineRule="auto"/>
        <w:rPr>
          <w:rFonts w:eastAsiaTheme="minorEastAsia"/>
          <w:b/>
          <w:sz w:val="22"/>
          <w:szCs w:val="22"/>
        </w:rPr>
      </w:pPr>
    </w:p>
    <w:p w:rsidR="00C76055" w:rsidRPr="00C76055" w:rsidRDefault="00C76055" w:rsidP="00C76055">
      <w:pPr>
        <w:spacing w:line="276" w:lineRule="auto"/>
        <w:rPr>
          <w:rFonts w:eastAsiaTheme="minorEastAsia"/>
          <w:sz w:val="22"/>
          <w:szCs w:val="22"/>
        </w:rPr>
      </w:pPr>
    </w:p>
    <w:p w:rsidR="00C76055" w:rsidRDefault="00C76055" w:rsidP="00C76055">
      <w:pPr>
        <w:spacing w:after="120" w:line="276" w:lineRule="auto"/>
        <w:rPr>
          <w:rFonts w:eastAsiaTheme="minorEastAsia"/>
          <w:sz w:val="22"/>
          <w:szCs w:val="22"/>
        </w:rPr>
      </w:pPr>
    </w:p>
    <w:p w:rsidR="00C76055" w:rsidRPr="00C76055" w:rsidRDefault="00C76055" w:rsidP="00C76055">
      <w:pPr>
        <w:spacing w:line="276" w:lineRule="auto"/>
        <w:rPr>
          <w:rFonts w:eastAsiaTheme="minorEastAsia"/>
          <w:sz w:val="22"/>
          <w:szCs w:val="22"/>
        </w:rPr>
      </w:pPr>
    </w:p>
    <w:p w:rsidR="00C76055" w:rsidRDefault="00C76055" w:rsidP="00CA01F5">
      <w:pPr>
        <w:spacing w:after="120"/>
      </w:pPr>
    </w:p>
    <w:p w:rsidR="00C76055" w:rsidRPr="00C76055" w:rsidRDefault="00C76055" w:rsidP="00CA01F5">
      <w:pPr>
        <w:spacing w:after="120"/>
      </w:pPr>
    </w:p>
    <w:sectPr w:rsidR="00C76055" w:rsidRPr="00C76055" w:rsidSect="00F9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2E70EA3C">
      <w:start w:val="1"/>
      <w:numFmt w:val="bullet"/>
      <w:lvlText w:val="●"/>
      <w:lvlJc w:val="left"/>
      <w:pPr>
        <w:tabs>
          <w:tab w:val="num" w:pos="360"/>
        </w:tabs>
        <w:ind w:left="720" w:hanging="360"/>
      </w:pPr>
      <w:rPr>
        <w:rFonts w:ascii="Calibri" w:eastAsia="Calibri" w:hAnsi="Calibri" w:cs="Calibri"/>
        <w:b w:val="0"/>
        <w:bCs w:val="0"/>
        <w:i w:val="0"/>
        <w:iCs w:val="0"/>
        <w:strike w:val="0"/>
        <w:dstrike w:val="0"/>
        <w:color w:val="000000"/>
        <w:sz w:val="24"/>
        <w:szCs w:val="24"/>
        <w:u w:val="none"/>
        <w:effect w:val="none"/>
      </w:rPr>
    </w:lvl>
    <w:lvl w:ilvl="1" w:tplc="B0FE87AC">
      <w:start w:val="1"/>
      <w:numFmt w:val="bullet"/>
      <w:lvlText w:val="○"/>
      <w:lvlJc w:val="left"/>
      <w:pPr>
        <w:tabs>
          <w:tab w:val="num" w:pos="1080"/>
        </w:tabs>
        <w:ind w:left="1440" w:hanging="360"/>
      </w:pPr>
      <w:rPr>
        <w:rFonts w:ascii="Calibri" w:eastAsia="Calibri" w:hAnsi="Calibri" w:cs="Calibri"/>
        <w:b w:val="0"/>
        <w:bCs w:val="0"/>
        <w:i w:val="0"/>
        <w:iCs w:val="0"/>
        <w:strike w:val="0"/>
        <w:dstrike w:val="0"/>
        <w:color w:val="000000"/>
        <w:sz w:val="24"/>
        <w:szCs w:val="24"/>
        <w:u w:val="none"/>
        <w:effect w:val="none"/>
      </w:rPr>
    </w:lvl>
    <w:lvl w:ilvl="2" w:tplc="71345CFA">
      <w:start w:val="1"/>
      <w:numFmt w:val="bullet"/>
      <w:lvlText w:val="■"/>
      <w:lvlJc w:val="right"/>
      <w:pPr>
        <w:tabs>
          <w:tab w:val="num" w:pos="1800"/>
        </w:tabs>
        <w:ind w:left="2160" w:hanging="180"/>
      </w:pPr>
      <w:rPr>
        <w:rFonts w:ascii="Calibri" w:eastAsia="Calibri" w:hAnsi="Calibri" w:cs="Calibri"/>
        <w:b w:val="0"/>
        <w:bCs w:val="0"/>
        <w:i w:val="0"/>
        <w:iCs w:val="0"/>
        <w:strike w:val="0"/>
        <w:dstrike w:val="0"/>
        <w:color w:val="000000"/>
        <w:sz w:val="24"/>
        <w:szCs w:val="24"/>
        <w:u w:val="none"/>
        <w:effect w:val="none"/>
      </w:rPr>
    </w:lvl>
    <w:lvl w:ilvl="3" w:tplc="774E688C">
      <w:start w:val="1"/>
      <w:numFmt w:val="bullet"/>
      <w:lvlText w:val="●"/>
      <w:lvlJc w:val="left"/>
      <w:pPr>
        <w:tabs>
          <w:tab w:val="num" w:pos="2520"/>
        </w:tabs>
        <w:ind w:left="2880" w:hanging="360"/>
      </w:pPr>
      <w:rPr>
        <w:rFonts w:ascii="Calibri" w:eastAsia="Calibri" w:hAnsi="Calibri" w:cs="Calibri"/>
        <w:b w:val="0"/>
        <w:bCs w:val="0"/>
        <w:i w:val="0"/>
        <w:iCs w:val="0"/>
        <w:strike w:val="0"/>
        <w:dstrike w:val="0"/>
        <w:color w:val="000000"/>
        <w:sz w:val="24"/>
        <w:szCs w:val="24"/>
        <w:u w:val="none"/>
        <w:effect w:val="none"/>
      </w:rPr>
    </w:lvl>
    <w:lvl w:ilvl="4" w:tplc="5052C0DA">
      <w:start w:val="1"/>
      <w:numFmt w:val="bullet"/>
      <w:lvlText w:val="○"/>
      <w:lvlJc w:val="left"/>
      <w:pPr>
        <w:tabs>
          <w:tab w:val="num" w:pos="3240"/>
        </w:tabs>
        <w:ind w:left="3600" w:hanging="360"/>
      </w:pPr>
      <w:rPr>
        <w:rFonts w:ascii="Calibri" w:eastAsia="Calibri" w:hAnsi="Calibri" w:cs="Calibri"/>
        <w:b w:val="0"/>
        <w:bCs w:val="0"/>
        <w:i w:val="0"/>
        <w:iCs w:val="0"/>
        <w:strike w:val="0"/>
        <w:dstrike w:val="0"/>
        <w:color w:val="000000"/>
        <w:sz w:val="24"/>
        <w:szCs w:val="24"/>
        <w:u w:val="none"/>
        <w:effect w:val="none"/>
      </w:rPr>
    </w:lvl>
    <w:lvl w:ilvl="5" w:tplc="F25C6DFA">
      <w:start w:val="1"/>
      <w:numFmt w:val="bullet"/>
      <w:lvlText w:val="■"/>
      <w:lvlJc w:val="right"/>
      <w:pPr>
        <w:tabs>
          <w:tab w:val="num" w:pos="3960"/>
        </w:tabs>
        <w:ind w:left="4320" w:hanging="180"/>
      </w:pPr>
      <w:rPr>
        <w:rFonts w:ascii="Calibri" w:eastAsia="Calibri" w:hAnsi="Calibri" w:cs="Calibri"/>
        <w:b w:val="0"/>
        <w:bCs w:val="0"/>
        <w:i w:val="0"/>
        <w:iCs w:val="0"/>
        <w:strike w:val="0"/>
        <w:dstrike w:val="0"/>
        <w:color w:val="000000"/>
        <w:sz w:val="24"/>
        <w:szCs w:val="24"/>
        <w:u w:val="none"/>
        <w:effect w:val="none"/>
      </w:rPr>
    </w:lvl>
    <w:lvl w:ilvl="6" w:tplc="98D6B754">
      <w:start w:val="1"/>
      <w:numFmt w:val="bullet"/>
      <w:lvlText w:val="●"/>
      <w:lvlJc w:val="left"/>
      <w:pPr>
        <w:tabs>
          <w:tab w:val="num" w:pos="4680"/>
        </w:tabs>
        <w:ind w:left="5040" w:hanging="360"/>
      </w:pPr>
      <w:rPr>
        <w:rFonts w:ascii="Calibri" w:eastAsia="Calibri" w:hAnsi="Calibri" w:cs="Calibri"/>
        <w:b w:val="0"/>
        <w:bCs w:val="0"/>
        <w:i w:val="0"/>
        <w:iCs w:val="0"/>
        <w:strike w:val="0"/>
        <w:dstrike w:val="0"/>
        <w:color w:val="000000"/>
        <w:sz w:val="24"/>
        <w:szCs w:val="24"/>
        <w:u w:val="none"/>
        <w:effect w:val="none"/>
      </w:rPr>
    </w:lvl>
    <w:lvl w:ilvl="7" w:tplc="B1348EBA">
      <w:start w:val="1"/>
      <w:numFmt w:val="bullet"/>
      <w:lvlText w:val="○"/>
      <w:lvlJc w:val="left"/>
      <w:pPr>
        <w:tabs>
          <w:tab w:val="num" w:pos="5400"/>
        </w:tabs>
        <w:ind w:left="5760" w:hanging="360"/>
      </w:pPr>
      <w:rPr>
        <w:rFonts w:ascii="Calibri" w:eastAsia="Calibri" w:hAnsi="Calibri" w:cs="Calibri"/>
        <w:b w:val="0"/>
        <w:bCs w:val="0"/>
        <w:i w:val="0"/>
        <w:iCs w:val="0"/>
        <w:strike w:val="0"/>
        <w:dstrike w:val="0"/>
        <w:color w:val="000000"/>
        <w:sz w:val="24"/>
        <w:szCs w:val="24"/>
        <w:u w:val="none"/>
        <w:effect w:val="none"/>
      </w:rPr>
    </w:lvl>
    <w:lvl w:ilvl="8" w:tplc="FE826C7C">
      <w:start w:val="1"/>
      <w:numFmt w:val="bullet"/>
      <w:lvlText w:val="■"/>
      <w:lvlJc w:val="right"/>
      <w:pPr>
        <w:tabs>
          <w:tab w:val="num" w:pos="6120"/>
        </w:tabs>
        <w:ind w:left="6480" w:hanging="180"/>
      </w:pPr>
      <w:rPr>
        <w:rFonts w:ascii="Calibri" w:eastAsia="Calibri" w:hAnsi="Calibri" w:cs="Calibri"/>
        <w:b w:val="0"/>
        <w:bCs w:val="0"/>
        <w:i w:val="0"/>
        <w:iCs w:val="0"/>
        <w:strike w:val="0"/>
        <w:dstrike w:val="0"/>
        <w:color w:val="000000"/>
        <w:sz w:val="24"/>
        <w:szCs w:val="24"/>
        <w:u w:val="none"/>
        <w:effect w:val="none"/>
      </w:rPr>
    </w:lvl>
  </w:abstractNum>
  <w:abstractNum w:abstractNumId="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DF5AA3"/>
    <w:multiLevelType w:val="multilevel"/>
    <w:tmpl w:val="AD9A631C"/>
    <w:lvl w:ilvl="0">
      <w:start w:val="1"/>
      <w:numFmt w:val="upperLetter"/>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800"/>
        </w:tabs>
        <w:ind w:left="1800" w:hanging="360"/>
      </w:pPr>
    </w:lvl>
    <w:lvl w:ilvl="3">
      <w:start w:val="1"/>
      <w:numFmt w:val="upperLetter"/>
      <w:lvlText w:val="%4."/>
      <w:lvlJc w:val="left"/>
      <w:pPr>
        <w:tabs>
          <w:tab w:val="num" w:pos="2520"/>
        </w:tabs>
        <w:ind w:left="2520" w:hanging="360"/>
      </w:pPr>
    </w:lvl>
    <w:lvl w:ilvl="4">
      <w:start w:val="1"/>
      <w:numFmt w:val="upperLetter"/>
      <w:lvlText w:val="%5."/>
      <w:lvlJc w:val="left"/>
      <w:pPr>
        <w:tabs>
          <w:tab w:val="num" w:pos="3240"/>
        </w:tabs>
        <w:ind w:left="3240" w:hanging="360"/>
      </w:pPr>
    </w:lvl>
    <w:lvl w:ilvl="5">
      <w:start w:val="1"/>
      <w:numFmt w:val="upperLetter"/>
      <w:lvlText w:val="%6."/>
      <w:lvlJc w:val="left"/>
      <w:pPr>
        <w:tabs>
          <w:tab w:val="num" w:pos="3960"/>
        </w:tabs>
        <w:ind w:left="3960" w:hanging="360"/>
      </w:pPr>
    </w:lvl>
    <w:lvl w:ilvl="6">
      <w:start w:val="1"/>
      <w:numFmt w:val="upperLetter"/>
      <w:lvlText w:val="%7."/>
      <w:lvlJc w:val="left"/>
      <w:pPr>
        <w:tabs>
          <w:tab w:val="num" w:pos="4680"/>
        </w:tabs>
        <w:ind w:left="4680" w:hanging="360"/>
      </w:pPr>
    </w:lvl>
    <w:lvl w:ilvl="7">
      <w:start w:val="1"/>
      <w:numFmt w:val="upperLetter"/>
      <w:lvlText w:val="%8."/>
      <w:lvlJc w:val="left"/>
      <w:pPr>
        <w:tabs>
          <w:tab w:val="num" w:pos="5400"/>
        </w:tabs>
        <w:ind w:left="5400" w:hanging="360"/>
      </w:pPr>
    </w:lvl>
    <w:lvl w:ilvl="8">
      <w:start w:val="1"/>
      <w:numFmt w:val="upperLetter"/>
      <w:lvlText w:val="%9."/>
      <w:lvlJc w:val="left"/>
      <w:pPr>
        <w:tabs>
          <w:tab w:val="num" w:pos="6120"/>
        </w:tabs>
        <w:ind w:left="612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0D"/>
    <w:rsid w:val="00094176"/>
    <w:rsid w:val="000F3DA9"/>
    <w:rsid w:val="0014210D"/>
    <w:rsid w:val="00186A5E"/>
    <w:rsid w:val="00210034"/>
    <w:rsid w:val="00211BBF"/>
    <w:rsid w:val="00242D63"/>
    <w:rsid w:val="00296017"/>
    <w:rsid w:val="002D38BF"/>
    <w:rsid w:val="002F3FF2"/>
    <w:rsid w:val="00372D8F"/>
    <w:rsid w:val="003A2F60"/>
    <w:rsid w:val="003B3A61"/>
    <w:rsid w:val="00464FB8"/>
    <w:rsid w:val="004769E7"/>
    <w:rsid w:val="004A1E0D"/>
    <w:rsid w:val="00534599"/>
    <w:rsid w:val="00582E28"/>
    <w:rsid w:val="00593176"/>
    <w:rsid w:val="00603522"/>
    <w:rsid w:val="00652C8F"/>
    <w:rsid w:val="006D0EA9"/>
    <w:rsid w:val="006F4058"/>
    <w:rsid w:val="00722141"/>
    <w:rsid w:val="007D4759"/>
    <w:rsid w:val="007E1DB2"/>
    <w:rsid w:val="00816F7B"/>
    <w:rsid w:val="008249E0"/>
    <w:rsid w:val="00897D13"/>
    <w:rsid w:val="008F0413"/>
    <w:rsid w:val="009671AA"/>
    <w:rsid w:val="00997A93"/>
    <w:rsid w:val="009B2E89"/>
    <w:rsid w:val="009C3E3A"/>
    <w:rsid w:val="009D40BA"/>
    <w:rsid w:val="00A00D8F"/>
    <w:rsid w:val="00A141FF"/>
    <w:rsid w:val="00B85279"/>
    <w:rsid w:val="00C37A25"/>
    <w:rsid w:val="00C76055"/>
    <w:rsid w:val="00CA01F5"/>
    <w:rsid w:val="00D53642"/>
    <w:rsid w:val="00D8244B"/>
    <w:rsid w:val="00EF4FFF"/>
    <w:rsid w:val="00F02C1D"/>
    <w:rsid w:val="00F462FE"/>
    <w:rsid w:val="00F64D58"/>
    <w:rsid w:val="00F92954"/>
    <w:rsid w:val="00FC3CBA"/>
    <w:rsid w:val="00FD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67AC1-D6CF-49C8-A436-73FCFDBC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10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4210D"/>
    <w:pPr>
      <w:keepNext/>
      <w:outlineLvl w:val="0"/>
    </w:pPr>
    <w:rPr>
      <w:b/>
      <w:bCs/>
    </w:rPr>
  </w:style>
  <w:style w:type="paragraph" w:styleId="Heading2">
    <w:name w:val="heading 2"/>
    <w:basedOn w:val="Normal"/>
    <w:next w:val="Normal"/>
    <w:link w:val="Heading2Char"/>
    <w:uiPriority w:val="9"/>
    <w:semiHidden/>
    <w:unhideWhenUsed/>
    <w:qFormat/>
    <w:rsid w:val="00816F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6F7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10D"/>
    <w:rPr>
      <w:rFonts w:ascii="Times New Roman" w:eastAsia="Times New Roman" w:hAnsi="Times New Roman" w:cs="Times New Roman"/>
      <w:b/>
      <w:bCs/>
      <w:sz w:val="24"/>
      <w:szCs w:val="20"/>
    </w:rPr>
  </w:style>
  <w:style w:type="paragraph" w:styleId="Title">
    <w:name w:val="Title"/>
    <w:basedOn w:val="Normal"/>
    <w:link w:val="TitleChar"/>
    <w:qFormat/>
    <w:rsid w:val="0014210D"/>
    <w:pPr>
      <w:jc w:val="center"/>
    </w:pPr>
    <w:rPr>
      <w:b/>
      <w:bCs/>
    </w:rPr>
  </w:style>
  <w:style w:type="character" w:customStyle="1" w:styleId="TitleChar">
    <w:name w:val="Title Char"/>
    <w:basedOn w:val="DefaultParagraphFont"/>
    <w:link w:val="Title"/>
    <w:rsid w:val="0014210D"/>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B85279"/>
    <w:rPr>
      <w:color w:val="0000FF" w:themeColor="hyperlink"/>
      <w:u w:val="single"/>
    </w:rPr>
  </w:style>
  <w:style w:type="paragraph" w:styleId="ListParagraph">
    <w:name w:val="List Paragraph"/>
    <w:basedOn w:val="Normal"/>
    <w:uiPriority w:val="34"/>
    <w:qFormat/>
    <w:rsid w:val="006F4058"/>
    <w:pPr>
      <w:ind w:left="720"/>
      <w:contextualSpacing/>
    </w:pPr>
  </w:style>
  <w:style w:type="character" w:customStyle="1" w:styleId="Heading2Char">
    <w:name w:val="Heading 2 Char"/>
    <w:basedOn w:val="DefaultParagraphFont"/>
    <w:link w:val="Heading2"/>
    <w:uiPriority w:val="9"/>
    <w:semiHidden/>
    <w:rsid w:val="00816F7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16F7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2077">
      <w:bodyDiv w:val="1"/>
      <w:marLeft w:val="0"/>
      <w:marRight w:val="0"/>
      <w:marTop w:val="0"/>
      <w:marBottom w:val="0"/>
      <w:divBdr>
        <w:top w:val="none" w:sz="0" w:space="0" w:color="auto"/>
        <w:left w:val="none" w:sz="0" w:space="0" w:color="auto"/>
        <w:bottom w:val="none" w:sz="0" w:space="0" w:color="auto"/>
        <w:right w:val="none" w:sz="0" w:space="0" w:color="auto"/>
      </w:divBdr>
    </w:div>
    <w:div w:id="457333307">
      <w:bodyDiv w:val="1"/>
      <w:marLeft w:val="0"/>
      <w:marRight w:val="0"/>
      <w:marTop w:val="0"/>
      <w:marBottom w:val="0"/>
      <w:divBdr>
        <w:top w:val="none" w:sz="0" w:space="0" w:color="auto"/>
        <w:left w:val="none" w:sz="0" w:space="0" w:color="auto"/>
        <w:bottom w:val="none" w:sz="0" w:space="0" w:color="auto"/>
        <w:right w:val="none" w:sz="0" w:space="0" w:color="auto"/>
      </w:divBdr>
    </w:div>
    <w:div w:id="516693755">
      <w:bodyDiv w:val="1"/>
      <w:marLeft w:val="0"/>
      <w:marRight w:val="0"/>
      <w:marTop w:val="0"/>
      <w:marBottom w:val="0"/>
      <w:divBdr>
        <w:top w:val="none" w:sz="0" w:space="0" w:color="auto"/>
        <w:left w:val="none" w:sz="0" w:space="0" w:color="auto"/>
        <w:bottom w:val="none" w:sz="0" w:space="0" w:color="auto"/>
        <w:right w:val="none" w:sz="0" w:space="0" w:color="auto"/>
      </w:divBdr>
    </w:div>
    <w:div w:id="639965374">
      <w:bodyDiv w:val="1"/>
      <w:marLeft w:val="0"/>
      <w:marRight w:val="0"/>
      <w:marTop w:val="0"/>
      <w:marBottom w:val="0"/>
      <w:divBdr>
        <w:top w:val="none" w:sz="0" w:space="0" w:color="auto"/>
        <w:left w:val="none" w:sz="0" w:space="0" w:color="auto"/>
        <w:bottom w:val="none" w:sz="0" w:space="0" w:color="auto"/>
        <w:right w:val="none" w:sz="0" w:space="0" w:color="auto"/>
      </w:divBdr>
    </w:div>
    <w:div w:id="867986214">
      <w:bodyDiv w:val="1"/>
      <w:marLeft w:val="0"/>
      <w:marRight w:val="0"/>
      <w:marTop w:val="0"/>
      <w:marBottom w:val="0"/>
      <w:divBdr>
        <w:top w:val="none" w:sz="0" w:space="0" w:color="auto"/>
        <w:left w:val="none" w:sz="0" w:space="0" w:color="auto"/>
        <w:bottom w:val="none" w:sz="0" w:space="0" w:color="auto"/>
        <w:right w:val="none" w:sz="0" w:space="0" w:color="auto"/>
      </w:divBdr>
    </w:div>
    <w:div w:id="10295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34" Type="http://schemas.openxmlformats.org/officeDocument/2006/relationships/fontTable" Target="fontTable.xml"/><Relationship Id="rId7" Type="http://schemas.openxmlformats.org/officeDocument/2006/relationships/hyperlink" Target="http://www.law.ufl.edu/students/policies.shtml"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hyperlink" Target="mailto:ped1@cox.net"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5" Type="http://schemas.openxmlformats.org/officeDocument/2006/relationships/hyperlink" Target="mailto:dilley@law.ufl.edu/"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theme" Target="theme/theme1.xml"/><Relationship Id="rId8"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E. Dilley</dc:creator>
  <cp:lastModifiedBy>Fields,Krista</cp:lastModifiedBy>
  <cp:revision>2</cp:revision>
  <dcterms:created xsi:type="dcterms:W3CDTF">2017-12-20T19:22:00Z</dcterms:created>
  <dcterms:modified xsi:type="dcterms:W3CDTF">2017-12-20T19:22:00Z</dcterms:modified>
</cp:coreProperties>
</file>