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051A1" w14:textId="77777777" w:rsidR="00177115" w:rsidRPr="005E3901" w:rsidRDefault="00177115" w:rsidP="00321138">
      <w:pPr>
        <w:pStyle w:val="Heading1"/>
        <w:spacing w:after="120"/>
        <w:jc w:val="center"/>
        <w:rPr>
          <w:rFonts w:ascii="Arial" w:hAnsi="Arial" w:cs="Arial"/>
          <w:sz w:val="24"/>
        </w:rPr>
      </w:pPr>
      <w:r w:rsidRPr="005E3901">
        <w:rPr>
          <w:rFonts w:ascii="Arial" w:hAnsi="Arial" w:cs="Arial"/>
          <w:sz w:val="24"/>
        </w:rPr>
        <w:t xml:space="preserve">Seminar Syllabus – </w:t>
      </w:r>
      <w:r w:rsidR="0037470E" w:rsidRPr="005E3901">
        <w:rPr>
          <w:rFonts w:ascii="Arial" w:hAnsi="Arial" w:cs="Arial"/>
          <w:sz w:val="24"/>
        </w:rPr>
        <w:t>Privacy, Data Breaches &amp; Cyber Security</w:t>
      </w:r>
    </w:p>
    <w:p w14:paraId="0D786EF9" w14:textId="16BCDDBC" w:rsidR="00177115" w:rsidRPr="005E3901" w:rsidRDefault="0037470E" w:rsidP="00177115">
      <w:pPr>
        <w:jc w:val="center"/>
        <w:rPr>
          <w:rFonts w:ascii="Arial" w:hAnsi="Arial" w:cs="Arial"/>
        </w:rPr>
      </w:pPr>
      <w:r w:rsidRPr="005E3901">
        <w:rPr>
          <w:rFonts w:ascii="Arial" w:hAnsi="Arial" w:cs="Arial"/>
        </w:rPr>
        <w:t>LAW6936 § 0354</w:t>
      </w:r>
      <w:r w:rsidR="000931C3" w:rsidRPr="005E3901">
        <w:rPr>
          <w:rFonts w:ascii="Arial" w:hAnsi="Arial" w:cs="Arial"/>
        </w:rPr>
        <w:t xml:space="preserve">, </w:t>
      </w:r>
      <w:r w:rsidRPr="005E3901">
        <w:rPr>
          <w:rFonts w:ascii="Arial" w:hAnsi="Arial" w:cs="Arial"/>
        </w:rPr>
        <w:t>Spring</w:t>
      </w:r>
      <w:r w:rsidR="000931C3" w:rsidRPr="005E3901">
        <w:rPr>
          <w:rFonts w:ascii="Arial" w:hAnsi="Arial" w:cs="Arial"/>
        </w:rPr>
        <w:t xml:space="preserve"> 20</w:t>
      </w:r>
      <w:r w:rsidR="009A693A" w:rsidRPr="005E3901">
        <w:rPr>
          <w:rFonts w:ascii="Arial" w:hAnsi="Arial" w:cs="Arial"/>
        </w:rPr>
        <w:t>1</w:t>
      </w:r>
      <w:r w:rsidR="00E20656">
        <w:rPr>
          <w:rFonts w:ascii="Arial" w:hAnsi="Arial" w:cs="Arial"/>
        </w:rPr>
        <w:t>8</w:t>
      </w:r>
    </w:p>
    <w:p w14:paraId="604605FF" w14:textId="77777777" w:rsidR="00321138" w:rsidRPr="005E3901" w:rsidRDefault="00321138" w:rsidP="00C034D8">
      <w:pPr>
        <w:jc w:val="center"/>
        <w:rPr>
          <w:rFonts w:ascii="Arial" w:hAnsi="Arial" w:cs="Arial"/>
        </w:rPr>
      </w:pPr>
      <w:r w:rsidRPr="005E3901">
        <w:rPr>
          <w:rFonts w:ascii="Arial" w:hAnsi="Arial" w:cs="Arial"/>
        </w:rPr>
        <w:t>Mondays</w:t>
      </w:r>
      <w:r w:rsidR="00A97FE3" w:rsidRPr="005E3901">
        <w:rPr>
          <w:rFonts w:ascii="Arial" w:hAnsi="Arial" w:cs="Arial"/>
        </w:rPr>
        <w:t xml:space="preserve"> </w:t>
      </w:r>
      <w:r w:rsidR="00C034D8" w:rsidRPr="005E3901">
        <w:rPr>
          <w:rFonts w:ascii="Arial" w:hAnsi="Arial" w:cs="Arial"/>
        </w:rPr>
        <w:t>at</w:t>
      </w:r>
      <w:r w:rsidR="00177115" w:rsidRPr="005E3901">
        <w:rPr>
          <w:rFonts w:ascii="Arial" w:hAnsi="Arial" w:cs="Arial"/>
        </w:rPr>
        <w:t xml:space="preserve"> </w:t>
      </w:r>
      <w:r w:rsidR="007C2B3E" w:rsidRPr="005E3901">
        <w:rPr>
          <w:rFonts w:ascii="Arial" w:hAnsi="Arial" w:cs="Arial"/>
        </w:rPr>
        <w:t>1</w:t>
      </w:r>
      <w:r w:rsidR="00177115" w:rsidRPr="005E3901">
        <w:rPr>
          <w:rFonts w:ascii="Arial" w:hAnsi="Arial" w:cs="Arial"/>
        </w:rPr>
        <w:t xml:space="preserve">:00 – </w:t>
      </w:r>
      <w:r w:rsidR="007C2B3E" w:rsidRPr="005E3901">
        <w:rPr>
          <w:rFonts w:ascii="Arial" w:hAnsi="Arial" w:cs="Arial"/>
        </w:rPr>
        <w:t>2</w:t>
      </w:r>
      <w:r w:rsidR="00177115" w:rsidRPr="005E3901">
        <w:rPr>
          <w:rFonts w:ascii="Arial" w:hAnsi="Arial" w:cs="Arial"/>
        </w:rPr>
        <w:t>:</w:t>
      </w:r>
      <w:r w:rsidR="007C2B3E" w:rsidRPr="005E3901">
        <w:rPr>
          <w:rFonts w:ascii="Arial" w:hAnsi="Arial" w:cs="Arial"/>
        </w:rPr>
        <w:t>4</w:t>
      </w:r>
      <w:r w:rsidR="00177115" w:rsidRPr="005E3901">
        <w:rPr>
          <w:rFonts w:ascii="Arial" w:hAnsi="Arial" w:cs="Arial"/>
        </w:rPr>
        <w:t xml:space="preserve">0 </w:t>
      </w:r>
      <w:r w:rsidRPr="005E3901">
        <w:rPr>
          <w:rFonts w:ascii="Arial" w:hAnsi="Arial" w:cs="Arial"/>
        </w:rPr>
        <w:t>P</w:t>
      </w:r>
      <w:r w:rsidR="00177115" w:rsidRPr="005E3901">
        <w:rPr>
          <w:rFonts w:ascii="Arial" w:hAnsi="Arial" w:cs="Arial"/>
        </w:rPr>
        <w:t>M</w:t>
      </w:r>
    </w:p>
    <w:p w14:paraId="7960E2AC" w14:textId="147251A4" w:rsidR="00FC6D61" w:rsidRDefault="00321138" w:rsidP="00C034D8">
      <w:pPr>
        <w:jc w:val="center"/>
        <w:rPr>
          <w:rFonts w:ascii="Arial" w:hAnsi="Arial" w:cs="Arial"/>
        </w:rPr>
      </w:pPr>
      <w:r w:rsidRPr="005E3901">
        <w:rPr>
          <w:rFonts w:ascii="Arial" w:hAnsi="Arial" w:cs="Arial"/>
        </w:rPr>
        <w:t xml:space="preserve">Room </w:t>
      </w:r>
      <w:r w:rsidR="00E20656">
        <w:rPr>
          <w:rFonts w:ascii="Arial" w:hAnsi="Arial" w:cs="Arial"/>
        </w:rPr>
        <w:t>354</w:t>
      </w:r>
      <w:r w:rsidR="0058588A" w:rsidRPr="005E3901">
        <w:rPr>
          <w:rFonts w:ascii="Arial" w:hAnsi="Arial" w:cs="Arial"/>
        </w:rPr>
        <w:t xml:space="preserve"> HOL</w:t>
      </w:r>
    </w:p>
    <w:p w14:paraId="00B2BBC7" w14:textId="1F9BB196" w:rsidR="00057F99" w:rsidRPr="005E3901" w:rsidRDefault="00057F99" w:rsidP="00C034D8">
      <w:pPr>
        <w:jc w:val="center"/>
        <w:rPr>
          <w:rFonts w:ascii="Arial" w:hAnsi="Arial" w:cs="Arial"/>
          <w:b/>
        </w:rPr>
      </w:pPr>
      <w:r>
        <w:rPr>
          <w:rFonts w:ascii="Arial" w:hAnsi="Arial" w:cs="Arial"/>
          <w:b/>
        </w:rPr>
        <w:t>Two credit hours</w:t>
      </w:r>
    </w:p>
    <w:p w14:paraId="14E4D4ED" w14:textId="77777777" w:rsidR="00177115" w:rsidRPr="005E3901" w:rsidRDefault="00177115" w:rsidP="00177115">
      <w:pPr>
        <w:jc w:val="center"/>
        <w:rPr>
          <w:rFonts w:ascii="Arial" w:hAnsi="Arial" w:cs="Arial"/>
        </w:rPr>
      </w:pPr>
    </w:p>
    <w:p w14:paraId="29C94611" w14:textId="77777777" w:rsidR="00177115" w:rsidRPr="005E3901" w:rsidRDefault="00177115" w:rsidP="00C315CC">
      <w:pPr>
        <w:rPr>
          <w:rFonts w:ascii="Arial" w:hAnsi="Arial" w:cs="Arial"/>
        </w:rPr>
      </w:pPr>
      <w:r w:rsidRPr="005E3901">
        <w:rPr>
          <w:rFonts w:ascii="Arial" w:hAnsi="Arial" w:cs="Arial"/>
        </w:rPr>
        <w:t>Professor Jon Mills</w:t>
      </w:r>
    </w:p>
    <w:p w14:paraId="2991B5F8" w14:textId="77777777" w:rsidR="00C315CC" w:rsidRPr="005E3901" w:rsidRDefault="00C315CC" w:rsidP="00C315CC">
      <w:pPr>
        <w:rPr>
          <w:rFonts w:ascii="Arial" w:hAnsi="Arial" w:cs="Arial"/>
        </w:rPr>
      </w:pPr>
      <w:r w:rsidRPr="005E3901">
        <w:rPr>
          <w:rFonts w:ascii="Arial" w:hAnsi="Arial" w:cs="Arial"/>
        </w:rPr>
        <w:t xml:space="preserve">Office: </w:t>
      </w:r>
      <w:r w:rsidR="00177115" w:rsidRPr="005E3901">
        <w:rPr>
          <w:rFonts w:ascii="Arial" w:hAnsi="Arial" w:cs="Arial"/>
        </w:rPr>
        <w:t xml:space="preserve">230 </w:t>
      </w:r>
      <w:proofErr w:type="spellStart"/>
      <w:r w:rsidR="00177115" w:rsidRPr="005E3901">
        <w:rPr>
          <w:rFonts w:ascii="Arial" w:hAnsi="Arial" w:cs="Arial"/>
        </w:rPr>
        <w:t>Bruton</w:t>
      </w:r>
      <w:proofErr w:type="spellEnd"/>
      <w:r w:rsidR="00177115" w:rsidRPr="005E3901">
        <w:rPr>
          <w:rFonts w:ascii="Arial" w:hAnsi="Arial" w:cs="Arial"/>
        </w:rPr>
        <w:t>-Geer</w:t>
      </w:r>
      <w:r w:rsidR="004119AC" w:rsidRPr="005E3901">
        <w:rPr>
          <w:rFonts w:ascii="Arial" w:hAnsi="Arial" w:cs="Arial"/>
        </w:rPr>
        <w:t xml:space="preserve"> (CGR office)</w:t>
      </w:r>
    </w:p>
    <w:p w14:paraId="55FEC2FC" w14:textId="77777777" w:rsidR="00C315CC" w:rsidRPr="005E3901" w:rsidRDefault="00C315CC" w:rsidP="00C315CC">
      <w:pPr>
        <w:rPr>
          <w:rFonts w:ascii="Arial" w:hAnsi="Arial" w:cs="Arial"/>
        </w:rPr>
      </w:pPr>
      <w:r w:rsidRPr="005E3901">
        <w:rPr>
          <w:rFonts w:ascii="Arial" w:hAnsi="Arial" w:cs="Arial"/>
        </w:rPr>
        <w:t>Phone:</w:t>
      </w:r>
      <w:r w:rsidR="00177115" w:rsidRPr="005E3901">
        <w:rPr>
          <w:rFonts w:ascii="Arial" w:hAnsi="Arial" w:cs="Arial"/>
        </w:rPr>
        <w:t xml:space="preserve"> 273-0835</w:t>
      </w:r>
    </w:p>
    <w:p w14:paraId="298B19DC" w14:textId="77777777" w:rsidR="00177115" w:rsidRPr="005E3901" w:rsidRDefault="00C315CC" w:rsidP="00C315CC">
      <w:pPr>
        <w:rPr>
          <w:rFonts w:ascii="Arial" w:hAnsi="Arial" w:cs="Arial"/>
          <w:lang w:val="pt-BR"/>
        </w:rPr>
      </w:pPr>
      <w:r w:rsidRPr="005E3901">
        <w:rPr>
          <w:rFonts w:ascii="Arial" w:hAnsi="Arial" w:cs="Arial"/>
          <w:lang w:val="pt-BR"/>
        </w:rPr>
        <w:t xml:space="preserve">E-mail: </w:t>
      </w:r>
      <w:r w:rsidR="00846EC2">
        <w:fldChar w:fldCharType="begin"/>
      </w:r>
      <w:r w:rsidR="00846EC2">
        <w:instrText xml:space="preserve"> HYPERLINK "mailto:mills@law.ufl.edu" </w:instrText>
      </w:r>
      <w:r w:rsidR="00846EC2">
        <w:fldChar w:fldCharType="separate"/>
      </w:r>
      <w:r w:rsidR="00321138" w:rsidRPr="005E3901">
        <w:rPr>
          <w:rStyle w:val="Hyperlink"/>
          <w:rFonts w:ascii="Arial" w:hAnsi="Arial" w:cs="Arial"/>
          <w:lang w:val="pt-BR"/>
        </w:rPr>
        <w:t>mills@law.ufl.edu</w:t>
      </w:r>
      <w:r w:rsidR="00846EC2">
        <w:rPr>
          <w:rStyle w:val="Hyperlink"/>
          <w:rFonts w:ascii="Arial" w:hAnsi="Arial" w:cs="Arial"/>
          <w:lang w:val="pt-BR"/>
        </w:rPr>
        <w:fldChar w:fldCharType="end"/>
      </w:r>
      <w:r w:rsidR="00321138" w:rsidRPr="005E3901">
        <w:rPr>
          <w:rFonts w:ascii="Arial" w:hAnsi="Arial" w:cs="Arial"/>
          <w:lang w:val="pt-BR"/>
        </w:rPr>
        <w:t xml:space="preserve"> </w:t>
      </w:r>
    </w:p>
    <w:p w14:paraId="586BDE5E" w14:textId="77777777" w:rsidR="00C315CC" w:rsidRPr="005E3901" w:rsidRDefault="00C315CC" w:rsidP="00C315CC">
      <w:pPr>
        <w:rPr>
          <w:rFonts w:ascii="Arial" w:hAnsi="Arial" w:cs="Arial"/>
        </w:rPr>
      </w:pPr>
      <w:r w:rsidRPr="005E3901">
        <w:rPr>
          <w:rFonts w:ascii="Arial" w:hAnsi="Arial" w:cs="Arial"/>
        </w:rPr>
        <w:t>Student Hours by appointment</w:t>
      </w:r>
      <w:r w:rsidR="00744B6E" w:rsidRPr="005E3901">
        <w:rPr>
          <w:rFonts w:ascii="Arial" w:hAnsi="Arial" w:cs="Arial"/>
        </w:rPr>
        <w:t xml:space="preserve"> only</w:t>
      </w:r>
      <w:r w:rsidR="00321138" w:rsidRPr="005E3901">
        <w:rPr>
          <w:rFonts w:ascii="Arial" w:hAnsi="Arial" w:cs="Arial"/>
        </w:rPr>
        <w:t xml:space="preserve"> </w:t>
      </w:r>
    </w:p>
    <w:p w14:paraId="3D3EA6FF" w14:textId="77777777" w:rsidR="00177115" w:rsidRPr="005E3901" w:rsidRDefault="00177115" w:rsidP="0079121C">
      <w:pPr>
        <w:jc w:val="center"/>
        <w:rPr>
          <w:rFonts w:ascii="Arial" w:hAnsi="Arial" w:cs="Arial"/>
          <w:b/>
        </w:rPr>
      </w:pPr>
    </w:p>
    <w:p w14:paraId="27995F3A" w14:textId="77777777" w:rsidR="00AC3F19" w:rsidRPr="005E3901" w:rsidRDefault="00AC3F19" w:rsidP="00AC3F19">
      <w:pPr>
        <w:jc w:val="center"/>
        <w:rPr>
          <w:rFonts w:ascii="Arial" w:hAnsi="Arial" w:cs="Arial"/>
          <w:b/>
          <w:u w:val="single"/>
        </w:rPr>
      </w:pPr>
    </w:p>
    <w:p w14:paraId="41E6FEB3" w14:textId="77777777" w:rsidR="00AC3F19" w:rsidRPr="005E3901" w:rsidRDefault="00AC3F19" w:rsidP="00AC3F19">
      <w:pPr>
        <w:jc w:val="center"/>
        <w:rPr>
          <w:rFonts w:ascii="Arial" w:hAnsi="Arial" w:cs="Arial"/>
          <w:b/>
          <w:u w:val="single"/>
        </w:rPr>
      </w:pPr>
      <w:r w:rsidRPr="005E3901">
        <w:rPr>
          <w:rFonts w:ascii="Arial" w:hAnsi="Arial" w:cs="Arial"/>
          <w:b/>
          <w:u w:val="single"/>
        </w:rPr>
        <w:t>COURSE DESCRIPTION</w:t>
      </w:r>
    </w:p>
    <w:p w14:paraId="55C5EF92" w14:textId="77777777" w:rsidR="00AC3F19" w:rsidRPr="005E3901" w:rsidRDefault="00AC3F19" w:rsidP="00AC3F19">
      <w:pPr>
        <w:jc w:val="center"/>
        <w:rPr>
          <w:rFonts w:ascii="Arial" w:hAnsi="Arial" w:cs="Arial"/>
          <w:b/>
          <w:u w:val="single"/>
        </w:rPr>
      </w:pPr>
    </w:p>
    <w:p w14:paraId="25848603" w14:textId="1AE35B31" w:rsidR="00AC3F19" w:rsidRDefault="00AC3F19" w:rsidP="00AC3F19">
      <w:pPr>
        <w:autoSpaceDE w:val="0"/>
        <w:autoSpaceDN w:val="0"/>
        <w:adjustRightInd w:val="0"/>
        <w:rPr>
          <w:rFonts w:ascii="Arial" w:hAnsi="Arial" w:cs="Arial"/>
          <w:color w:val="000000" w:themeColor="text1"/>
        </w:rPr>
      </w:pPr>
      <w:r w:rsidRPr="005E3901">
        <w:rPr>
          <w:rFonts w:ascii="Arial" w:hAnsi="Arial" w:cs="Arial"/>
          <w:color w:val="000000" w:themeColor="text1"/>
        </w:rPr>
        <w:t>This seminar will evaluate the development and current status of the law related to the priva</w:t>
      </w:r>
      <w:r w:rsidR="007D5413" w:rsidRPr="005E3901">
        <w:rPr>
          <w:rFonts w:ascii="Arial" w:hAnsi="Arial" w:cs="Arial"/>
          <w:color w:val="000000" w:themeColor="text1"/>
        </w:rPr>
        <w:t>cy, cybersecurity and data breaches</w:t>
      </w:r>
      <w:r w:rsidRPr="005E3901">
        <w:rPr>
          <w:rFonts w:ascii="Arial" w:hAnsi="Arial" w:cs="Arial"/>
          <w:color w:val="000000" w:themeColor="text1"/>
        </w:rPr>
        <w:t xml:space="preserve">. </w:t>
      </w:r>
      <w:r w:rsidR="007D5413" w:rsidRPr="005E3901">
        <w:rPr>
          <w:rFonts w:ascii="Arial" w:hAnsi="Arial" w:cs="Arial"/>
          <w:color w:val="000000" w:themeColor="text1"/>
        </w:rPr>
        <w:t>We will discuss the regulations and legal structures that regulate and attempt to protect data.</w:t>
      </w:r>
    </w:p>
    <w:p w14:paraId="1F2E2A77" w14:textId="491FCB88" w:rsidR="004A3252" w:rsidRDefault="004A3252" w:rsidP="00AC3F19">
      <w:pPr>
        <w:autoSpaceDE w:val="0"/>
        <w:autoSpaceDN w:val="0"/>
        <w:adjustRightInd w:val="0"/>
        <w:rPr>
          <w:rFonts w:ascii="Arial" w:hAnsi="Arial" w:cs="Arial"/>
          <w:color w:val="000000" w:themeColor="text1"/>
        </w:rPr>
      </w:pPr>
    </w:p>
    <w:p w14:paraId="63CFF200" w14:textId="698C02CA" w:rsidR="004A3252" w:rsidRPr="005E3901" w:rsidRDefault="004A3252" w:rsidP="00AC3F19">
      <w:pPr>
        <w:autoSpaceDE w:val="0"/>
        <w:autoSpaceDN w:val="0"/>
        <w:adjustRightInd w:val="0"/>
        <w:rPr>
          <w:rFonts w:ascii="Arial" w:hAnsi="Arial" w:cs="Arial"/>
          <w:color w:val="000000" w:themeColor="text1"/>
        </w:rPr>
      </w:pPr>
      <w:r>
        <w:rPr>
          <w:rFonts w:ascii="Arial" w:hAnsi="Arial" w:cs="Arial"/>
          <w:color w:val="000000" w:themeColor="text1"/>
        </w:rPr>
        <w:t xml:space="preserve">We will evaluate the developing law and policy relating to cybersecurity on a global scale and the implications of new technology on the law. </w:t>
      </w:r>
    </w:p>
    <w:p w14:paraId="6815EFFD" w14:textId="77777777" w:rsidR="007D5413" w:rsidRPr="005E3901" w:rsidRDefault="007D5413" w:rsidP="00AC3F19">
      <w:pPr>
        <w:autoSpaceDE w:val="0"/>
        <w:autoSpaceDN w:val="0"/>
        <w:adjustRightInd w:val="0"/>
        <w:rPr>
          <w:rFonts w:ascii="Arial" w:hAnsi="Arial" w:cs="Arial"/>
          <w:color w:val="000000" w:themeColor="text1"/>
        </w:rPr>
      </w:pPr>
    </w:p>
    <w:p w14:paraId="2CA4A104" w14:textId="77777777" w:rsidR="007D5413" w:rsidRPr="005E3901" w:rsidRDefault="007D5413" w:rsidP="00AC3F19">
      <w:pPr>
        <w:autoSpaceDE w:val="0"/>
        <w:autoSpaceDN w:val="0"/>
        <w:adjustRightInd w:val="0"/>
        <w:rPr>
          <w:rFonts w:ascii="Arial" w:hAnsi="Arial" w:cs="Arial"/>
          <w:color w:val="000000" w:themeColor="text1"/>
        </w:rPr>
      </w:pPr>
      <w:r w:rsidRPr="005E3901">
        <w:rPr>
          <w:rFonts w:ascii="Arial" w:hAnsi="Arial" w:cs="Arial"/>
          <w:color w:val="000000" w:themeColor="text1"/>
        </w:rPr>
        <w:t>Additionally, the class will evaluate established statutory and remedies for those harmed by data breaches.</w:t>
      </w:r>
    </w:p>
    <w:p w14:paraId="42C1E3B4" w14:textId="77777777" w:rsidR="00AC3F19" w:rsidRPr="005E3901" w:rsidRDefault="00AC3F19" w:rsidP="00AC3F19">
      <w:pPr>
        <w:rPr>
          <w:rFonts w:ascii="Arial" w:hAnsi="Arial" w:cs="Arial"/>
          <w:color w:val="000000" w:themeColor="text1"/>
        </w:rPr>
      </w:pPr>
    </w:p>
    <w:p w14:paraId="234954A6" w14:textId="77777777" w:rsidR="00AC3F19" w:rsidRPr="005E3901" w:rsidRDefault="00AC3F19" w:rsidP="00AC3F19">
      <w:pPr>
        <w:rPr>
          <w:rFonts w:ascii="Arial" w:hAnsi="Arial" w:cs="Arial"/>
          <w:b/>
          <w:color w:val="000000" w:themeColor="text1"/>
          <w:u w:val="single"/>
        </w:rPr>
      </w:pPr>
      <w:r w:rsidRPr="005E3901">
        <w:rPr>
          <w:rFonts w:ascii="Arial" w:hAnsi="Arial" w:cs="Arial"/>
          <w:color w:val="000000" w:themeColor="text1"/>
        </w:rPr>
        <w:t>The seminar will include a written research paper and an oral presentation to the class.</w:t>
      </w:r>
    </w:p>
    <w:p w14:paraId="4F411921" w14:textId="7F04DF2F" w:rsidR="00835B38" w:rsidRDefault="009A3DC8" w:rsidP="008D40AA">
      <w:pPr>
        <w:spacing w:after="120"/>
        <w:rPr>
          <w:rFonts w:ascii="Arial" w:hAnsi="Arial" w:cs="Arial"/>
          <w:color w:val="000000" w:themeColor="text1"/>
        </w:rPr>
      </w:pPr>
      <w:r w:rsidRPr="005E3901">
        <w:rPr>
          <w:rFonts w:ascii="Arial" w:hAnsi="Arial" w:cs="Arial"/>
          <w:color w:val="000000" w:themeColor="text1"/>
        </w:rPr>
        <w:t>We will be using guideline for</w:t>
      </w:r>
      <w:r w:rsidR="00835B38" w:rsidRPr="005E3901">
        <w:rPr>
          <w:rFonts w:ascii="Arial" w:hAnsi="Arial" w:cs="Arial"/>
          <w:color w:val="000000" w:themeColor="text1"/>
        </w:rPr>
        <w:t xml:space="preserve"> Advanced Writing Certificate</w:t>
      </w:r>
      <w:r w:rsidRPr="005E3901">
        <w:rPr>
          <w:rFonts w:ascii="Arial" w:hAnsi="Arial" w:cs="Arial"/>
          <w:color w:val="000000" w:themeColor="text1"/>
        </w:rPr>
        <w:t xml:space="preserve"> which is: </w:t>
      </w:r>
      <w:r w:rsidR="00835B38" w:rsidRPr="005E3901">
        <w:rPr>
          <w:rFonts w:ascii="Arial" w:hAnsi="Arial" w:cs="Arial"/>
          <w:color w:val="000000" w:themeColor="text1"/>
        </w:rPr>
        <w:t>25 pages (exclusive of footnotes) on Letter-sized paper</w:t>
      </w:r>
      <w:r w:rsidRPr="005E3901">
        <w:rPr>
          <w:rFonts w:ascii="Arial" w:hAnsi="Arial" w:cs="Arial"/>
          <w:color w:val="000000" w:themeColor="text1"/>
        </w:rPr>
        <w:t>, 1</w:t>
      </w:r>
      <w:r w:rsidR="00835B38" w:rsidRPr="005E3901">
        <w:rPr>
          <w:rFonts w:ascii="Arial" w:hAnsi="Arial" w:cs="Arial"/>
          <w:color w:val="000000" w:themeColor="text1"/>
        </w:rPr>
        <w:t>2-point Times New Roman</w:t>
      </w:r>
      <w:r w:rsidRPr="005E3901">
        <w:rPr>
          <w:rFonts w:ascii="Arial" w:hAnsi="Arial" w:cs="Arial"/>
          <w:color w:val="000000" w:themeColor="text1"/>
        </w:rPr>
        <w:t xml:space="preserve">, </w:t>
      </w:r>
      <w:r w:rsidR="00835B38" w:rsidRPr="005E3901">
        <w:rPr>
          <w:rFonts w:ascii="Arial" w:hAnsi="Arial" w:cs="Arial"/>
          <w:color w:val="000000" w:themeColor="text1"/>
        </w:rPr>
        <w:t>1 inch margins (top, bottom &amp; sides)</w:t>
      </w:r>
      <w:r w:rsidRPr="005E3901">
        <w:rPr>
          <w:rFonts w:ascii="Arial" w:hAnsi="Arial" w:cs="Arial"/>
          <w:color w:val="000000" w:themeColor="text1"/>
        </w:rPr>
        <w:t xml:space="preserve">, and </w:t>
      </w:r>
      <w:r w:rsidR="00835B38" w:rsidRPr="005E3901">
        <w:rPr>
          <w:rFonts w:ascii="Arial" w:hAnsi="Arial" w:cs="Arial"/>
          <w:color w:val="000000" w:themeColor="text1"/>
        </w:rPr>
        <w:t>double-spaced text.</w:t>
      </w:r>
    </w:p>
    <w:p w14:paraId="78F31504" w14:textId="207A3FE7" w:rsidR="00057F99" w:rsidRDefault="00057F99" w:rsidP="008D40AA">
      <w:pPr>
        <w:spacing w:after="120"/>
        <w:rPr>
          <w:rFonts w:ascii="Arial" w:hAnsi="Arial" w:cs="Arial"/>
          <w:color w:val="000000" w:themeColor="text1"/>
        </w:rPr>
      </w:pPr>
    </w:p>
    <w:p w14:paraId="0CF247BB" w14:textId="3B53DF4B" w:rsidR="00057F99" w:rsidRDefault="00057F99" w:rsidP="008D40AA">
      <w:pPr>
        <w:spacing w:after="120"/>
        <w:rPr>
          <w:rFonts w:ascii="Arial" w:hAnsi="Arial" w:cs="Arial"/>
          <w:b/>
          <w:color w:val="000000" w:themeColor="text1"/>
        </w:rPr>
      </w:pPr>
      <w:r>
        <w:rPr>
          <w:rFonts w:ascii="Arial" w:hAnsi="Arial" w:cs="Arial"/>
          <w:b/>
          <w:color w:val="000000" w:themeColor="text1"/>
        </w:rPr>
        <w:t>Completion of Course:</w:t>
      </w:r>
    </w:p>
    <w:p w14:paraId="1BAA06E8" w14:textId="791EB741" w:rsidR="004A3252" w:rsidRPr="004A3252" w:rsidRDefault="004A3252" w:rsidP="008D40AA">
      <w:pPr>
        <w:spacing w:after="120"/>
        <w:rPr>
          <w:rFonts w:ascii="Arial" w:hAnsi="Arial" w:cs="Arial"/>
          <w:color w:val="000000" w:themeColor="text1"/>
        </w:rPr>
      </w:pPr>
      <w:r>
        <w:rPr>
          <w:rFonts w:ascii="Arial" w:hAnsi="Arial" w:cs="Arial"/>
          <w:color w:val="000000" w:themeColor="text1"/>
        </w:rPr>
        <w:t xml:space="preserve">Students must participate in class discussion, make a presentation to the class base on their chosen topic and complete the 25 page seminar paper. </w:t>
      </w:r>
    </w:p>
    <w:p w14:paraId="6A77FE53" w14:textId="1864B72E" w:rsidR="00D27DD9" w:rsidRDefault="00D27DD9" w:rsidP="008D40AA">
      <w:pPr>
        <w:spacing w:after="120"/>
        <w:rPr>
          <w:rFonts w:ascii="Arial" w:hAnsi="Arial" w:cs="Arial"/>
          <w:b/>
          <w:color w:val="000000" w:themeColor="text1"/>
        </w:rPr>
      </w:pPr>
    </w:p>
    <w:p w14:paraId="6AD4314E" w14:textId="346B7E91" w:rsidR="00D27DD9" w:rsidRDefault="00D27DD9" w:rsidP="008D40AA">
      <w:pPr>
        <w:spacing w:after="120"/>
        <w:rPr>
          <w:rFonts w:ascii="Arial" w:hAnsi="Arial" w:cs="Arial"/>
          <w:color w:val="000000" w:themeColor="text1"/>
        </w:rPr>
      </w:pPr>
      <w:r>
        <w:rPr>
          <w:rFonts w:ascii="Arial" w:hAnsi="Arial" w:cs="Arial"/>
          <w:b/>
          <w:color w:val="000000" w:themeColor="text1"/>
        </w:rPr>
        <w:t xml:space="preserve">Grades:  </w:t>
      </w:r>
      <w:r>
        <w:rPr>
          <w:rFonts w:ascii="Arial" w:hAnsi="Arial" w:cs="Arial"/>
          <w:color w:val="000000" w:themeColor="text1"/>
        </w:rPr>
        <w:t xml:space="preserve">Grades will be based </w:t>
      </w:r>
      <w:proofErr w:type="gramStart"/>
      <w:r>
        <w:rPr>
          <w:rFonts w:ascii="Arial" w:hAnsi="Arial" w:cs="Arial"/>
          <w:color w:val="000000" w:themeColor="text1"/>
        </w:rPr>
        <w:t>on :</w:t>
      </w:r>
      <w:proofErr w:type="gramEnd"/>
      <w:r>
        <w:rPr>
          <w:rFonts w:ascii="Arial" w:hAnsi="Arial" w:cs="Arial"/>
          <w:color w:val="000000" w:themeColor="text1"/>
        </w:rPr>
        <w:t xml:space="preserve"> 1)In class participation</w:t>
      </w:r>
      <w:r w:rsidR="004A3252">
        <w:rPr>
          <w:rFonts w:ascii="Arial" w:hAnsi="Arial" w:cs="Arial"/>
          <w:color w:val="000000" w:themeColor="text1"/>
        </w:rPr>
        <w:t xml:space="preserve"> (5%)</w:t>
      </w:r>
      <w:r>
        <w:rPr>
          <w:rFonts w:ascii="Arial" w:hAnsi="Arial" w:cs="Arial"/>
          <w:color w:val="000000" w:themeColor="text1"/>
        </w:rPr>
        <w:t xml:space="preserve"> ; 2) presentation to the class</w:t>
      </w:r>
      <w:r w:rsidR="004A3252">
        <w:rPr>
          <w:rFonts w:ascii="Arial" w:hAnsi="Arial" w:cs="Arial"/>
          <w:color w:val="000000" w:themeColor="text1"/>
        </w:rPr>
        <w:t xml:space="preserve"> (25%</w:t>
      </w:r>
      <w:r>
        <w:rPr>
          <w:rFonts w:ascii="Arial" w:hAnsi="Arial" w:cs="Arial"/>
          <w:color w:val="000000" w:themeColor="text1"/>
        </w:rPr>
        <w:t xml:space="preserve"> </w:t>
      </w:r>
      <w:r w:rsidR="004A3252">
        <w:rPr>
          <w:rFonts w:ascii="Arial" w:hAnsi="Arial" w:cs="Arial"/>
          <w:color w:val="000000" w:themeColor="text1"/>
        </w:rPr>
        <w:t xml:space="preserve">; and the seminar paper (75%) </w:t>
      </w:r>
    </w:p>
    <w:p w14:paraId="66D2DE62" w14:textId="62578FB8" w:rsidR="00D27DD9" w:rsidRDefault="00D27DD9" w:rsidP="008D40AA">
      <w:pPr>
        <w:spacing w:after="120"/>
        <w:rPr>
          <w:rFonts w:ascii="Arial" w:hAnsi="Arial" w:cs="Arial"/>
          <w:color w:val="000000" w:themeColor="text1"/>
        </w:rPr>
      </w:pPr>
    </w:p>
    <w:p w14:paraId="54317736" w14:textId="14DA9CBE" w:rsidR="00D27DD9" w:rsidRDefault="00D27DD9" w:rsidP="008D40AA">
      <w:pPr>
        <w:spacing w:after="120"/>
        <w:rPr>
          <w:rFonts w:ascii="Arial" w:hAnsi="Arial" w:cs="Arial"/>
          <w:color w:val="000000" w:themeColor="text1"/>
        </w:rPr>
      </w:pPr>
      <w:r>
        <w:rPr>
          <w:rFonts w:ascii="Arial" w:hAnsi="Arial" w:cs="Arial"/>
          <w:color w:val="000000" w:themeColor="text1"/>
        </w:rPr>
        <w:t xml:space="preserve">Grade </w:t>
      </w:r>
      <w:proofErr w:type="gramStart"/>
      <w:r>
        <w:rPr>
          <w:rFonts w:ascii="Arial" w:hAnsi="Arial" w:cs="Arial"/>
          <w:color w:val="000000" w:themeColor="text1"/>
        </w:rPr>
        <w:t>Values :</w:t>
      </w:r>
      <w:proofErr w:type="gramEnd"/>
      <w:r>
        <w:rPr>
          <w:rFonts w:ascii="Arial" w:hAnsi="Arial" w:cs="Arial"/>
          <w:color w:val="000000" w:themeColor="text1"/>
        </w:rPr>
        <w:t xml:space="preserve"> </w:t>
      </w:r>
    </w:p>
    <w:tbl>
      <w:tblPr>
        <w:tblW w:w="0" w:type="auto"/>
        <w:tblCellMar>
          <w:left w:w="0" w:type="dxa"/>
          <w:right w:w="0" w:type="dxa"/>
        </w:tblCellMar>
        <w:tblLook w:val="04A0" w:firstRow="1" w:lastRow="0" w:firstColumn="1" w:lastColumn="0" w:noHBand="0" w:noVBand="1"/>
      </w:tblPr>
      <w:tblGrid>
        <w:gridCol w:w="3116"/>
        <w:gridCol w:w="3117"/>
      </w:tblGrid>
      <w:tr w:rsidR="00D27DD9" w14:paraId="60696375" w14:textId="77777777" w:rsidTr="00D27DD9">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3DC3F6" w14:textId="77777777" w:rsidR="00D27DD9" w:rsidRDefault="00D27DD9">
            <w:pPr>
              <w:rPr>
                <w:sz w:val="22"/>
                <w:szCs w:val="22"/>
              </w:rPr>
            </w:pPr>
            <w:r>
              <w:rPr>
                <w:b/>
                <w:bCs/>
                <w:sz w:val="28"/>
                <w:szCs w:val="28"/>
              </w:rPr>
              <w:t>Letter Grade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93AD39" w14:textId="77777777" w:rsidR="00D27DD9" w:rsidRDefault="00D27DD9">
            <w:r>
              <w:rPr>
                <w:b/>
                <w:bCs/>
                <w:sz w:val="28"/>
                <w:szCs w:val="28"/>
              </w:rPr>
              <w:t>Point Equivalent</w:t>
            </w:r>
          </w:p>
        </w:tc>
      </w:tr>
      <w:tr w:rsidR="00D27DD9" w14:paraId="2DD1BFD4" w14:textId="77777777" w:rsidTr="00D27DD9">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742B" w14:textId="77777777" w:rsidR="00D27DD9" w:rsidRDefault="00D27DD9">
            <w:r>
              <w:t>A (Excellent)</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98A6857" w14:textId="77777777" w:rsidR="00D27DD9" w:rsidRDefault="00D27DD9">
            <w:r>
              <w:t>4.0</w:t>
            </w:r>
          </w:p>
        </w:tc>
      </w:tr>
      <w:tr w:rsidR="00D27DD9" w14:paraId="3141DBFB" w14:textId="77777777" w:rsidTr="00D27DD9">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B8E2E8" w14:textId="77777777" w:rsidR="00D27DD9" w:rsidRDefault="00D27DD9">
            <w:r>
              <w:t>A-</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9E5D5A4" w14:textId="77777777" w:rsidR="00D27DD9" w:rsidRDefault="00D27DD9">
            <w:r>
              <w:t>3.67</w:t>
            </w:r>
          </w:p>
        </w:tc>
      </w:tr>
      <w:tr w:rsidR="00D27DD9" w14:paraId="30DF9064" w14:textId="77777777" w:rsidTr="00D27DD9">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A0F923" w14:textId="77777777" w:rsidR="00D27DD9" w:rsidRDefault="00D27DD9">
            <w:r>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28827C19" w14:textId="77777777" w:rsidR="00D27DD9" w:rsidRDefault="00D27DD9">
            <w:r>
              <w:t>3.33</w:t>
            </w:r>
          </w:p>
        </w:tc>
      </w:tr>
      <w:tr w:rsidR="00D27DD9" w14:paraId="7A39FCA6" w14:textId="77777777" w:rsidTr="00D27DD9">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B326D8" w14:textId="77777777" w:rsidR="00D27DD9" w:rsidRDefault="00D27DD9">
            <w:r>
              <w:lastRenderedPageBreak/>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2E5F020" w14:textId="77777777" w:rsidR="00D27DD9" w:rsidRDefault="00D27DD9">
            <w:r>
              <w:t>3.0</w:t>
            </w:r>
          </w:p>
        </w:tc>
      </w:tr>
      <w:tr w:rsidR="00D27DD9" w14:paraId="069FECA1" w14:textId="77777777" w:rsidTr="00D27DD9">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9E646B" w14:textId="77777777" w:rsidR="00D27DD9" w:rsidRDefault="00D27DD9">
            <w:r>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07F16F0" w14:textId="77777777" w:rsidR="00D27DD9" w:rsidRDefault="00D27DD9">
            <w:r>
              <w:t>2.67</w:t>
            </w:r>
          </w:p>
        </w:tc>
      </w:tr>
      <w:tr w:rsidR="00D27DD9" w14:paraId="5E8E7ED4" w14:textId="77777777" w:rsidTr="00D27DD9">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457E22" w14:textId="77777777" w:rsidR="00D27DD9" w:rsidRDefault="00D27DD9">
            <w:r>
              <w:t>C+</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504A72F" w14:textId="77777777" w:rsidR="00D27DD9" w:rsidRDefault="00D27DD9">
            <w:r>
              <w:t>2.33</w:t>
            </w:r>
          </w:p>
        </w:tc>
      </w:tr>
      <w:tr w:rsidR="00D27DD9" w14:paraId="354B6CF1" w14:textId="77777777" w:rsidTr="00D27DD9">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A4732B" w14:textId="77777777" w:rsidR="00D27DD9" w:rsidRDefault="00D27DD9">
            <w:r>
              <w:t>C (Satisfactory)</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EE2FE88" w14:textId="77777777" w:rsidR="00D27DD9" w:rsidRDefault="00D27DD9">
            <w:r>
              <w:t>2.0</w:t>
            </w:r>
          </w:p>
        </w:tc>
      </w:tr>
      <w:tr w:rsidR="00D27DD9" w14:paraId="5AC412E1" w14:textId="77777777" w:rsidTr="00D27DD9">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9F229C" w14:textId="77777777" w:rsidR="00D27DD9" w:rsidRDefault="00D27DD9">
            <w:r>
              <w:t>C-</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8FF71F8" w14:textId="77777777" w:rsidR="00D27DD9" w:rsidRDefault="00D27DD9">
            <w:r>
              <w:t>1.67</w:t>
            </w:r>
          </w:p>
        </w:tc>
      </w:tr>
      <w:tr w:rsidR="00D27DD9" w14:paraId="47F96D8A" w14:textId="77777777" w:rsidTr="00D27DD9">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152F23" w14:textId="77777777" w:rsidR="00D27DD9" w:rsidRDefault="00D27DD9">
            <w:r>
              <w:t>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ABE0CAF" w14:textId="77777777" w:rsidR="00D27DD9" w:rsidRDefault="00D27DD9">
            <w:r>
              <w:t>1.33</w:t>
            </w:r>
          </w:p>
        </w:tc>
      </w:tr>
      <w:tr w:rsidR="00D27DD9" w14:paraId="1701639B" w14:textId="77777777" w:rsidTr="00D27DD9">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EC2A6A" w14:textId="77777777" w:rsidR="00D27DD9" w:rsidRDefault="00D27DD9">
            <w:r>
              <w:t>D (Poor)</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D23F1D5" w14:textId="77777777" w:rsidR="00D27DD9" w:rsidRDefault="00D27DD9">
            <w:r>
              <w:t>1.0</w:t>
            </w:r>
          </w:p>
        </w:tc>
      </w:tr>
      <w:tr w:rsidR="00D27DD9" w14:paraId="2106AFA1" w14:textId="77777777" w:rsidTr="00D27DD9">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56E217" w14:textId="77777777" w:rsidR="00D27DD9" w:rsidRDefault="00D27DD9">
            <w:r>
              <w:t>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F2C4959" w14:textId="77777777" w:rsidR="00D27DD9" w:rsidRDefault="00D27DD9">
            <w:r>
              <w:t>0.67</w:t>
            </w:r>
          </w:p>
        </w:tc>
      </w:tr>
      <w:tr w:rsidR="00D27DD9" w14:paraId="280DF675" w14:textId="77777777" w:rsidTr="00D27DD9">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8C743B" w14:textId="77777777" w:rsidR="00D27DD9" w:rsidRDefault="00D27DD9">
            <w:r>
              <w:t>E (Failure)</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F53AC83" w14:textId="77777777" w:rsidR="00D27DD9" w:rsidRDefault="00D27DD9">
            <w:r>
              <w:t xml:space="preserve">0.0 </w:t>
            </w:r>
          </w:p>
        </w:tc>
      </w:tr>
      <w:tr w:rsidR="00D27DD9" w14:paraId="748AEE1C" w14:textId="77777777" w:rsidTr="00D27DD9">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B4AA51" w14:textId="77777777" w:rsidR="00D27DD9" w:rsidRDefault="00D27DD9">
            <w:r>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FF6A7AA" w14:textId="77777777" w:rsidR="00D27DD9" w:rsidRDefault="00D27DD9">
            <w:r>
              <w:t> </w:t>
            </w:r>
          </w:p>
        </w:tc>
      </w:tr>
    </w:tbl>
    <w:p w14:paraId="10DDA1B5" w14:textId="77777777" w:rsidR="00D27DD9" w:rsidRDefault="00D27DD9" w:rsidP="00D27DD9">
      <w:pPr>
        <w:rPr>
          <w:rFonts w:eastAsiaTheme="minorHAnsi"/>
          <w:color w:val="000000"/>
          <w:sz w:val="22"/>
          <w:szCs w:val="22"/>
        </w:rPr>
      </w:pPr>
      <w:r>
        <w:rPr>
          <w:color w:val="000000"/>
        </w:rPr>
        <w:t> </w:t>
      </w:r>
    </w:p>
    <w:p w14:paraId="02C5DFEF" w14:textId="7C2C73E4" w:rsidR="00057F99" w:rsidRDefault="00057F99" w:rsidP="008D40AA">
      <w:pPr>
        <w:spacing w:after="120"/>
        <w:rPr>
          <w:rFonts w:ascii="Arial" w:hAnsi="Arial" w:cs="Arial"/>
          <w:b/>
          <w:color w:val="000000" w:themeColor="text1"/>
        </w:rPr>
      </w:pPr>
    </w:p>
    <w:p w14:paraId="19CC65E7" w14:textId="3F25FE43" w:rsidR="00057F99" w:rsidRDefault="00057F99" w:rsidP="00057F99">
      <w:pPr>
        <w:rPr>
          <w:rFonts w:ascii="Arial" w:hAnsi="Arial" w:cs="Arial"/>
          <w:b/>
          <w:color w:val="000000" w:themeColor="text1"/>
        </w:rPr>
      </w:pPr>
      <w:r>
        <w:rPr>
          <w:rFonts w:ascii="Arial" w:hAnsi="Arial" w:cs="Arial"/>
          <w:b/>
          <w:color w:val="000000" w:themeColor="text1"/>
        </w:rPr>
        <w:t>Academic Misconduct:</w:t>
      </w:r>
      <w:r w:rsidRPr="00057F99">
        <w:t xml:space="preserve"> </w:t>
      </w:r>
      <w:r w:rsidRPr="00057F99">
        <w:rPr>
          <w:rFonts w:ascii="Arial" w:hAnsi="Arial" w:cs="Arial"/>
          <w:color w:val="000000" w:themeColor="text1"/>
        </w:rPr>
        <w:t xml:space="preserve">Academic honesty and integrity are fundamental values of the University community. Students should be sure that they understand the UF Student Honor Code at </w:t>
      </w:r>
      <w:hyperlink r:id="rId6" w:history="1">
        <w:r w:rsidRPr="00057F99">
          <w:rPr>
            <w:rStyle w:val="Hyperlink"/>
            <w:rFonts w:ascii="Arial" w:hAnsi="Arial" w:cs="Arial"/>
          </w:rPr>
          <w:t>http</w:t>
        </w:r>
      </w:hyperlink>
      <w:hyperlink r:id="rId7" w:history="1">
        <w:r w:rsidRPr="00057F99">
          <w:rPr>
            <w:rStyle w:val="Hyperlink"/>
            <w:rFonts w:ascii="Arial" w:hAnsi="Arial" w:cs="Arial"/>
          </w:rPr>
          <w:t>://</w:t>
        </w:r>
      </w:hyperlink>
      <w:hyperlink r:id="rId8" w:history="1">
        <w:r w:rsidRPr="00057F99">
          <w:rPr>
            <w:rStyle w:val="Hyperlink"/>
            <w:rFonts w:ascii="Arial" w:hAnsi="Arial" w:cs="Arial"/>
          </w:rPr>
          <w:t>www</w:t>
        </w:r>
      </w:hyperlink>
      <w:hyperlink r:id="rId9" w:history="1">
        <w:r w:rsidRPr="00057F99">
          <w:rPr>
            <w:rStyle w:val="Hyperlink"/>
            <w:rFonts w:ascii="Arial" w:hAnsi="Arial" w:cs="Arial"/>
          </w:rPr>
          <w:t>.</w:t>
        </w:r>
      </w:hyperlink>
      <w:hyperlink r:id="rId10" w:history="1">
        <w:r w:rsidRPr="00057F99">
          <w:rPr>
            <w:rStyle w:val="Hyperlink"/>
            <w:rFonts w:ascii="Arial" w:hAnsi="Arial" w:cs="Arial"/>
          </w:rPr>
          <w:t>dso</w:t>
        </w:r>
      </w:hyperlink>
      <w:hyperlink r:id="rId11" w:history="1">
        <w:r w:rsidRPr="00057F99">
          <w:rPr>
            <w:rStyle w:val="Hyperlink"/>
            <w:rFonts w:ascii="Arial" w:hAnsi="Arial" w:cs="Arial"/>
          </w:rPr>
          <w:t>.</w:t>
        </w:r>
      </w:hyperlink>
      <w:hyperlink r:id="rId12" w:history="1">
        <w:r w:rsidRPr="00057F99">
          <w:rPr>
            <w:rStyle w:val="Hyperlink"/>
            <w:rFonts w:ascii="Arial" w:hAnsi="Arial" w:cs="Arial"/>
          </w:rPr>
          <w:t>ufl</w:t>
        </w:r>
      </w:hyperlink>
      <w:hyperlink r:id="rId13" w:history="1">
        <w:r w:rsidRPr="00057F99">
          <w:rPr>
            <w:rStyle w:val="Hyperlink"/>
            <w:rFonts w:ascii="Arial" w:hAnsi="Arial" w:cs="Arial"/>
          </w:rPr>
          <w:t>.</w:t>
        </w:r>
      </w:hyperlink>
      <w:hyperlink r:id="rId14" w:history="1">
        <w:r w:rsidRPr="00057F99">
          <w:rPr>
            <w:rStyle w:val="Hyperlink"/>
            <w:rFonts w:ascii="Arial" w:hAnsi="Arial" w:cs="Arial"/>
          </w:rPr>
          <w:t>edu</w:t>
        </w:r>
      </w:hyperlink>
      <w:hyperlink r:id="rId15" w:history="1">
        <w:r w:rsidRPr="00057F99">
          <w:rPr>
            <w:rStyle w:val="Hyperlink"/>
            <w:rFonts w:ascii="Arial" w:hAnsi="Arial" w:cs="Arial"/>
          </w:rPr>
          <w:t>/</w:t>
        </w:r>
      </w:hyperlink>
      <w:hyperlink r:id="rId16" w:history="1">
        <w:r w:rsidRPr="00057F99">
          <w:rPr>
            <w:rStyle w:val="Hyperlink"/>
            <w:rFonts w:ascii="Arial" w:hAnsi="Arial" w:cs="Arial"/>
          </w:rPr>
          <w:t>students</w:t>
        </w:r>
      </w:hyperlink>
      <w:hyperlink r:id="rId17" w:history="1">
        <w:r w:rsidRPr="00057F99">
          <w:rPr>
            <w:rStyle w:val="Hyperlink"/>
            <w:rFonts w:ascii="Arial" w:hAnsi="Arial" w:cs="Arial"/>
          </w:rPr>
          <w:t>.</w:t>
        </w:r>
      </w:hyperlink>
      <w:hyperlink r:id="rId18" w:history="1">
        <w:r w:rsidRPr="00057F99">
          <w:rPr>
            <w:rStyle w:val="Hyperlink"/>
            <w:rFonts w:ascii="Arial" w:hAnsi="Arial" w:cs="Arial"/>
          </w:rPr>
          <w:t>php</w:t>
        </w:r>
      </w:hyperlink>
      <w:r w:rsidRPr="00057F99">
        <w:rPr>
          <w:rFonts w:ascii="Arial" w:hAnsi="Arial" w:cs="Arial"/>
          <w:b/>
          <w:color w:val="000000" w:themeColor="text1"/>
        </w:rPr>
        <w:t>.</w:t>
      </w:r>
    </w:p>
    <w:p w14:paraId="2F98283B" w14:textId="7B4C3BBE" w:rsidR="00057F99" w:rsidRDefault="00057F99" w:rsidP="00057F99">
      <w:pPr>
        <w:rPr>
          <w:rFonts w:ascii="Arial" w:hAnsi="Arial" w:cs="Arial"/>
          <w:b/>
          <w:color w:val="000000" w:themeColor="text1"/>
        </w:rPr>
      </w:pPr>
    </w:p>
    <w:p w14:paraId="37EAA002" w14:textId="6DB22C39" w:rsidR="00057F99" w:rsidRDefault="00057F99" w:rsidP="00057F99">
      <w:pPr>
        <w:rPr>
          <w:rFonts w:ascii="Arial" w:hAnsi="Arial" w:cs="Arial"/>
          <w:color w:val="000000" w:themeColor="text1"/>
        </w:rPr>
      </w:pPr>
      <w:r>
        <w:rPr>
          <w:rFonts w:ascii="Arial" w:hAnsi="Arial" w:cs="Arial"/>
          <w:b/>
          <w:color w:val="000000" w:themeColor="text1"/>
        </w:rPr>
        <w:t xml:space="preserve">Workload and class preparation: </w:t>
      </w:r>
      <w:r w:rsidRPr="00057F99">
        <w:rPr>
          <w:rFonts w:ascii="Arial" w:hAnsi="Arial" w:cs="Arial"/>
          <w:b/>
          <w:color w:val="000000" w:themeColor="text1"/>
        </w:rPr>
        <w:t xml:space="preserve"> </w:t>
      </w:r>
      <w:r w:rsidRPr="00057F99">
        <w:rPr>
          <w:rFonts w:ascii="Arial" w:hAnsi="Arial" w:cs="Arial"/>
          <w:color w:val="000000" w:themeColor="text1"/>
        </w:rPr>
        <w:t>It is anticipated that you will spend approximately 2 hours out of class reading and/or preparing for in class assignments for every 1 hour in class.</w:t>
      </w:r>
    </w:p>
    <w:p w14:paraId="67576783" w14:textId="1F2B0082" w:rsidR="00057F99" w:rsidRDefault="00057F99" w:rsidP="00057F99">
      <w:pPr>
        <w:rPr>
          <w:rFonts w:ascii="Arial" w:hAnsi="Arial" w:cs="Arial"/>
          <w:b/>
          <w:color w:val="000000" w:themeColor="text1"/>
        </w:rPr>
      </w:pPr>
    </w:p>
    <w:p w14:paraId="04BBE3B3" w14:textId="5ADF1EBF" w:rsidR="00057F99" w:rsidRDefault="00057F99" w:rsidP="00057F99">
      <w:pPr>
        <w:rPr>
          <w:rFonts w:ascii="Arial" w:hAnsi="Arial" w:cs="Arial"/>
          <w:color w:val="000000" w:themeColor="text1"/>
        </w:rPr>
      </w:pPr>
      <w:r>
        <w:rPr>
          <w:rFonts w:ascii="Arial" w:hAnsi="Arial" w:cs="Arial"/>
          <w:b/>
          <w:color w:val="000000" w:themeColor="text1"/>
        </w:rPr>
        <w:t xml:space="preserve">Student learning outcomes: </w:t>
      </w:r>
      <w:r>
        <w:rPr>
          <w:rFonts w:ascii="Arial" w:hAnsi="Arial" w:cs="Arial"/>
          <w:color w:val="000000" w:themeColor="text1"/>
        </w:rPr>
        <w:t xml:space="preserve">After completing the course students should be able to </w:t>
      </w:r>
    </w:p>
    <w:p w14:paraId="3CAB667F" w14:textId="1D872900" w:rsidR="00057F99" w:rsidRDefault="00057F99" w:rsidP="00057F99">
      <w:pPr>
        <w:pStyle w:val="ListParagraph"/>
        <w:numPr>
          <w:ilvl w:val="0"/>
          <w:numId w:val="39"/>
        </w:numPr>
        <w:rPr>
          <w:rFonts w:ascii="Arial" w:hAnsi="Arial" w:cs="Arial"/>
          <w:color w:val="000000" w:themeColor="text1"/>
        </w:rPr>
      </w:pPr>
      <w:r>
        <w:rPr>
          <w:rFonts w:ascii="Arial" w:hAnsi="Arial" w:cs="Arial"/>
          <w:color w:val="000000" w:themeColor="text1"/>
        </w:rPr>
        <w:t xml:space="preserve">Understand laws relating to privacy </w:t>
      </w:r>
    </w:p>
    <w:p w14:paraId="653C9FBE" w14:textId="28BDEA24" w:rsidR="00057F99" w:rsidRDefault="00667F42" w:rsidP="00057F99">
      <w:pPr>
        <w:pStyle w:val="ListParagraph"/>
        <w:numPr>
          <w:ilvl w:val="0"/>
          <w:numId w:val="39"/>
        </w:numPr>
        <w:rPr>
          <w:rFonts w:ascii="Arial" w:hAnsi="Arial" w:cs="Arial"/>
          <w:color w:val="000000" w:themeColor="text1"/>
        </w:rPr>
      </w:pPr>
      <w:r>
        <w:rPr>
          <w:rFonts w:ascii="Arial" w:hAnsi="Arial" w:cs="Arial"/>
          <w:color w:val="000000" w:themeColor="text1"/>
        </w:rPr>
        <w:t>Understand t</w:t>
      </w:r>
      <w:r w:rsidR="00057F99">
        <w:rPr>
          <w:rFonts w:ascii="Arial" w:hAnsi="Arial" w:cs="Arial"/>
          <w:color w:val="000000" w:themeColor="text1"/>
        </w:rPr>
        <w:t xml:space="preserve">he history and perspective on the laws relating to data breaches and cybersecurity. </w:t>
      </w:r>
    </w:p>
    <w:p w14:paraId="4BE6BD91" w14:textId="5E8E5CA8" w:rsidR="00057F99" w:rsidRDefault="00057F99" w:rsidP="00057F99">
      <w:pPr>
        <w:pStyle w:val="ListParagraph"/>
        <w:numPr>
          <w:ilvl w:val="0"/>
          <w:numId w:val="39"/>
        </w:numPr>
        <w:rPr>
          <w:rFonts w:ascii="Arial" w:hAnsi="Arial" w:cs="Arial"/>
          <w:color w:val="000000" w:themeColor="text1"/>
        </w:rPr>
      </w:pPr>
      <w:r>
        <w:rPr>
          <w:rFonts w:ascii="Arial" w:hAnsi="Arial" w:cs="Arial"/>
          <w:color w:val="000000" w:themeColor="text1"/>
        </w:rPr>
        <w:t xml:space="preserve">Understand the differences among international principles and policies </w:t>
      </w:r>
      <w:r w:rsidR="00D27DD9">
        <w:rPr>
          <w:rFonts w:ascii="Arial" w:hAnsi="Arial" w:cs="Arial"/>
          <w:color w:val="000000" w:themeColor="text1"/>
        </w:rPr>
        <w:t>in privacy and cybersecurity and policies in the US</w:t>
      </w:r>
    </w:p>
    <w:p w14:paraId="168582D5" w14:textId="776D4914" w:rsidR="00D27DD9" w:rsidRDefault="00667F42" w:rsidP="00057F99">
      <w:pPr>
        <w:pStyle w:val="ListParagraph"/>
        <w:numPr>
          <w:ilvl w:val="0"/>
          <w:numId w:val="39"/>
        </w:numPr>
        <w:rPr>
          <w:rFonts w:ascii="Arial" w:hAnsi="Arial" w:cs="Arial"/>
          <w:color w:val="000000" w:themeColor="text1"/>
        </w:rPr>
      </w:pPr>
      <w:r>
        <w:rPr>
          <w:rFonts w:ascii="Arial" w:hAnsi="Arial" w:cs="Arial"/>
          <w:color w:val="000000" w:themeColor="text1"/>
        </w:rPr>
        <w:t>Understand t</w:t>
      </w:r>
      <w:bookmarkStart w:id="0" w:name="_GoBack"/>
      <w:bookmarkEnd w:id="0"/>
      <w:r w:rsidR="00D27DD9">
        <w:rPr>
          <w:rFonts w:ascii="Arial" w:hAnsi="Arial" w:cs="Arial"/>
          <w:color w:val="000000" w:themeColor="text1"/>
        </w:rPr>
        <w:t>he contemporary developments in case law and policy on cybersecurity issues</w:t>
      </w:r>
    </w:p>
    <w:p w14:paraId="2053EB82" w14:textId="1E124B7A" w:rsidR="004A3252" w:rsidRDefault="004A3252" w:rsidP="004A3252">
      <w:pPr>
        <w:rPr>
          <w:rFonts w:ascii="Arial" w:hAnsi="Arial" w:cs="Arial"/>
          <w:color w:val="000000" w:themeColor="text1"/>
        </w:rPr>
      </w:pPr>
    </w:p>
    <w:p w14:paraId="3EE63AF2" w14:textId="1CA75427" w:rsidR="004A3252" w:rsidRDefault="004A3252" w:rsidP="004A3252">
      <w:pPr>
        <w:rPr>
          <w:rFonts w:ascii="Arial" w:hAnsi="Arial" w:cs="Arial"/>
          <w:color w:val="000000" w:themeColor="text1"/>
        </w:rPr>
      </w:pPr>
      <w:r>
        <w:rPr>
          <w:rFonts w:ascii="Arial" w:hAnsi="Arial" w:cs="Arial"/>
          <w:b/>
          <w:color w:val="000000" w:themeColor="text1"/>
        </w:rPr>
        <w:t xml:space="preserve">Class attendance &amp; participation policy: </w:t>
      </w:r>
      <w:r>
        <w:rPr>
          <w:rFonts w:ascii="Arial" w:hAnsi="Arial" w:cs="Arial"/>
          <w:color w:val="000000" w:themeColor="text1"/>
        </w:rPr>
        <w:t xml:space="preserve">Attendance will be taken at each class meeting. Students are allowed 2 absences during the course of the semester. Students are responsible for ensuring that they are not recorded.  As absent if they come in late. A student who fails to meet the attendance requirement will be dropped from the course. </w:t>
      </w:r>
    </w:p>
    <w:p w14:paraId="5A541184" w14:textId="77777777" w:rsidR="004A3252" w:rsidRPr="004A3252" w:rsidRDefault="004A3252" w:rsidP="004A3252">
      <w:pPr>
        <w:rPr>
          <w:rFonts w:ascii="Arial" w:hAnsi="Arial" w:cs="Arial"/>
          <w:color w:val="000000" w:themeColor="text1"/>
        </w:rPr>
      </w:pPr>
    </w:p>
    <w:p w14:paraId="369CDFD6" w14:textId="3DDFE5A8" w:rsidR="00057F99" w:rsidRPr="00057F99" w:rsidRDefault="00057F99" w:rsidP="00057F99">
      <w:pPr>
        <w:rPr>
          <w:rFonts w:ascii="Arial" w:hAnsi="Arial" w:cs="Arial"/>
          <w:b/>
          <w:color w:val="000000" w:themeColor="text1"/>
        </w:rPr>
      </w:pPr>
    </w:p>
    <w:p w14:paraId="5066E824" w14:textId="1712A353" w:rsidR="00057F99" w:rsidRDefault="00057F99" w:rsidP="008D40AA">
      <w:pPr>
        <w:spacing w:after="120"/>
        <w:rPr>
          <w:rFonts w:ascii="Arial" w:hAnsi="Arial" w:cs="Arial"/>
          <w:b/>
          <w:color w:val="000000" w:themeColor="text1"/>
        </w:rPr>
      </w:pPr>
    </w:p>
    <w:p w14:paraId="4E16BBCD" w14:textId="2E0634D8" w:rsidR="00057F99" w:rsidRPr="00057F99" w:rsidRDefault="00057F99" w:rsidP="00057F99">
      <w:pPr>
        <w:rPr>
          <w:b/>
        </w:rPr>
      </w:pPr>
    </w:p>
    <w:p w14:paraId="0F6DE301" w14:textId="77777777" w:rsidR="0079121C" w:rsidRPr="005E3901" w:rsidRDefault="0079121C" w:rsidP="008D40AA">
      <w:pPr>
        <w:spacing w:after="120"/>
        <w:rPr>
          <w:rFonts w:ascii="Arial" w:hAnsi="Arial" w:cs="Arial"/>
        </w:rPr>
      </w:pPr>
    </w:p>
    <w:p w14:paraId="05AA52F1" w14:textId="77777777" w:rsidR="0079121C" w:rsidRPr="005E3901" w:rsidRDefault="000931C3" w:rsidP="008D40AA">
      <w:pPr>
        <w:spacing w:after="120"/>
        <w:jc w:val="center"/>
        <w:rPr>
          <w:rFonts w:ascii="Arial" w:hAnsi="Arial" w:cs="Arial"/>
          <w:b/>
          <w:u w:val="single"/>
        </w:rPr>
      </w:pPr>
      <w:r w:rsidRPr="005E3901">
        <w:rPr>
          <w:rFonts w:ascii="Arial" w:hAnsi="Arial" w:cs="Arial"/>
          <w:b/>
          <w:u w:val="single"/>
        </w:rPr>
        <w:t>COURSE</w:t>
      </w:r>
      <w:r w:rsidR="0079121C" w:rsidRPr="005E3901">
        <w:rPr>
          <w:rFonts w:ascii="Arial" w:hAnsi="Arial" w:cs="Arial"/>
          <w:b/>
          <w:u w:val="single"/>
        </w:rPr>
        <w:t xml:space="preserve"> SYLLABUS</w:t>
      </w:r>
    </w:p>
    <w:p w14:paraId="723C9627" w14:textId="77777777" w:rsidR="0079121C" w:rsidRPr="005E3901" w:rsidRDefault="0079121C" w:rsidP="008D40AA">
      <w:pPr>
        <w:spacing w:after="120"/>
        <w:rPr>
          <w:rFonts w:ascii="Arial" w:hAnsi="Arial" w:cs="Arial"/>
          <w:b/>
        </w:rPr>
      </w:pPr>
    </w:p>
    <w:p w14:paraId="195955A0" w14:textId="3EFEB8FE" w:rsidR="00B03B5C" w:rsidRPr="005E3901" w:rsidRDefault="00321138" w:rsidP="008D40AA">
      <w:pPr>
        <w:tabs>
          <w:tab w:val="left" w:pos="1440"/>
          <w:tab w:val="left" w:pos="7200"/>
        </w:tabs>
        <w:spacing w:after="120"/>
        <w:ind w:left="1440" w:hanging="1440"/>
        <w:rPr>
          <w:rFonts w:ascii="Arial" w:hAnsi="Arial" w:cs="Arial"/>
        </w:rPr>
      </w:pPr>
      <w:r w:rsidRPr="005E3901">
        <w:rPr>
          <w:rFonts w:ascii="Arial" w:hAnsi="Arial" w:cs="Arial"/>
          <w:b/>
        </w:rPr>
        <w:t>01</w:t>
      </w:r>
      <w:r w:rsidR="00B03B5C" w:rsidRPr="005E3901">
        <w:rPr>
          <w:rFonts w:ascii="Arial" w:hAnsi="Arial" w:cs="Arial"/>
          <w:b/>
        </w:rPr>
        <w:t>/</w:t>
      </w:r>
      <w:r w:rsidR="000F7244" w:rsidRPr="005E3901">
        <w:rPr>
          <w:rFonts w:ascii="Arial" w:hAnsi="Arial" w:cs="Arial"/>
          <w:b/>
        </w:rPr>
        <w:t>09</w:t>
      </w:r>
      <w:r w:rsidR="001C29A0" w:rsidRPr="005E3901">
        <w:rPr>
          <w:rFonts w:ascii="Arial" w:hAnsi="Arial" w:cs="Arial"/>
          <w:b/>
        </w:rPr>
        <w:t>/1</w:t>
      </w:r>
      <w:r w:rsidR="00D05AC4">
        <w:rPr>
          <w:rFonts w:ascii="Arial" w:hAnsi="Arial" w:cs="Arial"/>
          <w:b/>
        </w:rPr>
        <w:t>8</w:t>
      </w:r>
      <w:r w:rsidR="00B03B5C" w:rsidRPr="005E3901">
        <w:rPr>
          <w:rFonts w:ascii="Arial" w:hAnsi="Arial" w:cs="Arial"/>
          <w:b/>
        </w:rPr>
        <w:tab/>
        <w:t xml:space="preserve">Week #1 – </w:t>
      </w:r>
      <w:r w:rsidR="00F552E0" w:rsidRPr="005E3901">
        <w:rPr>
          <w:rFonts w:ascii="Arial" w:hAnsi="Arial" w:cs="Arial"/>
          <w:b/>
        </w:rPr>
        <w:t>Privacy in the age of big data: The value of personal information to the individual, the government, and corporations</w:t>
      </w:r>
      <w:r w:rsidR="008C6C30" w:rsidRPr="005E3901">
        <w:rPr>
          <w:rFonts w:ascii="Arial" w:hAnsi="Arial" w:cs="Arial"/>
          <w:b/>
        </w:rPr>
        <w:tab/>
      </w:r>
    </w:p>
    <w:p w14:paraId="13368D8E" w14:textId="0392AD07" w:rsidR="0037470E" w:rsidRPr="005E3901" w:rsidRDefault="0037470E" w:rsidP="00EC0B1B">
      <w:pPr>
        <w:pStyle w:val="ListParagraph"/>
        <w:numPr>
          <w:ilvl w:val="1"/>
          <w:numId w:val="1"/>
        </w:numPr>
        <w:spacing w:after="60"/>
        <w:ind w:left="720"/>
        <w:rPr>
          <w:rFonts w:ascii="Arial" w:hAnsi="Arial" w:cs="Arial"/>
          <w:sz w:val="24"/>
          <w:szCs w:val="24"/>
        </w:rPr>
      </w:pPr>
      <w:r w:rsidRPr="005E3901">
        <w:rPr>
          <w:rFonts w:ascii="Arial" w:hAnsi="Arial" w:cs="Arial"/>
          <w:sz w:val="24"/>
          <w:szCs w:val="24"/>
        </w:rPr>
        <w:t xml:space="preserve">Selections from </w:t>
      </w:r>
      <w:r w:rsidRPr="005E3901">
        <w:rPr>
          <w:rFonts w:ascii="Arial" w:hAnsi="Arial" w:cs="Arial"/>
          <w:smallCaps/>
          <w:sz w:val="24"/>
          <w:szCs w:val="24"/>
        </w:rPr>
        <w:t>Privacy: The Lost Right</w:t>
      </w:r>
      <w:r w:rsidR="003C7113" w:rsidRPr="005E3901">
        <w:rPr>
          <w:rFonts w:ascii="Arial" w:hAnsi="Arial" w:cs="Arial"/>
          <w:i/>
          <w:sz w:val="24"/>
          <w:szCs w:val="24"/>
        </w:rPr>
        <w:t xml:space="preserve"> </w:t>
      </w:r>
      <w:r w:rsidR="003C7113" w:rsidRPr="005E3901">
        <w:rPr>
          <w:rFonts w:ascii="Arial" w:hAnsi="Arial" w:cs="Arial"/>
          <w:sz w:val="24"/>
          <w:szCs w:val="24"/>
        </w:rPr>
        <w:t>(Oxford University Press</w:t>
      </w:r>
      <w:r w:rsidR="003D427E" w:rsidRPr="005E3901">
        <w:rPr>
          <w:rFonts w:ascii="Arial" w:hAnsi="Arial" w:cs="Arial"/>
          <w:sz w:val="24"/>
          <w:szCs w:val="24"/>
        </w:rPr>
        <w:t>,</w:t>
      </w:r>
      <w:r w:rsidR="003C7113" w:rsidRPr="005E3901">
        <w:rPr>
          <w:rFonts w:ascii="Arial" w:hAnsi="Arial" w:cs="Arial"/>
          <w:sz w:val="24"/>
          <w:szCs w:val="24"/>
        </w:rPr>
        <w:t xml:space="preserve"> 2008</w:t>
      </w:r>
      <w:proofErr w:type="gramStart"/>
      <w:r w:rsidR="003C7113" w:rsidRPr="005E3901">
        <w:rPr>
          <w:rFonts w:ascii="Arial" w:hAnsi="Arial" w:cs="Arial"/>
          <w:sz w:val="24"/>
          <w:szCs w:val="24"/>
        </w:rPr>
        <w:t>)</w:t>
      </w:r>
      <w:r w:rsidR="00071A0B" w:rsidRPr="005E3901">
        <w:rPr>
          <w:rFonts w:ascii="Arial" w:hAnsi="Arial" w:cs="Arial"/>
          <w:sz w:val="24"/>
          <w:szCs w:val="24"/>
        </w:rPr>
        <w:t xml:space="preserve"> </w:t>
      </w:r>
      <w:r w:rsidR="00D33175" w:rsidRPr="005E3901">
        <w:rPr>
          <w:rFonts w:ascii="Arial" w:hAnsi="Arial" w:cs="Arial"/>
          <w:sz w:val="24"/>
          <w:szCs w:val="24"/>
        </w:rPr>
        <w:t xml:space="preserve"> </w:t>
      </w:r>
      <w:r w:rsidR="00071A0B" w:rsidRPr="005E3901">
        <w:rPr>
          <w:rFonts w:ascii="Arial" w:hAnsi="Arial" w:cs="Arial"/>
          <w:color w:val="000000"/>
          <w:sz w:val="24"/>
          <w:szCs w:val="24"/>
        </w:rPr>
        <w:t>(</w:t>
      </w:r>
      <w:proofErr w:type="gramEnd"/>
      <w:r w:rsidR="001139F4" w:rsidRPr="005E3901">
        <w:rPr>
          <w:rFonts w:ascii="Arial" w:hAnsi="Arial" w:cs="Arial"/>
          <w:color w:val="000000"/>
          <w:sz w:val="24"/>
          <w:szCs w:val="24"/>
        </w:rPr>
        <w:t xml:space="preserve">Pages 9-35, </w:t>
      </w:r>
      <w:r w:rsidR="00E20656">
        <w:rPr>
          <w:rFonts w:ascii="Arial" w:hAnsi="Arial" w:cs="Arial"/>
          <w:color w:val="000000"/>
          <w:sz w:val="24"/>
          <w:szCs w:val="24"/>
        </w:rPr>
        <w:t>posted on Canvas</w:t>
      </w:r>
      <w:r w:rsidR="00071A0B" w:rsidRPr="005E3901">
        <w:rPr>
          <w:rFonts w:ascii="Arial" w:hAnsi="Arial" w:cs="Arial"/>
          <w:color w:val="000000"/>
          <w:sz w:val="24"/>
          <w:szCs w:val="24"/>
        </w:rPr>
        <w:t>).</w:t>
      </w:r>
      <w:r w:rsidR="00F552E0" w:rsidRPr="005E3901">
        <w:rPr>
          <w:rFonts w:ascii="Arial" w:hAnsi="Arial" w:cs="Arial"/>
          <w:color w:val="000000"/>
          <w:sz w:val="24"/>
          <w:szCs w:val="24"/>
        </w:rPr>
        <w:t xml:space="preserve"> </w:t>
      </w:r>
    </w:p>
    <w:p w14:paraId="2EE13D6E" w14:textId="77777777" w:rsidR="0037470E" w:rsidRPr="005E3901" w:rsidRDefault="0037470E" w:rsidP="00D33175">
      <w:pPr>
        <w:pStyle w:val="ListParagraph"/>
        <w:numPr>
          <w:ilvl w:val="1"/>
          <w:numId w:val="1"/>
        </w:numPr>
        <w:spacing w:after="60"/>
        <w:ind w:left="720"/>
        <w:rPr>
          <w:rFonts w:ascii="Arial" w:hAnsi="Arial" w:cs="Arial"/>
          <w:sz w:val="24"/>
          <w:szCs w:val="24"/>
        </w:rPr>
      </w:pPr>
      <w:r w:rsidRPr="005E3901">
        <w:rPr>
          <w:rFonts w:ascii="Arial" w:hAnsi="Arial" w:cs="Arial"/>
          <w:sz w:val="24"/>
          <w:szCs w:val="24"/>
        </w:rPr>
        <w:lastRenderedPageBreak/>
        <w:t xml:space="preserve">Excerpts from </w:t>
      </w:r>
      <w:r w:rsidR="003C7113" w:rsidRPr="005E3901">
        <w:rPr>
          <w:rFonts w:ascii="Arial" w:hAnsi="Arial" w:cs="Arial"/>
          <w:i/>
          <w:sz w:val="24"/>
          <w:szCs w:val="24"/>
        </w:rPr>
        <w:t>United States of Secrets</w:t>
      </w:r>
      <w:r w:rsidR="003C7113" w:rsidRPr="005E3901">
        <w:rPr>
          <w:rFonts w:ascii="Arial" w:hAnsi="Arial" w:cs="Arial"/>
          <w:sz w:val="24"/>
          <w:szCs w:val="24"/>
        </w:rPr>
        <w:t>,</w:t>
      </w:r>
      <w:r w:rsidRPr="005E3901">
        <w:rPr>
          <w:rFonts w:ascii="Arial" w:hAnsi="Arial" w:cs="Arial"/>
          <w:sz w:val="24"/>
          <w:szCs w:val="24"/>
        </w:rPr>
        <w:t xml:space="preserve"> </w:t>
      </w:r>
      <w:r w:rsidRPr="005E3901">
        <w:rPr>
          <w:rFonts w:ascii="Arial" w:hAnsi="Arial" w:cs="Arial"/>
          <w:smallCaps/>
          <w:sz w:val="24"/>
          <w:szCs w:val="24"/>
        </w:rPr>
        <w:t>PBS Frontline</w:t>
      </w:r>
      <w:r w:rsidR="003C7113" w:rsidRPr="005E3901">
        <w:rPr>
          <w:rFonts w:ascii="Arial" w:hAnsi="Arial" w:cs="Arial"/>
          <w:smallCaps/>
          <w:sz w:val="24"/>
          <w:szCs w:val="24"/>
        </w:rPr>
        <w:t>,</w:t>
      </w:r>
      <w:r w:rsidR="003C7113" w:rsidRPr="005E3901">
        <w:rPr>
          <w:rFonts w:ascii="Arial" w:hAnsi="Arial" w:cs="Arial"/>
          <w:i/>
          <w:sz w:val="24"/>
          <w:szCs w:val="24"/>
        </w:rPr>
        <w:t xml:space="preserve"> available at</w:t>
      </w:r>
      <w:r w:rsidRPr="005E3901">
        <w:rPr>
          <w:rFonts w:ascii="Arial" w:hAnsi="Arial" w:cs="Arial"/>
          <w:i/>
          <w:sz w:val="24"/>
          <w:szCs w:val="24"/>
        </w:rPr>
        <w:t xml:space="preserve"> </w:t>
      </w:r>
      <w:r w:rsidRPr="005E3901">
        <w:rPr>
          <w:rFonts w:ascii="Arial" w:hAnsi="Arial" w:cs="Arial"/>
          <w:sz w:val="24"/>
          <w:szCs w:val="24"/>
        </w:rPr>
        <w:t>http://www.pbs.org/wgbh/pages/frontline/united-states-of-secrets/</w:t>
      </w:r>
      <w:r w:rsidR="001139F4" w:rsidRPr="005E3901">
        <w:rPr>
          <w:rFonts w:ascii="Arial" w:hAnsi="Arial" w:cs="Arial"/>
          <w:sz w:val="24"/>
          <w:szCs w:val="24"/>
        </w:rPr>
        <w:t>.</w:t>
      </w:r>
    </w:p>
    <w:p w14:paraId="11FE6B52" w14:textId="77777777" w:rsidR="001139F4" w:rsidRPr="005E3901" w:rsidRDefault="001139F4" w:rsidP="00D33175">
      <w:pPr>
        <w:pStyle w:val="ListParagraph"/>
        <w:numPr>
          <w:ilvl w:val="1"/>
          <w:numId w:val="1"/>
        </w:numPr>
        <w:spacing w:after="60"/>
        <w:ind w:left="720"/>
        <w:rPr>
          <w:rFonts w:ascii="Arial" w:hAnsi="Arial" w:cs="Arial"/>
          <w:sz w:val="24"/>
          <w:szCs w:val="24"/>
        </w:rPr>
      </w:pPr>
      <w:r w:rsidRPr="005E3901">
        <w:rPr>
          <w:rFonts w:ascii="Arial" w:hAnsi="Arial" w:cs="Arial"/>
          <w:sz w:val="24"/>
          <w:szCs w:val="24"/>
        </w:rPr>
        <w:t xml:space="preserve">Parc Tong Sun, </w:t>
      </w:r>
      <w:r w:rsidRPr="005E3901">
        <w:rPr>
          <w:rFonts w:ascii="Arial" w:hAnsi="Arial" w:cs="Arial"/>
          <w:i/>
          <w:sz w:val="24"/>
          <w:szCs w:val="24"/>
        </w:rPr>
        <w:t>Envision a Future where your Personal Information is Digital Currency</w:t>
      </w:r>
      <w:r w:rsidRPr="005E3901">
        <w:rPr>
          <w:rFonts w:ascii="Arial" w:hAnsi="Arial" w:cs="Arial"/>
          <w:sz w:val="24"/>
          <w:szCs w:val="24"/>
        </w:rPr>
        <w:t xml:space="preserve">, WIRED (2015). https://www.wired.com/insights/2015/01/personal-information-digital-currency/. </w:t>
      </w:r>
    </w:p>
    <w:p w14:paraId="6867F1C4" w14:textId="1AA69658" w:rsidR="0037470E" w:rsidRPr="005E3901" w:rsidRDefault="0037470E" w:rsidP="00D33175">
      <w:pPr>
        <w:pStyle w:val="ListParagraph"/>
        <w:numPr>
          <w:ilvl w:val="1"/>
          <w:numId w:val="1"/>
        </w:numPr>
        <w:spacing w:after="60"/>
        <w:ind w:left="720"/>
        <w:rPr>
          <w:rFonts w:ascii="Arial" w:hAnsi="Arial" w:cs="Arial"/>
          <w:sz w:val="24"/>
          <w:szCs w:val="24"/>
        </w:rPr>
      </w:pPr>
      <w:r w:rsidRPr="005E3901">
        <w:rPr>
          <w:rFonts w:ascii="Arial" w:hAnsi="Arial" w:cs="Arial"/>
          <w:i/>
          <w:sz w:val="24"/>
          <w:szCs w:val="24"/>
        </w:rPr>
        <w:t>ACLU v. Clapper</w:t>
      </w:r>
      <w:r w:rsidRPr="005E3901">
        <w:rPr>
          <w:rFonts w:ascii="Arial" w:hAnsi="Arial" w:cs="Arial"/>
          <w:sz w:val="24"/>
          <w:szCs w:val="24"/>
        </w:rPr>
        <w:t>, 785 F. 3d 787 (</w:t>
      </w:r>
      <w:r w:rsidR="00E20656">
        <w:rPr>
          <w:rFonts w:ascii="Arial" w:hAnsi="Arial" w:cs="Arial"/>
          <w:sz w:val="24"/>
          <w:szCs w:val="24"/>
        </w:rPr>
        <w:t>2d Cir. 2015) (posted on Canvas</w:t>
      </w:r>
      <w:r w:rsidR="00071A0B" w:rsidRPr="005E3901">
        <w:rPr>
          <w:rFonts w:ascii="Arial" w:hAnsi="Arial" w:cs="Arial"/>
          <w:sz w:val="24"/>
          <w:szCs w:val="24"/>
        </w:rPr>
        <w:t>).</w:t>
      </w:r>
    </w:p>
    <w:p w14:paraId="76B2E941" w14:textId="441732E7" w:rsidR="00071A0B" w:rsidRPr="005E3901" w:rsidRDefault="00071A0B" w:rsidP="00D33175">
      <w:pPr>
        <w:pStyle w:val="ListParagraph"/>
        <w:numPr>
          <w:ilvl w:val="1"/>
          <w:numId w:val="1"/>
        </w:numPr>
        <w:spacing w:after="120"/>
        <w:ind w:left="720"/>
        <w:rPr>
          <w:rFonts w:ascii="Arial" w:hAnsi="Arial" w:cs="Arial"/>
          <w:sz w:val="24"/>
          <w:szCs w:val="24"/>
        </w:rPr>
      </w:pPr>
      <w:proofErr w:type="spellStart"/>
      <w:r w:rsidRPr="005E3901">
        <w:rPr>
          <w:rFonts w:ascii="Arial" w:hAnsi="Arial" w:cs="Arial"/>
          <w:i/>
          <w:color w:val="000000"/>
          <w:sz w:val="24"/>
          <w:szCs w:val="24"/>
        </w:rPr>
        <w:t>Klayman</w:t>
      </w:r>
      <w:proofErr w:type="spellEnd"/>
      <w:r w:rsidRPr="005E3901">
        <w:rPr>
          <w:rFonts w:ascii="Arial" w:hAnsi="Arial" w:cs="Arial"/>
          <w:i/>
          <w:color w:val="000000"/>
          <w:sz w:val="24"/>
          <w:szCs w:val="24"/>
        </w:rPr>
        <w:t xml:space="preserve"> v. Obama</w:t>
      </w:r>
      <w:r w:rsidRPr="005E3901">
        <w:rPr>
          <w:rFonts w:ascii="Arial" w:hAnsi="Arial" w:cs="Arial"/>
          <w:color w:val="000000"/>
          <w:sz w:val="24"/>
          <w:szCs w:val="24"/>
        </w:rPr>
        <w:t xml:space="preserve">, 800 F.3d 559 </w:t>
      </w:r>
      <w:r w:rsidR="00E20656">
        <w:rPr>
          <w:rFonts w:ascii="Arial" w:hAnsi="Arial" w:cs="Arial"/>
          <w:color w:val="000000"/>
          <w:sz w:val="24"/>
          <w:szCs w:val="24"/>
        </w:rPr>
        <w:t>(D.C. Cir. 2015) (posted on Canvas</w:t>
      </w:r>
      <w:r w:rsidRPr="005E3901">
        <w:rPr>
          <w:rFonts w:ascii="Arial" w:hAnsi="Arial" w:cs="Arial"/>
          <w:color w:val="000000"/>
          <w:sz w:val="24"/>
          <w:szCs w:val="24"/>
        </w:rPr>
        <w:t>).</w:t>
      </w:r>
    </w:p>
    <w:p w14:paraId="48AB68E2" w14:textId="77777777" w:rsidR="0037470E" w:rsidRPr="005E3901" w:rsidRDefault="0037470E" w:rsidP="008D40AA">
      <w:pPr>
        <w:pStyle w:val="ListParagraph"/>
        <w:ind w:left="1440"/>
        <w:rPr>
          <w:rFonts w:ascii="Arial" w:hAnsi="Arial" w:cs="Arial"/>
          <w:sz w:val="24"/>
          <w:szCs w:val="24"/>
        </w:rPr>
      </w:pPr>
    </w:p>
    <w:p w14:paraId="72E3931F" w14:textId="53E9A953" w:rsidR="00071A0B" w:rsidRPr="005E3901" w:rsidRDefault="000F7244" w:rsidP="001139F4">
      <w:pPr>
        <w:spacing w:after="120"/>
        <w:ind w:left="1440" w:hanging="1440"/>
        <w:rPr>
          <w:rFonts w:ascii="Arial" w:hAnsi="Arial" w:cs="Arial"/>
          <w:b/>
        </w:rPr>
      </w:pPr>
      <w:r w:rsidRPr="005E3901">
        <w:rPr>
          <w:rFonts w:ascii="Arial" w:hAnsi="Arial" w:cs="Arial"/>
          <w:b/>
        </w:rPr>
        <w:t>01/23</w:t>
      </w:r>
      <w:r w:rsidR="00321138" w:rsidRPr="005E3901">
        <w:rPr>
          <w:rFonts w:ascii="Arial" w:hAnsi="Arial" w:cs="Arial"/>
          <w:b/>
        </w:rPr>
        <w:t>/1</w:t>
      </w:r>
      <w:r w:rsidR="00D05AC4">
        <w:rPr>
          <w:rFonts w:ascii="Arial" w:hAnsi="Arial" w:cs="Arial"/>
          <w:b/>
        </w:rPr>
        <w:t>8</w:t>
      </w:r>
      <w:r w:rsidR="00321138" w:rsidRPr="005E3901">
        <w:rPr>
          <w:rFonts w:ascii="Arial" w:hAnsi="Arial" w:cs="Arial"/>
          <w:b/>
        </w:rPr>
        <w:tab/>
        <w:t xml:space="preserve">Week #2 – </w:t>
      </w:r>
      <w:r w:rsidR="00071A0B" w:rsidRPr="005E3901">
        <w:rPr>
          <w:rFonts w:ascii="Arial" w:hAnsi="Arial" w:cs="Arial"/>
          <w:b/>
          <w:color w:val="000000"/>
        </w:rPr>
        <w:t>Everything You Always Wanted To Know About Data Breaches* (*But Were Afraid To Ask)</w:t>
      </w:r>
    </w:p>
    <w:p w14:paraId="1F8FF11E" w14:textId="16208145" w:rsidR="00071A0B" w:rsidRPr="005E3901" w:rsidRDefault="00071A0B" w:rsidP="00D33175">
      <w:pPr>
        <w:pStyle w:val="ListParagraph"/>
        <w:numPr>
          <w:ilvl w:val="0"/>
          <w:numId w:val="3"/>
        </w:numPr>
        <w:spacing w:after="60"/>
        <w:ind w:left="720"/>
        <w:rPr>
          <w:rFonts w:ascii="Arial" w:hAnsi="Arial" w:cs="Arial"/>
          <w:sz w:val="24"/>
          <w:szCs w:val="24"/>
        </w:rPr>
      </w:pPr>
      <w:r w:rsidRPr="005E3901">
        <w:rPr>
          <w:rFonts w:ascii="Arial" w:hAnsi="Arial" w:cs="Arial"/>
          <w:color w:val="000000"/>
          <w:sz w:val="24"/>
          <w:szCs w:val="24"/>
        </w:rPr>
        <w:t>Guest Lecturer: Andy Adkins, formerly of Stepto</w:t>
      </w:r>
      <w:r w:rsidR="00EC0B1B" w:rsidRPr="005E3901">
        <w:rPr>
          <w:rFonts w:ascii="Arial" w:hAnsi="Arial" w:cs="Arial"/>
          <w:color w:val="000000"/>
          <w:sz w:val="24"/>
          <w:szCs w:val="24"/>
        </w:rPr>
        <w:t>e</w:t>
      </w:r>
      <w:r w:rsidRPr="005E3901">
        <w:rPr>
          <w:rFonts w:ascii="Arial" w:hAnsi="Arial" w:cs="Arial"/>
          <w:color w:val="000000"/>
          <w:sz w:val="24"/>
          <w:szCs w:val="24"/>
        </w:rPr>
        <w:t xml:space="preserve"> &amp; Johnson.</w:t>
      </w:r>
      <w:r w:rsidR="00D2000E" w:rsidRPr="005E3901">
        <w:rPr>
          <w:rFonts w:ascii="Arial" w:hAnsi="Arial" w:cs="Arial"/>
          <w:color w:val="000000"/>
          <w:sz w:val="24"/>
          <w:szCs w:val="24"/>
        </w:rPr>
        <w:t xml:space="preserve"> </w:t>
      </w:r>
      <w:r w:rsidR="00D2000E" w:rsidRPr="005E3901">
        <w:rPr>
          <w:rFonts w:ascii="Arial" w:hAnsi="Arial" w:cs="Arial"/>
          <w:i/>
          <w:iCs/>
          <w:sz w:val="24"/>
          <w:szCs w:val="24"/>
        </w:rPr>
        <w:t xml:space="preserve">Information Security Awareness Initiative, </w:t>
      </w:r>
      <w:r w:rsidR="00D2000E" w:rsidRPr="005E3901">
        <w:rPr>
          <w:rFonts w:ascii="Arial" w:hAnsi="Arial" w:cs="Arial"/>
          <w:iCs/>
          <w:sz w:val="24"/>
          <w:szCs w:val="24"/>
        </w:rPr>
        <w:t>Legal Technology Institute</w:t>
      </w:r>
      <w:r w:rsidR="00E20656">
        <w:rPr>
          <w:rFonts w:ascii="Arial" w:hAnsi="Arial" w:cs="Arial"/>
          <w:sz w:val="24"/>
          <w:szCs w:val="24"/>
        </w:rPr>
        <w:t xml:space="preserve"> (posted on Canvas</w:t>
      </w:r>
      <w:r w:rsidR="00D2000E" w:rsidRPr="005E3901">
        <w:rPr>
          <w:rFonts w:ascii="Arial" w:hAnsi="Arial" w:cs="Arial"/>
          <w:sz w:val="24"/>
          <w:szCs w:val="24"/>
        </w:rPr>
        <w:t>).</w:t>
      </w:r>
    </w:p>
    <w:p w14:paraId="7021D241" w14:textId="48D437C4" w:rsidR="001139F4" w:rsidRPr="005E3901" w:rsidRDefault="001139F4" w:rsidP="001139F4">
      <w:pPr>
        <w:pStyle w:val="ListParagraph"/>
        <w:numPr>
          <w:ilvl w:val="0"/>
          <w:numId w:val="3"/>
        </w:numPr>
        <w:spacing w:after="60"/>
        <w:ind w:left="720"/>
        <w:rPr>
          <w:rFonts w:ascii="Arial" w:hAnsi="Arial" w:cs="Arial"/>
          <w:sz w:val="24"/>
          <w:szCs w:val="24"/>
        </w:rPr>
      </w:pPr>
      <w:r w:rsidRPr="005E3901">
        <w:rPr>
          <w:rFonts w:ascii="Arial" w:hAnsi="Arial" w:cs="Arial"/>
          <w:sz w:val="24"/>
          <w:szCs w:val="24"/>
        </w:rPr>
        <w:t xml:space="preserve">Jon Mills &amp; Kelsey </w:t>
      </w:r>
      <w:proofErr w:type="spellStart"/>
      <w:r w:rsidRPr="005E3901">
        <w:rPr>
          <w:rFonts w:ascii="Arial" w:hAnsi="Arial" w:cs="Arial"/>
          <w:sz w:val="24"/>
          <w:szCs w:val="24"/>
        </w:rPr>
        <w:t>Harclerode</w:t>
      </w:r>
      <w:proofErr w:type="spellEnd"/>
      <w:r w:rsidRPr="005E3901">
        <w:rPr>
          <w:rFonts w:ascii="Arial" w:hAnsi="Arial" w:cs="Arial"/>
          <w:sz w:val="24"/>
          <w:szCs w:val="24"/>
        </w:rPr>
        <w:t xml:space="preserve">, </w:t>
      </w:r>
      <w:r w:rsidRPr="005E3901">
        <w:rPr>
          <w:rFonts w:ascii="Arial" w:hAnsi="Arial" w:cs="Arial"/>
          <w:i/>
          <w:sz w:val="24"/>
          <w:szCs w:val="24"/>
        </w:rPr>
        <w:t>Privacy, Mass Intrusion, and the Modern Data Breech</w:t>
      </w:r>
      <w:r w:rsidRPr="005E3901">
        <w:rPr>
          <w:rFonts w:ascii="Arial" w:hAnsi="Arial" w:cs="Arial"/>
          <w:sz w:val="24"/>
          <w:szCs w:val="24"/>
        </w:rPr>
        <w:t xml:space="preserve">, FLA. LAW REV. (2017 – </w:t>
      </w:r>
      <w:r w:rsidR="00E20656">
        <w:rPr>
          <w:rFonts w:ascii="Arial" w:hAnsi="Arial" w:cs="Arial"/>
          <w:sz w:val="24"/>
          <w:szCs w:val="24"/>
        </w:rPr>
        <w:t>forthcoming) (Available on Canvas</w:t>
      </w:r>
      <w:r w:rsidRPr="005E3901">
        <w:rPr>
          <w:rFonts w:ascii="Arial" w:hAnsi="Arial" w:cs="Arial"/>
          <w:sz w:val="24"/>
          <w:szCs w:val="24"/>
        </w:rPr>
        <w:t>)</w:t>
      </w:r>
    </w:p>
    <w:p w14:paraId="5C8BF6F5" w14:textId="77777777" w:rsidR="00C812A1" w:rsidRPr="005E3901" w:rsidRDefault="00816FF8" w:rsidP="00C812A1">
      <w:pPr>
        <w:pStyle w:val="ListParagraph"/>
        <w:numPr>
          <w:ilvl w:val="0"/>
          <w:numId w:val="3"/>
        </w:numPr>
        <w:spacing w:after="60"/>
        <w:ind w:left="720"/>
        <w:rPr>
          <w:rFonts w:ascii="Arial" w:hAnsi="Arial" w:cs="Arial"/>
          <w:sz w:val="24"/>
          <w:szCs w:val="24"/>
        </w:rPr>
      </w:pPr>
      <w:r w:rsidRPr="005E3901">
        <w:rPr>
          <w:rFonts w:ascii="Arial" w:eastAsia="Times New Roman" w:hAnsi="Arial" w:cs="Arial"/>
          <w:sz w:val="24"/>
          <w:szCs w:val="24"/>
        </w:rPr>
        <w:t>Data Breech Response: A Guide for Business, FTC (Sept. 2016) https://www.ftc.gov/system/files/documents/plain-language/pdf-0154_data-breach-response-guide-for-business.pdf.</w:t>
      </w:r>
      <w:r w:rsidR="001139F4" w:rsidRPr="005E3901">
        <w:rPr>
          <w:rFonts w:ascii="Arial" w:eastAsia="Times New Roman" w:hAnsi="Arial" w:cs="Arial"/>
          <w:sz w:val="24"/>
          <w:szCs w:val="24"/>
        </w:rPr>
        <w:t xml:space="preserve"> </w:t>
      </w:r>
    </w:p>
    <w:p w14:paraId="008DEBDA" w14:textId="3F7FD4D0" w:rsidR="00C812A1" w:rsidRPr="005E3901" w:rsidRDefault="00C812A1" w:rsidP="00C812A1">
      <w:pPr>
        <w:pStyle w:val="ListParagraph"/>
        <w:numPr>
          <w:ilvl w:val="0"/>
          <w:numId w:val="3"/>
        </w:numPr>
        <w:spacing w:after="60"/>
        <w:ind w:left="720"/>
        <w:rPr>
          <w:rFonts w:ascii="Arial" w:hAnsi="Arial" w:cs="Arial"/>
          <w:sz w:val="24"/>
          <w:szCs w:val="24"/>
        </w:rPr>
      </w:pPr>
      <w:r w:rsidRPr="005E3901">
        <w:rPr>
          <w:rFonts w:ascii="Arial" w:eastAsia="Times New Roman" w:hAnsi="Arial" w:cs="Arial"/>
          <w:sz w:val="24"/>
          <w:szCs w:val="24"/>
        </w:rPr>
        <w:t xml:space="preserve">DOJ-Cybersecurity Unit, Breach Guidelines: </w:t>
      </w:r>
      <w:r w:rsidRPr="005E3901">
        <w:rPr>
          <w:rFonts w:ascii="Arial" w:hAnsi="Arial" w:cs="Arial"/>
          <w:i/>
          <w:sz w:val="24"/>
          <w:szCs w:val="24"/>
        </w:rPr>
        <w:t>Best Practices for Victim Response and Reporting of Cyber Incidents</w:t>
      </w:r>
      <w:r w:rsidR="00E20656">
        <w:rPr>
          <w:rFonts w:ascii="Arial" w:hAnsi="Arial" w:cs="Arial"/>
          <w:sz w:val="24"/>
          <w:szCs w:val="24"/>
        </w:rPr>
        <w:t xml:space="preserve"> (April 2015) (posted on Canvas</w:t>
      </w:r>
      <w:r w:rsidRPr="005E3901">
        <w:rPr>
          <w:rFonts w:ascii="Arial" w:hAnsi="Arial" w:cs="Arial"/>
          <w:sz w:val="24"/>
          <w:szCs w:val="24"/>
        </w:rPr>
        <w:t>).</w:t>
      </w:r>
    </w:p>
    <w:p w14:paraId="5F9DAB50" w14:textId="77777777" w:rsidR="003A4340" w:rsidRPr="005E3901" w:rsidRDefault="001139F4" w:rsidP="001139F4">
      <w:pPr>
        <w:pStyle w:val="ListParagraph"/>
        <w:numPr>
          <w:ilvl w:val="0"/>
          <w:numId w:val="3"/>
        </w:numPr>
        <w:spacing w:after="60"/>
        <w:ind w:left="720"/>
        <w:rPr>
          <w:rFonts w:ascii="Arial" w:hAnsi="Arial" w:cs="Arial"/>
          <w:sz w:val="24"/>
          <w:szCs w:val="24"/>
        </w:rPr>
      </w:pPr>
      <w:proofErr w:type="spellStart"/>
      <w:r w:rsidRPr="005E3901">
        <w:rPr>
          <w:rFonts w:ascii="Arial" w:eastAsia="Times New Roman" w:hAnsi="Arial" w:cs="Arial"/>
          <w:sz w:val="24"/>
          <w:szCs w:val="24"/>
        </w:rPr>
        <w:t>Gelmato</w:t>
      </w:r>
      <w:proofErr w:type="spellEnd"/>
      <w:r w:rsidRPr="005E3901">
        <w:rPr>
          <w:rFonts w:ascii="Arial" w:eastAsia="Times New Roman" w:hAnsi="Arial" w:cs="Arial"/>
          <w:sz w:val="24"/>
          <w:szCs w:val="24"/>
        </w:rPr>
        <w:t xml:space="preserve"> and </w:t>
      </w:r>
      <w:proofErr w:type="spellStart"/>
      <w:r w:rsidRPr="005E3901">
        <w:rPr>
          <w:rFonts w:ascii="Arial" w:eastAsia="Times New Roman" w:hAnsi="Arial" w:cs="Arial"/>
          <w:sz w:val="24"/>
          <w:szCs w:val="24"/>
        </w:rPr>
        <w:t>SafeNet</w:t>
      </w:r>
      <w:proofErr w:type="spellEnd"/>
      <w:r w:rsidRPr="005E3901">
        <w:rPr>
          <w:rFonts w:ascii="Arial" w:eastAsia="Times New Roman" w:hAnsi="Arial" w:cs="Arial"/>
          <w:sz w:val="24"/>
          <w:szCs w:val="24"/>
        </w:rPr>
        <w:t xml:space="preserve">, </w:t>
      </w:r>
      <w:r w:rsidRPr="005E3901">
        <w:rPr>
          <w:rFonts w:ascii="Arial" w:eastAsia="Times New Roman" w:hAnsi="Arial" w:cs="Arial"/>
          <w:i/>
          <w:sz w:val="24"/>
          <w:szCs w:val="24"/>
        </w:rPr>
        <w:t>2014 Year of the Mega Breaches and Identity Theft</w:t>
      </w:r>
      <w:r w:rsidRPr="005E3901">
        <w:rPr>
          <w:rFonts w:ascii="Arial" w:eastAsia="Times New Roman" w:hAnsi="Arial" w:cs="Arial"/>
          <w:sz w:val="24"/>
          <w:szCs w:val="24"/>
        </w:rPr>
        <w:t xml:space="preserve">, </w:t>
      </w:r>
      <w:r w:rsidRPr="005E3901">
        <w:rPr>
          <w:rFonts w:ascii="Arial" w:eastAsia="Times New Roman" w:hAnsi="Arial" w:cs="Arial"/>
          <w:i/>
          <w:sz w:val="24"/>
          <w:szCs w:val="24"/>
        </w:rPr>
        <w:t xml:space="preserve">available at </w:t>
      </w:r>
      <w:r w:rsidRPr="005E3901">
        <w:rPr>
          <w:rFonts w:ascii="Arial" w:eastAsia="Times New Roman" w:hAnsi="Arial" w:cs="Arial"/>
          <w:sz w:val="24"/>
          <w:szCs w:val="24"/>
        </w:rPr>
        <w:t>http://breachlevelindex.com/pdf/Breach-Level-Index-Annual-Report-2014.pdf</w:t>
      </w:r>
      <w:r w:rsidRPr="005E3901">
        <w:rPr>
          <w:rFonts w:ascii="Arial" w:hAnsi="Arial" w:cs="Arial"/>
          <w:sz w:val="24"/>
          <w:szCs w:val="24"/>
        </w:rPr>
        <w:t>.</w:t>
      </w:r>
    </w:p>
    <w:p w14:paraId="3EC200D8" w14:textId="77777777" w:rsidR="0037470E" w:rsidRPr="005E3901" w:rsidRDefault="0037470E" w:rsidP="008D40AA">
      <w:pPr>
        <w:pStyle w:val="ListParagraph"/>
        <w:ind w:left="1440"/>
        <w:rPr>
          <w:rFonts w:ascii="Arial" w:hAnsi="Arial" w:cs="Arial"/>
          <w:sz w:val="24"/>
          <w:szCs w:val="24"/>
        </w:rPr>
      </w:pPr>
    </w:p>
    <w:p w14:paraId="33A7292C" w14:textId="2E67C3F9" w:rsidR="0037470E" w:rsidRPr="005E3901" w:rsidRDefault="00321138" w:rsidP="008D40AA">
      <w:pPr>
        <w:spacing w:after="120"/>
        <w:ind w:left="360" w:hanging="360"/>
        <w:rPr>
          <w:rFonts w:ascii="Arial" w:hAnsi="Arial" w:cs="Arial"/>
          <w:b/>
        </w:rPr>
      </w:pPr>
      <w:r w:rsidRPr="005E3901">
        <w:rPr>
          <w:rFonts w:ascii="Arial" w:hAnsi="Arial" w:cs="Arial"/>
          <w:b/>
        </w:rPr>
        <w:t>01/</w:t>
      </w:r>
      <w:r w:rsidR="000F7244" w:rsidRPr="005E3901">
        <w:rPr>
          <w:rFonts w:ascii="Arial" w:hAnsi="Arial" w:cs="Arial"/>
          <w:b/>
        </w:rPr>
        <w:t>30</w:t>
      </w:r>
      <w:r w:rsidRPr="005E3901">
        <w:rPr>
          <w:rFonts w:ascii="Arial" w:hAnsi="Arial" w:cs="Arial"/>
          <w:b/>
        </w:rPr>
        <w:t>/1</w:t>
      </w:r>
      <w:r w:rsidR="00D05AC4">
        <w:rPr>
          <w:rFonts w:ascii="Arial" w:hAnsi="Arial" w:cs="Arial"/>
          <w:b/>
        </w:rPr>
        <w:t>8</w:t>
      </w:r>
      <w:r w:rsidRPr="005E3901">
        <w:rPr>
          <w:rFonts w:ascii="Arial" w:hAnsi="Arial" w:cs="Arial"/>
          <w:b/>
        </w:rPr>
        <w:tab/>
        <w:t xml:space="preserve">Week #3 – </w:t>
      </w:r>
      <w:r w:rsidR="001139F4" w:rsidRPr="005E3901">
        <w:rPr>
          <w:rFonts w:ascii="Arial" w:hAnsi="Arial" w:cs="Arial"/>
          <w:b/>
        </w:rPr>
        <w:t>Data Management Practices</w:t>
      </w:r>
    </w:p>
    <w:p w14:paraId="2EE35A7F" w14:textId="77777777" w:rsidR="00A80953" w:rsidRPr="005E3901" w:rsidRDefault="00A80953" w:rsidP="00D33175">
      <w:pPr>
        <w:pStyle w:val="ListParagraph"/>
        <w:numPr>
          <w:ilvl w:val="0"/>
          <w:numId w:val="4"/>
        </w:numPr>
        <w:spacing w:after="120"/>
        <w:ind w:left="720"/>
        <w:rPr>
          <w:rFonts w:ascii="Arial" w:hAnsi="Arial" w:cs="Arial"/>
          <w:sz w:val="24"/>
          <w:szCs w:val="24"/>
        </w:rPr>
      </w:pPr>
      <w:r w:rsidRPr="005E3901">
        <w:rPr>
          <w:rFonts w:ascii="Arial" w:hAnsi="Arial" w:cs="Arial"/>
          <w:sz w:val="24"/>
          <w:szCs w:val="24"/>
          <w:shd w:val="clear" w:color="auto" w:fill="FFFFFF"/>
        </w:rPr>
        <w:t>Malcolm Chisholm</w:t>
      </w:r>
      <w:r w:rsidRPr="005E3901">
        <w:rPr>
          <w:rFonts w:ascii="Arial" w:hAnsi="Arial" w:cs="Arial"/>
          <w:sz w:val="24"/>
          <w:szCs w:val="24"/>
        </w:rPr>
        <w:t xml:space="preserve"> </w:t>
      </w:r>
      <w:r w:rsidRPr="005E3901">
        <w:rPr>
          <w:rFonts w:ascii="Arial" w:hAnsi="Arial" w:cs="Arial"/>
          <w:i/>
          <w:sz w:val="24"/>
          <w:szCs w:val="24"/>
        </w:rPr>
        <w:t>Seven Phases of a Data Life Cycle</w:t>
      </w:r>
      <w:r w:rsidRPr="005E3901">
        <w:rPr>
          <w:rFonts w:ascii="Arial" w:hAnsi="Arial" w:cs="Arial"/>
          <w:sz w:val="24"/>
          <w:szCs w:val="24"/>
        </w:rPr>
        <w:t>, BLOOMBERG (July 14, 2015) available at https://www.bloomberg.com/enterprise/blog/7-phases-of-a-data-life-cycle/</w:t>
      </w:r>
    </w:p>
    <w:p w14:paraId="631387FC" w14:textId="77777777" w:rsidR="00314F4E" w:rsidRPr="005E3901" w:rsidRDefault="00314F4E" w:rsidP="00D33175">
      <w:pPr>
        <w:pStyle w:val="ListParagraph"/>
        <w:numPr>
          <w:ilvl w:val="0"/>
          <w:numId w:val="4"/>
        </w:numPr>
        <w:spacing w:after="120"/>
        <w:ind w:left="720"/>
        <w:rPr>
          <w:rFonts w:ascii="Arial" w:hAnsi="Arial" w:cs="Arial"/>
          <w:sz w:val="24"/>
          <w:szCs w:val="24"/>
        </w:rPr>
      </w:pPr>
      <w:proofErr w:type="spellStart"/>
      <w:r w:rsidRPr="005E3901">
        <w:rPr>
          <w:rFonts w:ascii="Arial" w:hAnsi="Arial" w:cs="Arial"/>
          <w:sz w:val="24"/>
          <w:szCs w:val="24"/>
        </w:rPr>
        <w:t>Farnam</w:t>
      </w:r>
      <w:proofErr w:type="spellEnd"/>
      <w:r w:rsidRPr="005E3901">
        <w:rPr>
          <w:rFonts w:ascii="Arial" w:hAnsi="Arial" w:cs="Arial"/>
          <w:sz w:val="24"/>
          <w:szCs w:val="24"/>
        </w:rPr>
        <w:t xml:space="preserve"> </w:t>
      </w:r>
      <w:proofErr w:type="spellStart"/>
      <w:r w:rsidRPr="005E3901">
        <w:rPr>
          <w:rFonts w:ascii="Arial" w:hAnsi="Arial" w:cs="Arial"/>
          <w:sz w:val="24"/>
          <w:szCs w:val="24"/>
        </w:rPr>
        <w:t>Jahanian</w:t>
      </w:r>
      <w:proofErr w:type="spellEnd"/>
      <w:r w:rsidRPr="005E3901">
        <w:rPr>
          <w:rFonts w:ascii="Arial" w:hAnsi="Arial" w:cs="Arial"/>
          <w:sz w:val="24"/>
          <w:szCs w:val="24"/>
        </w:rPr>
        <w:t xml:space="preserve">, </w:t>
      </w:r>
      <w:r w:rsidRPr="005E3901">
        <w:rPr>
          <w:rFonts w:ascii="Arial" w:eastAsia="Times New Roman" w:hAnsi="Arial" w:cs="Arial"/>
          <w:i/>
          <w:color w:val="252525"/>
          <w:sz w:val="24"/>
          <w:szCs w:val="24"/>
        </w:rPr>
        <w:t>The Policy Infrastructure for Big Data: From Data to Knowledge to Action</w:t>
      </w:r>
      <w:r w:rsidRPr="005E3901">
        <w:rPr>
          <w:rFonts w:ascii="Arial" w:eastAsia="Times New Roman" w:hAnsi="Arial" w:cs="Arial"/>
          <w:color w:val="252525"/>
          <w:sz w:val="24"/>
          <w:szCs w:val="24"/>
        </w:rPr>
        <w:t xml:space="preserve">, </w:t>
      </w:r>
      <w:r w:rsidRPr="005E3901">
        <w:rPr>
          <w:rFonts w:ascii="Arial" w:eastAsia="Times New Roman" w:hAnsi="Arial" w:cs="Arial"/>
          <w:color w:val="212121"/>
          <w:sz w:val="24"/>
          <w:szCs w:val="24"/>
        </w:rPr>
        <w:t>10 J. L. &amp; POL'Y FOR INFO. SOC'Y 865</w:t>
      </w:r>
      <w:r w:rsidRPr="005E3901">
        <w:rPr>
          <w:rFonts w:ascii="Arial" w:eastAsia="Times New Roman" w:hAnsi="Arial" w:cs="Arial"/>
          <w:sz w:val="24"/>
          <w:szCs w:val="24"/>
        </w:rPr>
        <w:t>, 871 (2015).</w:t>
      </w:r>
    </w:p>
    <w:p w14:paraId="7F54C42E" w14:textId="77777777" w:rsidR="00314F4E" w:rsidRPr="005E3901" w:rsidRDefault="00314F4E" w:rsidP="00D33175">
      <w:pPr>
        <w:pStyle w:val="ListParagraph"/>
        <w:numPr>
          <w:ilvl w:val="0"/>
          <w:numId w:val="4"/>
        </w:numPr>
        <w:spacing w:after="120"/>
        <w:ind w:left="720"/>
        <w:rPr>
          <w:rFonts w:ascii="Arial" w:hAnsi="Arial" w:cs="Arial"/>
          <w:sz w:val="24"/>
          <w:szCs w:val="24"/>
        </w:rPr>
      </w:pPr>
      <w:r w:rsidRPr="005E3901">
        <w:rPr>
          <w:rFonts w:ascii="Arial" w:hAnsi="Arial" w:cs="Arial"/>
          <w:sz w:val="24"/>
          <w:szCs w:val="24"/>
        </w:rPr>
        <w:t xml:space="preserve">Careful Connections: Building </w:t>
      </w:r>
      <w:r w:rsidR="00C812A1" w:rsidRPr="005E3901">
        <w:rPr>
          <w:rFonts w:ascii="Arial" w:hAnsi="Arial" w:cs="Arial"/>
          <w:sz w:val="24"/>
          <w:szCs w:val="24"/>
        </w:rPr>
        <w:t xml:space="preserve">Security in the Internet of Things, FTC (Jan. 2015) </w:t>
      </w:r>
      <w:r w:rsidR="00C812A1" w:rsidRPr="005E3901">
        <w:rPr>
          <w:rFonts w:ascii="Arial" w:hAnsi="Arial" w:cs="Arial"/>
          <w:i/>
          <w:sz w:val="24"/>
          <w:szCs w:val="24"/>
        </w:rPr>
        <w:t>available at</w:t>
      </w:r>
      <w:r w:rsidRPr="005E3901">
        <w:rPr>
          <w:rFonts w:ascii="Arial" w:hAnsi="Arial" w:cs="Arial"/>
          <w:sz w:val="24"/>
          <w:szCs w:val="24"/>
        </w:rPr>
        <w:t xml:space="preserve"> https://www.ftc.gov/system/files/documents/plain-language/pdf0199-carefulconnections-buildingsecurityinternetofthings.pdf</w:t>
      </w:r>
    </w:p>
    <w:p w14:paraId="71F71FA7" w14:textId="77777777" w:rsidR="00314F4E" w:rsidRPr="005E3901" w:rsidRDefault="00314F4E" w:rsidP="00D33175">
      <w:pPr>
        <w:pStyle w:val="ListParagraph"/>
        <w:numPr>
          <w:ilvl w:val="0"/>
          <w:numId w:val="4"/>
        </w:numPr>
        <w:spacing w:after="120"/>
        <w:ind w:left="720"/>
        <w:rPr>
          <w:rFonts w:ascii="Arial" w:hAnsi="Arial" w:cs="Arial"/>
          <w:sz w:val="24"/>
          <w:szCs w:val="24"/>
        </w:rPr>
      </w:pPr>
      <w:r w:rsidRPr="005E3901">
        <w:rPr>
          <w:rFonts w:ascii="Arial" w:eastAsia="Times New Roman" w:hAnsi="Arial" w:cs="Arial"/>
          <w:sz w:val="24"/>
          <w:szCs w:val="24"/>
        </w:rPr>
        <w:t xml:space="preserve">Bob Leaper, The Rise of the Chief Data Officer, WIRED (2014) </w:t>
      </w:r>
      <w:r w:rsidRPr="005E3901">
        <w:rPr>
          <w:rFonts w:ascii="Arial" w:eastAsia="Times New Roman" w:hAnsi="Arial" w:cs="Arial"/>
          <w:i/>
          <w:sz w:val="24"/>
          <w:szCs w:val="24"/>
        </w:rPr>
        <w:t>available at</w:t>
      </w:r>
      <w:r w:rsidRPr="005E3901">
        <w:rPr>
          <w:rFonts w:ascii="Arial" w:eastAsia="Times New Roman" w:hAnsi="Arial" w:cs="Arial"/>
          <w:sz w:val="24"/>
          <w:szCs w:val="24"/>
        </w:rPr>
        <w:t xml:space="preserve"> https://www.wired.com/insights/2014/07/rise-chief-data-officer/.</w:t>
      </w:r>
    </w:p>
    <w:p w14:paraId="30864F1E" w14:textId="77777777" w:rsidR="0037470E" w:rsidRPr="005E3901" w:rsidRDefault="0037470E" w:rsidP="008D40AA">
      <w:pPr>
        <w:pStyle w:val="ListParagraph"/>
        <w:ind w:left="1440"/>
        <w:rPr>
          <w:rFonts w:ascii="Arial" w:hAnsi="Arial" w:cs="Arial"/>
          <w:sz w:val="24"/>
          <w:szCs w:val="24"/>
        </w:rPr>
      </w:pPr>
    </w:p>
    <w:p w14:paraId="2B95F8B5" w14:textId="75DCF3B3" w:rsidR="0037470E" w:rsidRPr="005E3901" w:rsidRDefault="00321138" w:rsidP="008D40AA">
      <w:pPr>
        <w:pStyle w:val="ListParagraph"/>
        <w:spacing w:after="120"/>
        <w:ind w:hanging="720"/>
        <w:rPr>
          <w:rFonts w:ascii="Arial" w:hAnsi="Arial" w:cs="Arial"/>
          <w:sz w:val="24"/>
          <w:szCs w:val="24"/>
        </w:rPr>
      </w:pPr>
      <w:r w:rsidRPr="005E3901">
        <w:rPr>
          <w:rFonts w:ascii="Arial" w:hAnsi="Arial" w:cs="Arial"/>
          <w:b/>
          <w:sz w:val="24"/>
          <w:szCs w:val="24"/>
        </w:rPr>
        <w:t>02/0</w:t>
      </w:r>
      <w:r w:rsidR="000F7244" w:rsidRPr="005E3901">
        <w:rPr>
          <w:rFonts w:ascii="Arial" w:hAnsi="Arial" w:cs="Arial"/>
          <w:b/>
          <w:sz w:val="24"/>
          <w:szCs w:val="24"/>
        </w:rPr>
        <w:t>6</w:t>
      </w:r>
      <w:r w:rsidRPr="005E3901">
        <w:rPr>
          <w:rFonts w:ascii="Arial" w:hAnsi="Arial" w:cs="Arial"/>
          <w:b/>
          <w:sz w:val="24"/>
          <w:szCs w:val="24"/>
        </w:rPr>
        <w:t>/1</w:t>
      </w:r>
      <w:r w:rsidR="00D05AC4">
        <w:rPr>
          <w:rFonts w:ascii="Arial" w:hAnsi="Arial" w:cs="Arial"/>
          <w:b/>
          <w:sz w:val="24"/>
          <w:szCs w:val="24"/>
        </w:rPr>
        <w:t>8</w:t>
      </w:r>
      <w:r w:rsidRPr="005E3901">
        <w:rPr>
          <w:rFonts w:ascii="Arial" w:hAnsi="Arial" w:cs="Arial"/>
          <w:b/>
          <w:sz w:val="24"/>
          <w:szCs w:val="24"/>
        </w:rPr>
        <w:tab/>
        <w:t xml:space="preserve">Week #4 – </w:t>
      </w:r>
      <w:r w:rsidR="0037470E" w:rsidRPr="005E3901">
        <w:rPr>
          <w:rFonts w:ascii="Arial" w:hAnsi="Arial" w:cs="Arial"/>
          <w:b/>
          <w:sz w:val="24"/>
          <w:szCs w:val="24"/>
        </w:rPr>
        <w:t xml:space="preserve">Samples </w:t>
      </w:r>
      <w:r w:rsidRPr="005E3901">
        <w:rPr>
          <w:rFonts w:ascii="Arial" w:hAnsi="Arial" w:cs="Arial"/>
          <w:b/>
          <w:sz w:val="24"/>
          <w:szCs w:val="24"/>
        </w:rPr>
        <w:t>of a Data Breach (Case Studies)</w:t>
      </w:r>
    </w:p>
    <w:p w14:paraId="3373042F" w14:textId="77777777" w:rsidR="0037470E" w:rsidRPr="005E3901" w:rsidRDefault="0037470E" w:rsidP="00D33175">
      <w:pPr>
        <w:pStyle w:val="ListParagraph"/>
        <w:numPr>
          <w:ilvl w:val="0"/>
          <w:numId w:val="5"/>
        </w:numPr>
        <w:spacing w:after="60"/>
        <w:ind w:left="720"/>
        <w:rPr>
          <w:rFonts w:ascii="Arial" w:hAnsi="Arial" w:cs="Arial"/>
          <w:sz w:val="24"/>
          <w:szCs w:val="24"/>
        </w:rPr>
      </w:pPr>
      <w:r w:rsidRPr="005E3901">
        <w:rPr>
          <w:rFonts w:ascii="Arial" w:hAnsi="Arial" w:cs="Arial"/>
          <w:sz w:val="24"/>
          <w:szCs w:val="24"/>
        </w:rPr>
        <w:t>Sony Pictures and Entertainment</w:t>
      </w:r>
    </w:p>
    <w:p w14:paraId="5E743D0A" w14:textId="77777777" w:rsidR="0037470E" w:rsidRPr="005E3901" w:rsidRDefault="0037470E" w:rsidP="008D40AA">
      <w:pPr>
        <w:pStyle w:val="ListParagraph"/>
        <w:numPr>
          <w:ilvl w:val="0"/>
          <w:numId w:val="8"/>
        </w:numPr>
        <w:spacing w:after="120"/>
        <w:ind w:left="1440"/>
        <w:rPr>
          <w:rFonts w:ascii="Arial" w:hAnsi="Arial" w:cs="Arial"/>
          <w:sz w:val="24"/>
          <w:szCs w:val="24"/>
        </w:rPr>
      </w:pPr>
      <w:r w:rsidRPr="005E3901">
        <w:rPr>
          <w:rFonts w:ascii="Arial" w:eastAsia="Times New Roman" w:hAnsi="Arial" w:cs="Arial"/>
          <w:sz w:val="24"/>
          <w:szCs w:val="24"/>
        </w:rPr>
        <w:t xml:space="preserve">David E. Sanger &amp; Martin Fackler, </w:t>
      </w:r>
      <w:r w:rsidRPr="005E3901">
        <w:rPr>
          <w:rFonts w:ascii="Arial" w:eastAsia="Times New Roman" w:hAnsi="Arial" w:cs="Arial"/>
          <w:i/>
          <w:sz w:val="24"/>
          <w:szCs w:val="24"/>
        </w:rPr>
        <w:t>N.S.A. Breached North Korean Networks Before Sony Attack, Officials Say</w:t>
      </w:r>
      <w:r w:rsidRPr="005E3901">
        <w:rPr>
          <w:rFonts w:ascii="Arial" w:eastAsia="Times New Roman" w:hAnsi="Arial" w:cs="Arial"/>
          <w:sz w:val="24"/>
          <w:szCs w:val="24"/>
        </w:rPr>
        <w:t xml:space="preserve">, </w:t>
      </w:r>
      <w:r w:rsidRPr="005E3901">
        <w:rPr>
          <w:rFonts w:ascii="Arial" w:eastAsia="Times New Roman" w:hAnsi="Arial" w:cs="Arial"/>
          <w:smallCaps/>
          <w:sz w:val="24"/>
          <w:szCs w:val="24"/>
        </w:rPr>
        <w:t>The New York Times</w:t>
      </w:r>
      <w:r w:rsidRPr="005E3901">
        <w:rPr>
          <w:rFonts w:ascii="Arial" w:eastAsia="Times New Roman" w:hAnsi="Arial" w:cs="Arial"/>
          <w:sz w:val="24"/>
          <w:szCs w:val="24"/>
        </w:rPr>
        <w:t xml:space="preserve"> (Jan. 18, 2015), </w:t>
      </w:r>
      <w:r w:rsidR="00362BF1" w:rsidRPr="005E3901">
        <w:rPr>
          <w:rFonts w:ascii="Arial" w:eastAsia="Times New Roman" w:hAnsi="Arial" w:cs="Arial"/>
          <w:i/>
          <w:sz w:val="24"/>
          <w:szCs w:val="24"/>
        </w:rPr>
        <w:t>available at</w:t>
      </w:r>
      <w:r w:rsidR="00362BF1" w:rsidRPr="005E3901">
        <w:rPr>
          <w:rFonts w:ascii="Arial" w:eastAsia="Times New Roman" w:hAnsi="Arial" w:cs="Arial"/>
          <w:sz w:val="24"/>
          <w:szCs w:val="24"/>
        </w:rPr>
        <w:t xml:space="preserve"> http://www.nytimes.com/2015/01/19/world/asia/nsa-</w:t>
      </w:r>
      <w:r w:rsidR="00362BF1" w:rsidRPr="005E3901">
        <w:rPr>
          <w:rFonts w:ascii="Arial" w:eastAsia="Times New Roman" w:hAnsi="Arial" w:cs="Arial"/>
          <w:sz w:val="24"/>
          <w:szCs w:val="24"/>
        </w:rPr>
        <w:lastRenderedPageBreak/>
        <w:t>tapped-into-north-korean-networks-before-sony-attack-officials-say.html?_r=0</w:t>
      </w:r>
      <w:r w:rsidR="0089177F" w:rsidRPr="005E3901">
        <w:rPr>
          <w:rFonts w:ascii="Arial" w:hAnsi="Arial" w:cs="Arial"/>
          <w:sz w:val="24"/>
          <w:szCs w:val="24"/>
        </w:rPr>
        <w:t>.</w:t>
      </w:r>
    </w:p>
    <w:p w14:paraId="2C568ACA" w14:textId="77777777" w:rsidR="0037470E" w:rsidRPr="005E3901" w:rsidRDefault="0037470E" w:rsidP="00D33175">
      <w:pPr>
        <w:pStyle w:val="ListParagraph"/>
        <w:numPr>
          <w:ilvl w:val="0"/>
          <w:numId w:val="5"/>
        </w:numPr>
        <w:spacing w:after="60"/>
        <w:ind w:left="720"/>
        <w:rPr>
          <w:rFonts w:ascii="Arial" w:hAnsi="Arial" w:cs="Arial"/>
          <w:sz w:val="24"/>
          <w:szCs w:val="24"/>
        </w:rPr>
      </w:pPr>
      <w:r w:rsidRPr="005E3901">
        <w:rPr>
          <w:rFonts w:ascii="Arial" w:hAnsi="Arial" w:cs="Arial"/>
          <w:sz w:val="24"/>
          <w:szCs w:val="24"/>
        </w:rPr>
        <w:t>Target Corporation</w:t>
      </w:r>
    </w:p>
    <w:p w14:paraId="0F173F47" w14:textId="77777777" w:rsidR="0037470E" w:rsidRPr="005E3901" w:rsidRDefault="0037470E" w:rsidP="008D40AA">
      <w:pPr>
        <w:pStyle w:val="ListParagraph"/>
        <w:numPr>
          <w:ilvl w:val="0"/>
          <w:numId w:val="9"/>
        </w:numPr>
        <w:ind w:left="1440"/>
        <w:rPr>
          <w:rFonts w:ascii="Arial" w:hAnsi="Arial" w:cs="Arial"/>
          <w:sz w:val="24"/>
          <w:szCs w:val="24"/>
        </w:rPr>
      </w:pPr>
      <w:r w:rsidRPr="005E3901">
        <w:rPr>
          <w:rFonts w:ascii="Arial" w:eastAsia="Times New Roman" w:hAnsi="Arial" w:cs="Arial"/>
          <w:sz w:val="24"/>
          <w:szCs w:val="24"/>
        </w:rPr>
        <w:t xml:space="preserve">Sara </w:t>
      </w:r>
      <w:proofErr w:type="spellStart"/>
      <w:r w:rsidRPr="005E3901">
        <w:rPr>
          <w:rFonts w:ascii="Arial" w:eastAsia="Times New Roman" w:hAnsi="Arial" w:cs="Arial"/>
          <w:sz w:val="24"/>
          <w:szCs w:val="24"/>
        </w:rPr>
        <w:t>Germano</w:t>
      </w:r>
      <w:proofErr w:type="spellEnd"/>
      <w:r w:rsidRPr="005E3901">
        <w:rPr>
          <w:rFonts w:ascii="Arial" w:eastAsia="Times New Roman" w:hAnsi="Arial" w:cs="Arial"/>
          <w:sz w:val="24"/>
          <w:szCs w:val="24"/>
        </w:rPr>
        <w:t xml:space="preserve">, </w:t>
      </w:r>
      <w:r w:rsidRPr="005E3901">
        <w:rPr>
          <w:rFonts w:ascii="Arial" w:eastAsia="Times New Roman" w:hAnsi="Arial" w:cs="Arial"/>
          <w:i/>
          <w:sz w:val="24"/>
          <w:szCs w:val="24"/>
        </w:rPr>
        <w:t>Target’s Data Breach Timeline</w:t>
      </w:r>
      <w:r w:rsidRPr="005E3901">
        <w:rPr>
          <w:rFonts w:ascii="Arial" w:eastAsia="Times New Roman" w:hAnsi="Arial" w:cs="Arial"/>
          <w:sz w:val="24"/>
          <w:szCs w:val="24"/>
        </w:rPr>
        <w:t xml:space="preserve">, </w:t>
      </w:r>
      <w:r w:rsidRPr="005E3901">
        <w:rPr>
          <w:rFonts w:ascii="Arial" w:eastAsia="Times New Roman" w:hAnsi="Arial" w:cs="Arial"/>
          <w:smallCaps/>
          <w:sz w:val="24"/>
          <w:szCs w:val="24"/>
        </w:rPr>
        <w:t>Wall Street Journal</w:t>
      </w:r>
      <w:r w:rsidRPr="005E3901">
        <w:rPr>
          <w:rFonts w:ascii="Arial" w:eastAsia="Times New Roman" w:hAnsi="Arial" w:cs="Arial"/>
          <w:sz w:val="24"/>
          <w:szCs w:val="24"/>
        </w:rPr>
        <w:t xml:space="preserve"> (Dec. 27, 2013),</w:t>
      </w:r>
      <w:r w:rsidR="00362BF1" w:rsidRPr="005E3901">
        <w:rPr>
          <w:rFonts w:ascii="Arial" w:eastAsia="Times New Roman" w:hAnsi="Arial" w:cs="Arial"/>
          <w:sz w:val="24"/>
          <w:szCs w:val="24"/>
        </w:rPr>
        <w:t xml:space="preserve"> </w:t>
      </w:r>
      <w:r w:rsidR="00362BF1" w:rsidRPr="005E3901">
        <w:rPr>
          <w:rFonts w:ascii="Arial" w:eastAsia="Times New Roman" w:hAnsi="Arial" w:cs="Arial"/>
          <w:i/>
          <w:sz w:val="24"/>
          <w:szCs w:val="24"/>
        </w:rPr>
        <w:t>available at</w:t>
      </w:r>
      <w:r w:rsidRPr="005E3901">
        <w:rPr>
          <w:rFonts w:ascii="Arial" w:eastAsia="Times New Roman" w:hAnsi="Arial" w:cs="Arial"/>
          <w:sz w:val="24"/>
          <w:szCs w:val="24"/>
        </w:rPr>
        <w:t xml:space="preserve"> http://blogs.wsj.com/corporate-intelligence/2013/12/27/targets-data-breach-timeline/</w:t>
      </w:r>
      <w:r w:rsidR="0089177F" w:rsidRPr="005E3901">
        <w:rPr>
          <w:rFonts w:ascii="Arial" w:hAnsi="Arial" w:cs="Arial"/>
          <w:sz w:val="24"/>
          <w:szCs w:val="24"/>
        </w:rPr>
        <w:t>.</w:t>
      </w:r>
    </w:p>
    <w:p w14:paraId="09E33CBF" w14:textId="77777777" w:rsidR="0037470E" w:rsidRPr="005E3901" w:rsidRDefault="0037470E" w:rsidP="008D40AA">
      <w:pPr>
        <w:pStyle w:val="ListParagraph"/>
        <w:numPr>
          <w:ilvl w:val="0"/>
          <w:numId w:val="9"/>
        </w:numPr>
        <w:ind w:left="1440"/>
        <w:rPr>
          <w:rFonts w:ascii="Arial" w:hAnsi="Arial" w:cs="Arial"/>
          <w:sz w:val="24"/>
          <w:szCs w:val="24"/>
        </w:rPr>
      </w:pPr>
      <w:r w:rsidRPr="005E3901">
        <w:rPr>
          <w:rFonts w:ascii="Arial" w:eastAsia="Times New Roman" w:hAnsi="Arial" w:cs="Arial"/>
          <w:sz w:val="24"/>
          <w:szCs w:val="24"/>
        </w:rPr>
        <w:t xml:space="preserve">Samantha </w:t>
      </w:r>
      <w:proofErr w:type="spellStart"/>
      <w:r w:rsidRPr="005E3901">
        <w:rPr>
          <w:rFonts w:ascii="Arial" w:eastAsia="Times New Roman" w:hAnsi="Arial" w:cs="Arial"/>
          <w:sz w:val="24"/>
          <w:szCs w:val="24"/>
        </w:rPr>
        <w:t>Sharf</w:t>
      </w:r>
      <w:proofErr w:type="spellEnd"/>
      <w:r w:rsidRPr="005E3901">
        <w:rPr>
          <w:rFonts w:ascii="Arial" w:eastAsia="Times New Roman" w:hAnsi="Arial" w:cs="Arial"/>
          <w:sz w:val="24"/>
          <w:szCs w:val="24"/>
        </w:rPr>
        <w:t xml:space="preserve">, </w:t>
      </w:r>
      <w:r w:rsidRPr="005E3901">
        <w:rPr>
          <w:rFonts w:ascii="Arial" w:eastAsia="Times New Roman" w:hAnsi="Arial" w:cs="Arial"/>
          <w:i/>
          <w:sz w:val="24"/>
          <w:szCs w:val="24"/>
        </w:rPr>
        <w:t>Target Shares Tumble as Retailer Reveals Cost of Data Breach</w:t>
      </w:r>
      <w:r w:rsidRPr="005E3901">
        <w:rPr>
          <w:rFonts w:ascii="Arial" w:eastAsia="Times New Roman" w:hAnsi="Arial" w:cs="Arial"/>
          <w:sz w:val="24"/>
          <w:szCs w:val="24"/>
        </w:rPr>
        <w:t xml:space="preserve">, </w:t>
      </w:r>
      <w:r w:rsidRPr="005E3901">
        <w:rPr>
          <w:rFonts w:ascii="Arial" w:eastAsia="Times New Roman" w:hAnsi="Arial" w:cs="Arial"/>
          <w:smallCaps/>
          <w:sz w:val="24"/>
          <w:szCs w:val="24"/>
        </w:rPr>
        <w:t>Forbes</w:t>
      </w:r>
      <w:r w:rsidRPr="005E3901">
        <w:rPr>
          <w:rFonts w:ascii="Arial" w:eastAsia="Times New Roman" w:hAnsi="Arial" w:cs="Arial"/>
          <w:sz w:val="24"/>
          <w:szCs w:val="24"/>
        </w:rPr>
        <w:t xml:space="preserve"> (Aug. 5, 2014), </w:t>
      </w:r>
      <w:r w:rsidR="00362BF1" w:rsidRPr="005E3901">
        <w:rPr>
          <w:rFonts w:ascii="Arial" w:eastAsia="Times New Roman" w:hAnsi="Arial" w:cs="Arial"/>
          <w:i/>
          <w:sz w:val="24"/>
          <w:szCs w:val="24"/>
        </w:rPr>
        <w:t>available at</w:t>
      </w:r>
      <w:r w:rsidR="00362BF1" w:rsidRPr="005E3901">
        <w:rPr>
          <w:rFonts w:ascii="Arial" w:eastAsia="Times New Roman" w:hAnsi="Arial" w:cs="Arial"/>
          <w:sz w:val="24"/>
          <w:szCs w:val="24"/>
        </w:rPr>
        <w:t xml:space="preserve"> http://www.forbes.com/sites/samanthasharf/2014/08/05/target-shares-tumble-as-retailer-reveals-cost-of-data-breach/</w:t>
      </w:r>
      <w:r w:rsidR="0089177F" w:rsidRPr="005E3901">
        <w:rPr>
          <w:rFonts w:ascii="Arial" w:hAnsi="Arial" w:cs="Arial"/>
          <w:sz w:val="24"/>
          <w:szCs w:val="24"/>
        </w:rPr>
        <w:t>.</w:t>
      </w:r>
    </w:p>
    <w:p w14:paraId="6D9E1678" w14:textId="77777777" w:rsidR="0037470E" w:rsidRPr="005E3901" w:rsidRDefault="0037470E" w:rsidP="00D33175">
      <w:pPr>
        <w:pStyle w:val="ListParagraph"/>
        <w:numPr>
          <w:ilvl w:val="0"/>
          <w:numId w:val="9"/>
        </w:numPr>
        <w:spacing w:after="120"/>
        <w:ind w:left="1440"/>
        <w:rPr>
          <w:rFonts w:ascii="Arial" w:hAnsi="Arial" w:cs="Arial"/>
          <w:sz w:val="24"/>
          <w:szCs w:val="24"/>
        </w:rPr>
      </w:pPr>
      <w:r w:rsidRPr="005E3901">
        <w:rPr>
          <w:rFonts w:ascii="Arial" w:eastAsia="Times New Roman" w:hAnsi="Arial" w:cs="Arial"/>
          <w:i/>
          <w:sz w:val="24"/>
          <w:szCs w:val="24"/>
        </w:rPr>
        <w:t>In re Target Corporation Customer Data Security Breach Litigation</w:t>
      </w:r>
      <w:r w:rsidRPr="005E3901">
        <w:rPr>
          <w:rFonts w:ascii="Arial" w:eastAsia="Times New Roman" w:hAnsi="Arial" w:cs="Arial"/>
          <w:sz w:val="24"/>
          <w:szCs w:val="24"/>
        </w:rPr>
        <w:t xml:space="preserve">, MDL No. 14-2522 at 45 (PAM/JJK), </w:t>
      </w:r>
      <w:r w:rsidRPr="005E3901">
        <w:rPr>
          <w:rFonts w:ascii="Arial" w:eastAsia="Times New Roman" w:hAnsi="Arial" w:cs="Arial"/>
          <w:i/>
          <w:sz w:val="24"/>
          <w:szCs w:val="24"/>
        </w:rPr>
        <w:t>available at</w:t>
      </w:r>
      <w:r w:rsidRPr="005E3901">
        <w:rPr>
          <w:rFonts w:ascii="Arial" w:eastAsia="Times New Roman" w:hAnsi="Arial" w:cs="Arial"/>
          <w:sz w:val="24"/>
          <w:szCs w:val="24"/>
        </w:rPr>
        <w:t xml:space="preserve"> </w:t>
      </w:r>
      <w:r w:rsidR="00C812A1" w:rsidRPr="005E3901">
        <w:rPr>
          <w:rFonts w:ascii="Arial" w:eastAsia="Times New Roman" w:hAnsi="Arial" w:cs="Arial"/>
          <w:sz w:val="24"/>
          <w:szCs w:val="24"/>
        </w:rPr>
        <w:t>http://www.courthousenews.com/2014/12/19/target.pdf</w:t>
      </w:r>
      <w:r w:rsidR="0089177F" w:rsidRPr="005E3901">
        <w:rPr>
          <w:rFonts w:ascii="Arial" w:hAnsi="Arial" w:cs="Arial"/>
          <w:sz w:val="24"/>
          <w:szCs w:val="24"/>
        </w:rPr>
        <w:t>.</w:t>
      </w:r>
    </w:p>
    <w:p w14:paraId="64D0E471" w14:textId="77777777" w:rsidR="00C812A1" w:rsidRPr="005E3901" w:rsidRDefault="00C812A1" w:rsidP="00C812A1">
      <w:pPr>
        <w:pStyle w:val="ListParagraph"/>
        <w:numPr>
          <w:ilvl w:val="0"/>
          <w:numId w:val="5"/>
        </w:numPr>
        <w:tabs>
          <w:tab w:val="left" w:pos="720"/>
        </w:tabs>
        <w:spacing w:after="120"/>
        <w:ind w:left="2430" w:hanging="2070"/>
        <w:rPr>
          <w:rFonts w:ascii="Arial" w:hAnsi="Arial" w:cs="Arial"/>
          <w:sz w:val="24"/>
          <w:szCs w:val="24"/>
        </w:rPr>
      </w:pPr>
      <w:proofErr w:type="spellStart"/>
      <w:r w:rsidRPr="005E3901">
        <w:rPr>
          <w:rFonts w:ascii="Arial" w:hAnsi="Arial" w:cs="Arial"/>
          <w:sz w:val="24"/>
          <w:szCs w:val="24"/>
        </w:rPr>
        <w:t>LabMD</w:t>
      </w:r>
      <w:proofErr w:type="spellEnd"/>
    </w:p>
    <w:p w14:paraId="3CD89DCA" w14:textId="77777777" w:rsidR="00C812A1" w:rsidRPr="005E3901" w:rsidRDefault="00C812A1" w:rsidP="0089177F">
      <w:pPr>
        <w:pStyle w:val="ListParagraph"/>
        <w:numPr>
          <w:ilvl w:val="1"/>
          <w:numId w:val="5"/>
        </w:numPr>
        <w:tabs>
          <w:tab w:val="left" w:pos="720"/>
        </w:tabs>
        <w:spacing w:after="120"/>
        <w:ind w:left="1440" w:hanging="270"/>
        <w:rPr>
          <w:rFonts w:ascii="Arial" w:hAnsi="Arial" w:cs="Arial"/>
          <w:sz w:val="24"/>
          <w:szCs w:val="24"/>
        </w:rPr>
      </w:pPr>
      <w:r w:rsidRPr="005E3901">
        <w:rPr>
          <w:rFonts w:ascii="Arial" w:hAnsi="Arial" w:cs="Arial"/>
          <w:sz w:val="24"/>
          <w:szCs w:val="24"/>
        </w:rPr>
        <w:t>In re Lab MD</w:t>
      </w:r>
      <w:r w:rsidR="0089177F" w:rsidRPr="005E3901">
        <w:rPr>
          <w:rFonts w:ascii="Arial" w:hAnsi="Arial" w:cs="Arial"/>
          <w:sz w:val="24"/>
          <w:szCs w:val="24"/>
        </w:rPr>
        <w:t xml:space="preserve"> (Sept. 29, 2016) https://www.ftc.gov/enforcement/cases-proceedings/102-3099/labmd-inc-matter</w:t>
      </w:r>
    </w:p>
    <w:p w14:paraId="5D2A26F2" w14:textId="77777777" w:rsidR="00C812A1" w:rsidRPr="005E3901" w:rsidRDefault="00C812A1" w:rsidP="00C812A1">
      <w:pPr>
        <w:pStyle w:val="ListParagraph"/>
        <w:numPr>
          <w:ilvl w:val="0"/>
          <w:numId w:val="5"/>
        </w:numPr>
        <w:tabs>
          <w:tab w:val="left" w:pos="720"/>
        </w:tabs>
        <w:spacing w:after="120"/>
        <w:ind w:left="2430" w:hanging="2070"/>
        <w:rPr>
          <w:rFonts w:ascii="Arial" w:hAnsi="Arial" w:cs="Arial"/>
          <w:sz w:val="24"/>
          <w:szCs w:val="24"/>
        </w:rPr>
      </w:pPr>
      <w:r w:rsidRPr="005E3901">
        <w:rPr>
          <w:rFonts w:ascii="Arial" w:hAnsi="Arial" w:cs="Arial"/>
          <w:sz w:val="24"/>
          <w:szCs w:val="24"/>
        </w:rPr>
        <w:t>Wyndham</w:t>
      </w:r>
    </w:p>
    <w:p w14:paraId="35250694" w14:textId="77777777" w:rsidR="0089177F" w:rsidRPr="005E3901" w:rsidRDefault="0089177F" w:rsidP="0089177F">
      <w:pPr>
        <w:pStyle w:val="ListParagraph"/>
        <w:numPr>
          <w:ilvl w:val="0"/>
          <w:numId w:val="34"/>
        </w:numPr>
        <w:tabs>
          <w:tab w:val="left" w:pos="720"/>
        </w:tabs>
        <w:spacing w:after="120"/>
        <w:ind w:left="1440" w:hanging="270"/>
        <w:rPr>
          <w:rFonts w:ascii="Arial" w:hAnsi="Arial" w:cs="Arial"/>
          <w:sz w:val="24"/>
          <w:szCs w:val="24"/>
        </w:rPr>
      </w:pPr>
      <w:r w:rsidRPr="005E3901">
        <w:rPr>
          <w:rFonts w:ascii="Arial" w:hAnsi="Arial" w:cs="Arial"/>
          <w:sz w:val="24"/>
          <w:szCs w:val="24"/>
        </w:rPr>
        <w:t>FTC Order https://www.ftc.gov/system/files/documents/cases/151211wyndhamstip.pdf</w:t>
      </w:r>
    </w:p>
    <w:p w14:paraId="687A2E7C" w14:textId="77777777" w:rsidR="0089177F" w:rsidRPr="005E3901" w:rsidRDefault="0089177F" w:rsidP="0089177F">
      <w:pPr>
        <w:pStyle w:val="ListParagraph"/>
        <w:numPr>
          <w:ilvl w:val="0"/>
          <w:numId w:val="34"/>
        </w:numPr>
        <w:tabs>
          <w:tab w:val="left" w:pos="720"/>
        </w:tabs>
        <w:spacing w:after="120"/>
        <w:ind w:left="1440" w:hanging="270"/>
        <w:rPr>
          <w:rFonts w:ascii="Arial" w:hAnsi="Arial" w:cs="Arial"/>
          <w:sz w:val="24"/>
          <w:szCs w:val="24"/>
        </w:rPr>
      </w:pPr>
      <w:r w:rsidRPr="005E3901">
        <w:rPr>
          <w:rFonts w:ascii="Arial" w:hAnsi="Arial" w:cs="Arial"/>
          <w:sz w:val="24"/>
          <w:szCs w:val="24"/>
        </w:rPr>
        <w:t>FTC Press Release: https://www.ftc.gov/news-events/press-releases/2012/06/ftc-files-complaint-against-wyndham-hotels-failure-protect</w:t>
      </w:r>
    </w:p>
    <w:p w14:paraId="32563944" w14:textId="77777777" w:rsidR="0037470E" w:rsidRPr="005E3901" w:rsidRDefault="0037470E" w:rsidP="008D40AA">
      <w:pPr>
        <w:rPr>
          <w:rFonts w:ascii="Arial" w:hAnsi="Arial" w:cs="Arial"/>
        </w:rPr>
      </w:pPr>
    </w:p>
    <w:p w14:paraId="30DFC6F6" w14:textId="59BB3001" w:rsidR="0037470E" w:rsidRPr="005E3901" w:rsidRDefault="008D40AA" w:rsidP="008D40AA">
      <w:pPr>
        <w:pStyle w:val="ListParagraph"/>
        <w:spacing w:after="120"/>
        <w:ind w:hanging="720"/>
        <w:rPr>
          <w:rFonts w:ascii="Arial" w:hAnsi="Arial" w:cs="Arial"/>
          <w:sz w:val="24"/>
          <w:szCs w:val="24"/>
        </w:rPr>
      </w:pPr>
      <w:r w:rsidRPr="005E3901">
        <w:rPr>
          <w:rFonts w:ascii="Arial" w:hAnsi="Arial" w:cs="Arial"/>
          <w:b/>
          <w:sz w:val="24"/>
          <w:szCs w:val="24"/>
        </w:rPr>
        <w:t>02/</w:t>
      </w:r>
      <w:r w:rsidR="000F7244" w:rsidRPr="005E3901">
        <w:rPr>
          <w:rFonts w:ascii="Arial" w:hAnsi="Arial" w:cs="Arial"/>
          <w:b/>
          <w:sz w:val="24"/>
          <w:szCs w:val="24"/>
        </w:rPr>
        <w:t>13</w:t>
      </w:r>
      <w:r w:rsidRPr="005E3901">
        <w:rPr>
          <w:rFonts w:ascii="Arial" w:hAnsi="Arial" w:cs="Arial"/>
          <w:b/>
          <w:sz w:val="24"/>
          <w:szCs w:val="24"/>
        </w:rPr>
        <w:t>/1</w:t>
      </w:r>
      <w:r w:rsidR="00D05AC4">
        <w:rPr>
          <w:rFonts w:ascii="Arial" w:hAnsi="Arial" w:cs="Arial"/>
          <w:b/>
          <w:sz w:val="24"/>
          <w:szCs w:val="24"/>
        </w:rPr>
        <w:t>8</w:t>
      </w:r>
      <w:r w:rsidRPr="005E3901">
        <w:rPr>
          <w:rFonts w:ascii="Arial" w:hAnsi="Arial" w:cs="Arial"/>
          <w:b/>
          <w:sz w:val="24"/>
          <w:szCs w:val="24"/>
        </w:rPr>
        <w:tab/>
        <w:t xml:space="preserve">Week #5 – </w:t>
      </w:r>
      <w:r w:rsidR="0037470E" w:rsidRPr="005E3901">
        <w:rPr>
          <w:rFonts w:ascii="Arial" w:hAnsi="Arial" w:cs="Arial"/>
          <w:b/>
          <w:sz w:val="24"/>
          <w:szCs w:val="24"/>
        </w:rPr>
        <w:t>FTC</w:t>
      </w:r>
    </w:p>
    <w:p w14:paraId="13E09C5E" w14:textId="77777777" w:rsidR="0037470E" w:rsidRPr="005E3901" w:rsidRDefault="0037470E" w:rsidP="00D33175">
      <w:pPr>
        <w:pStyle w:val="ListParagraph"/>
        <w:numPr>
          <w:ilvl w:val="0"/>
          <w:numId w:val="10"/>
        </w:numPr>
        <w:spacing w:after="60"/>
        <w:ind w:left="720"/>
        <w:rPr>
          <w:rFonts w:ascii="Arial" w:hAnsi="Arial" w:cs="Arial"/>
          <w:sz w:val="24"/>
          <w:szCs w:val="24"/>
        </w:rPr>
      </w:pPr>
      <w:r w:rsidRPr="005E3901">
        <w:rPr>
          <w:rFonts w:ascii="Arial" w:eastAsia="Times New Roman" w:hAnsi="Arial" w:cs="Arial"/>
          <w:sz w:val="24"/>
          <w:szCs w:val="24"/>
        </w:rPr>
        <w:t xml:space="preserve">Daniel J. Solove &amp; Woodrow </w:t>
      </w:r>
      <w:proofErr w:type="spellStart"/>
      <w:r w:rsidRPr="005E3901">
        <w:rPr>
          <w:rFonts w:ascii="Arial" w:eastAsia="Times New Roman" w:hAnsi="Arial" w:cs="Arial"/>
          <w:sz w:val="24"/>
          <w:szCs w:val="24"/>
        </w:rPr>
        <w:t>Hartzog</w:t>
      </w:r>
      <w:proofErr w:type="spellEnd"/>
      <w:r w:rsidRPr="005E3901">
        <w:rPr>
          <w:rFonts w:ascii="Arial" w:eastAsia="Times New Roman" w:hAnsi="Arial" w:cs="Arial"/>
          <w:sz w:val="24"/>
          <w:szCs w:val="24"/>
        </w:rPr>
        <w:t xml:space="preserve">, </w:t>
      </w:r>
      <w:r w:rsidRPr="005E3901">
        <w:rPr>
          <w:rFonts w:ascii="Arial" w:eastAsia="Times New Roman" w:hAnsi="Arial" w:cs="Arial"/>
          <w:i/>
          <w:sz w:val="24"/>
          <w:szCs w:val="24"/>
        </w:rPr>
        <w:t>The FTC and the New Common Law of Privacy</w:t>
      </w:r>
      <w:r w:rsidRPr="005E3901">
        <w:rPr>
          <w:rFonts w:ascii="Arial" w:eastAsia="Times New Roman" w:hAnsi="Arial" w:cs="Arial"/>
          <w:sz w:val="24"/>
          <w:szCs w:val="24"/>
        </w:rPr>
        <w:t xml:space="preserve">, 114 </w:t>
      </w:r>
      <w:r w:rsidRPr="005E3901">
        <w:rPr>
          <w:rFonts w:ascii="Arial" w:eastAsia="Times New Roman" w:hAnsi="Arial" w:cs="Arial"/>
          <w:smallCaps/>
          <w:sz w:val="24"/>
          <w:szCs w:val="24"/>
        </w:rPr>
        <w:t>Col. L. Rev</w:t>
      </w:r>
      <w:r w:rsidRPr="005E3901">
        <w:rPr>
          <w:rFonts w:ascii="Arial" w:eastAsia="Times New Roman" w:hAnsi="Arial" w:cs="Arial"/>
          <w:sz w:val="24"/>
          <w:szCs w:val="24"/>
        </w:rPr>
        <w:t>. 583, 600 (2011).</w:t>
      </w:r>
    </w:p>
    <w:p w14:paraId="2ADB8330" w14:textId="77777777" w:rsidR="0037470E" w:rsidRPr="005E3901" w:rsidRDefault="0037470E" w:rsidP="00D33175">
      <w:pPr>
        <w:pStyle w:val="ListParagraph"/>
        <w:numPr>
          <w:ilvl w:val="0"/>
          <w:numId w:val="10"/>
        </w:numPr>
        <w:spacing w:after="60"/>
        <w:ind w:left="720"/>
        <w:rPr>
          <w:rFonts w:ascii="Arial" w:hAnsi="Arial" w:cs="Arial"/>
          <w:sz w:val="24"/>
          <w:szCs w:val="24"/>
        </w:rPr>
      </w:pPr>
      <w:r w:rsidRPr="005E3901">
        <w:rPr>
          <w:rFonts w:ascii="Arial" w:eastAsia="Times New Roman" w:hAnsi="Arial" w:cs="Arial"/>
          <w:i/>
          <w:sz w:val="24"/>
          <w:szCs w:val="24"/>
        </w:rPr>
        <w:t>F.T.C. v. Wyndham Worldwide Corp.</w:t>
      </w:r>
      <w:r w:rsidRPr="005E3901">
        <w:rPr>
          <w:rFonts w:ascii="Arial" w:eastAsia="Times New Roman" w:hAnsi="Arial" w:cs="Arial"/>
          <w:sz w:val="24"/>
          <w:szCs w:val="24"/>
        </w:rPr>
        <w:t>, No. 14-3514, 2015 WL 4998121, at *1-2 (3d Cir. Aug. 24, 2015).</w:t>
      </w:r>
    </w:p>
    <w:p w14:paraId="42449564" w14:textId="1FDD53B0" w:rsidR="0037470E" w:rsidRPr="005E3901" w:rsidRDefault="0037470E" w:rsidP="00D33175">
      <w:pPr>
        <w:pStyle w:val="ListParagraph"/>
        <w:numPr>
          <w:ilvl w:val="0"/>
          <w:numId w:val="10"/>
        </w:numPr>
        <w:spacing w:after="60"/>
        <w:ind w:left="720"/>
        <w:rPr>
          <w:rFonts w:ascii="Arial" w:hAnsi="Arial" w:cs="Arial"/>
          <w:sz w:val="24"/>
          <w:szCs w:val="24"/>
        </w:rPr>
      </w:pPr>
      <w:r w:rsidRPr="005E3901">
        <w:rPr>
          <w:rFonts w:ascii="Arial" w:hAnsi="Arial" w:cs="Arial"/>
          <w:sz w:val="24"/>
          <w:szCs w:val="24"/>
        </w:rPr>
        <w:t>HIPAA introduction</w:t>
      </w:r>
      <w:r w:rsidR="00362BF1" w:rsidRPr="005E3901">
        <w:rPr>
          <w:rFonts w:ascii="Arial" w:hAnsi="Arial" w:cs="Arial"/>
          <w:sz w:val="24"/>
          <w:szCs w:val="24"/>
        </w:rPr>
        <w:t xml:space="preserve">, </w:t>
      </w:r>
      <w:r w:rsidR="00362BF1" w:rsidRPr="005E3901">
        <w:rPr>
          <w:rFonts w:ascii="Arial" w:hAnsi="Arial" w:cs="Arial"/>
          <w:i/>
          <w:sz w:val="24"/>
          <w:szCs w:val="24"/>
        </w:rPr>
        <w:t>available at</w:t>
      </w:r>
      <w:r w:rsidRPr="005E3901">
        <w:rPr>
          <w:rFonts w:ascii="Arial" w:hAnsi="Arial" w:cs="Arial"/>
          <w:i/>
          <w:sz w:val="24"/>
          <w:szCs w:val="24"/>
        </w:rPr>
        <w:t xml:space="preserve"> </w:t>
      </w:r>
      <w:r w:rsidRPr="005E3901">
        <w:rPr>
          <w:rFonts w:ascii="Arial" w:hAnsi="Arial" w:cs="Arial"/>
          <w:sz w:val="24"/>
          <w:szCs w:val="24"/>
        </w:rPr>
        <w:t>http://www.hhs.gov/ocr/privacy/hipaa/administrative/breachnotificationrule/</w:t>
      </w:r>
      <w:r w:rsidR="005E3901">
        <w:rPr>
          <w:rFonts w:ascii="Arial" w:hAnsi="Arial" w:cs="Arial"/>
          <w:sz w:val="24"/>
          <w:szCs w:val="24"/>
        </w:rPr>
        <w:t>.</w:t>
      </w:r>
    </w:p>
    <w:p w14:paraId="5C23E5B5" w14:textId="5D465C0A" w:rsidR="007D5413" w:rsidRPr="005E3901" w:rsidRDefault="00C77A2D" w:rsidP="00D33175">
      <w:pPr>
        <w:pStyle w:val="ListParagraph"/>
        <w:numPr>
          <w:ilvl w:val="0"/>
          <w:numId w:val="10"/>
        </w:numPr>
        <w:spacing w:after="120"/>
        <w:ind w:left="720"/>
        <w:outlineLvl w:val="0"/>
        <w:rPr>
          <w:rFonts w:ascii="Arial" w:hAnsi="Arial" w:cs="Arial"/>
          <w:b/>
          <w:sz w:val="24"/>
          <w:szCs w:val="24"/>
        </w:rPr>
      </w:pPr>
      <w:r w:rsidRPr="005E3901">
        <w:rPr>
          <w:rFonts w:ascii="Arial" w:eastAsia="Times New Roman" w:hAnsi="Arial" w:cs="Arial"/>
          <w:bCs/>
          <w:i/>
          <w:kern w:val="36"/>
          <w:sz w:val="24"/>
          <w:szCs w:val="24"/>
        </w:rPr>
        <w:t xml:space="preserve">Privacy By Design and the New Privacy Framework of the U.S. Federal Trade Commission, </w:t>
      </w:r>
      <w:r w:rsidRPr="005E3901">
        <w:rPr>
          <w:rFonts w:ascii="Arial" w:hAnsi="Arial" w:cs="Arial"/>
          <w:bCs/>
          <w:sz w:val="24"/>
          <w:szCs w:val="24"/>
        </w:rPr>
        <w:t>r</w:t>
      </w:r>
      <w:r w:rsidR="00362BF1" w:rsidRPr="005E3901">
        <w:rPr>
          <w:rFonts w:ascii="Arial" w:hAnsi="Arial" w:cs="Arial"/>
          <w:bCs/>
          <w:sz w:val="24"/>
          <w:szCs w:val="24"/>
        </w:rPr>
        <w:t xml:space="preserve">emarks of </w:t>
      </w:r>
      <w:r w:rsidRPr="005E3901">
        <w:rPr>
          <w:rFonts w:ascii="Arial" w:hAnsi="Arial" w:cs="Arial"/>
          <w:bCs/>
          <w:sz w:val="24"/>
          <w:szCs w:val="24"/>
        </w:rPr>
        <w:t>FTC Commissioner</w:t>
      </w:r>
      <w:r w:rsidR="00362BF1" w:rsidRPr="005E3901">
        <w:rPr>
          <w:rFonts w:ascii="Arial" w:hAnsi="Arial" w:cs="Arial"/>
          <w:bCs/>
          <w:sz w:val="24"/>
          <w:szCs w:val="24"/>
        </w:rPr>
        <w:t xml:space="preserve"> Edith Ramirez at the Privacy by Design Conference </w:t>
      </w:r>
      <w:r w:rsidRPr="005E3901">
        <w:rPr>
          <w:rFonts w:ascii="Arial" w:hAnsi="Arial" w:cs="Arial"/>
          <w:bCs/>
          <w:sz w:val="24"/>
          <w:szCs w:val="24"/>
        </w:rPr>
        <w:t>(June 13, 2012)</w:t>
      </w:r>
      <w:r w:rsidR="00362BF1" w:rsidRPr="005E3901">
        <w:rPr>
          <w:rFonts w:ascii="Arial" w:eastAsia="Times New Roman" w:hAnsi="Arial" w:cs="Arial"/>
          <w:bCs/>
          <w:i/>
          <w:kern w:val="36"/>
          <w:sz w:val="24"/>
          <w:szCs w:val="24"/>
        </w:rPr>
        <w:t>, available at https://www.ftc.gov/sites/default/files/documents/public_statements/privacy-design-and-new-privacy-framework-u.s.federal-trade-commission/120613privacydesign.pdf</w:t>
      </w:r>
      <w:r w:rsidR="005E3901">
        <w:rPr>
          <w:rFonts w:ascii="Arial" w:hAnsi="Arial" w:cs="Arial"/>
          <w:b/>
          <w:sz w:val="24"/>
          <w:szCs w:val="24"/>
        </w:rPr>
        <w:t>.</w:t>
      </w:r>
    </w:p>
    <w:p w14:paraId="68303C6C" w14:textId="77777777" w:rsidR="004E7831" w:rsidRPr="005E3901" w:rsidRDefault="004E7831" w:rsidP="004E7831">
      <w:pPr>
        <w:pStyle w:val="ListParagraph"/>
        <w:outlineLvl w:val="0"/>
        <w:rPr>
          <w:rFonts w:ascii="Arial" w:hAnsi="Arial" w:cs="Arial"/>
          <w:b/>
          <w:sz w:val="24"/>
          <w:szCs w:val="24"/>
        </w:rPr>
      </w:pPr>
    </w:p>
    <w:p w14:paraId="1D8AFC1D" w14:textId="533EEC2C" w:rsidR="0037470E" w:rsidRPr="005E3901" w:rsidRDefault="002E3A31" w:rsidP="0043622F">
      <w:pPr>
        <w:pStyle w:val="ListParagraph"/>
        <w:spacing w:after="120"/>
        <w:ind w:hanging="720"/>
        <w:rPr>
          <w:rFonts w:ascii="Arial" w:hAnsi="Arial" w:cs="Arial"/>
          <w:sz w:val="24"/>
          <w:szCs w:val="24"/>
        </w:rPr>
      </w:pPr>
      <w:r w:rsidRPr="005E3901">
        <w:rPr>
          <w:rFonts w:ascii="Arial" w:hAnsi="Arial" w:cs="Arial"/>
          <w:b/>
          <w:sz w:val="24"/>
          <w:szCs w:val="24"/>
        </w:rPr>
        <w:t>0</w:t>
      </w:r>
      <w:r w:rsidR="0043622F" w:rsidRPr="005E3901">
        <w:rPr>
          <w:rFonts w:ascii="Arial" w:hAnsi="Arial" w:cs="Arial"/>
          <w:b/>
          <w:sz w:val="24"/>
          <w:szCs w:val="24"/>
        </w:rPr>
        <w:t>2</w:t>
      </w:r>
      <w:r w:rsidR="000F7244" w:rsidRPr="005E3901">
        <w:rPr>
          <w:rFonts w:ascii="Arial" w:hAnsi="Arial" w:cs="Arial"/>
          <w:b/>
          <w:sz w:val="24"/>
          <w:szCs w:val="24"/>
        </w:rPr>
        <w:t>/20</w:t>
      </w:r>
      <w:r w:rsidRPr="005E3901">
        <w:rPr>
          <w:rFonts w:ascii="Arial" w:hAnsi="Arial" w:cs="Arial"/>
          <w:b/>
          <w:sz w:val="24"/>
          <w:szCs w:val="24"/>
        </w:rPr>
        <w:t>/1</w:t>
      </w:r>
      <w:r w:rsidR="00D05AC4">
        <w:rPr>
          <w:rFonts w:ascii="Arial" w:hAnsi="Arial" w:cs="Arial"/>
          <w:b/>
          <w:sz w:val="24"/>
          <w:szCs w:val="24"/>
        </w:rPr>
        <w:t>8</w:t>
      </w:r>
      <w:r w:rsidRPr="005E3901">
        <w:rPr>
          <w:rFonts w:ascii="Arial" w:hAnsi="Arial" w:cs="Arial"/>
          <w:b/>
          <w:sz w:val="24"/>
          <w:szCs w:val="24"/>
        </w:rPr>
        <w:tab/>
        <w:t xml:space="preserve">Week #6 – </w:t>
      </w:r>
      <w:r w:rsidR="0037470E" w:rsidRPr="005E3901">
        <w:rPr>
          <w:rFonts w:ascii="Arial" w:hAnsi="Arial" w:cs="Arial"/>
          <w:b/>
          <w:sz w:val="24"/>
          <w:szCs w:val="24"/>
        </w:rPr>
        <w:t xml:space="preserve">FTC </w:t>
      </w:r>
      <w:r w:rsidRPr="005E3901">
        <w:rPr>
          <w:rFonts w:ascii="Arial" w:hAnsi="Arial" w:cs="Arial"/>
          <w:b/>
          <w:sz w:val="24"/>
          <w:szCs w:val="24"/>
        </w:rPr>
        <w:t>and Everybody Else</w:t>
      </w:r>
    </w:p>
    <w:p w14:paraId="77F6A831" w14:textId="77777777" w:rsidR="0037470E" w:rsidRPr="005E3901" w:rsidRDefault="0037470E" w:rsidP="00D33175">
      <w:pPr>
        <w:pStyle w:val="ListParagraph"/>
        <w:numPr>
          <w:ilvl w:val="0"/>
          <w:numId w:val="11"/>
        </w:numPr>
        <w:spacing w:after="60"/>
        <w:ind w:left="720"/>
        <w:rPr>
          <w:rFonts w:ascii="Arial" w:hAnsi="Arial" w:cs="Arial"/>
          <w:sz w:val="24"/>
          <w:szCs w:val="24"/>
        </w:rPr>
      </w:pPr>
      <w:r w:rsidRPr="005E3901">
        <w:rPr>
          <w:rFonts w:ascii="Arial" w:hAnsi="Arial" w:cs="Arial"/>
          <w:sz w:val="24"/>
          <w:szCs w:val="24"/>
        </w:rPr>
        <w:t>Health</w:t>
      </w:r>
    </w:p>
    <w:p w14:paraId="4C9F60D4" w14:textId="77777777" w:rsidR="0037470E" w:rsidRPr="005E3901" w:rsidRDefault="00F654A1" w:rsidP="0043622F">
      <w:pPr>
        <w:pStyle w:val="ListParagraph"/>
        <w:numPr>
          <w:ilvl w:val="0"/>
          <w:numId w:val="13"/>
        </w:numPr>
        <w:ind w:left="1440"/>
        <w:rPr>
          <w:rFonts w:ascii="Arial" w:hAnsi="Arial" w:cs="Arial"/>
          <w:sz w:val="24"/>
          <w:szCs w:val="24"/>
        </w:rPr>
      </w:pPr>
      <w:r w:rsidRPr="005E3901">
        <w:rPr>
          <w:rFonts w:ascii="Arial" w:eastAsia="Times New Roman" w:hAnsi="Arial" w:cs="Arial"/>
          <w:sz w:val="24"/>
          <w:szCs w:val="24"/>
        </w:rPr>
        <w:t xml:space="preserve">BYRNE: Closing the Gap Between HIPAA and Patient Privacy, 53 San Diego L. Rev 201(2016) see </w:t>
      </w:r>
      <w:hyperlink r:id="rId19" w:history="1">
        <w:r w:rsidRPr="005E3901">
          <w:rPr>
            <w:rStyle w:val="Hyperlink"/>
            <w:rFonts w:ascii="Arial" w:eastAsia="Times New Roman" w:hAnsi="Arial" w:cs="Arial"/>
            <w:sz w:val="24"/>
            <w:szCs w:val="24"/>
          </w:rPr>
          <w:t>Here</w:t>
        </w:r>
      </w:hyperlink>
    </w:p>
    <w:p w14:paraId="195276C4" w14:textId="76948155" w:rsidR="0037470E" w:rsidRPr="005E3901" w:rsidRDefault="0037470E" w:rsidP="004E7831">
      <w:pPr>
        <w:pStyle w:val="ListParagraph"/>
        <w:numPr>
          <w:ilvl w:val="0"/>
          <w:numId w:val="13"/>
        </w:numPr>
        <w:spacing w:after="120"/>
        <w:ind w:left="1440"/>
        <w:rPr>
          <w:rFonts w:ascii="Arial" w:hAnsi="Arial" w:cs="Arial"/>
          <w:sz w:val="24"/>
          <w:szCs w:val="24"/>
        </w:rPr>
      </w:pPr>
      <w:r w:rsidRPr="005E3901">
        <w:rPr>
          <w:rFonts w:ascii="Arial" w:eastAsia="Times New Roman" w:hAnsi="Arial" w:cs="Arial"/>
          <w:sz w:val="24"/>
          <w:szCs w:val="24"/>
        </w:rPr>
        <w:t>HIPAA generally</w:t>
      </w:r>
      <w:r w:rsidR="00C77A2D" w:rsidRPr="005E3901">
        <w:rPr>
          <w:rFonts w:ascii="Arial" w:eastAsia="Times New Roman" w:hAnsi="Arial" w:cs="Arial"/>
          <w:sz w:val="24"/>
          <w:szCs w:val="24"/>
        </w:rPr>
        <w:t xml:space="preserve">, </w:t>
      </w:r>
      <w:r w:rsidR="00C77A2D" w:rsidRPr="005E3901">
        <w:rPr>
          <w:rFonts w:ascii="Arial" w:eastAsia="Times New Roman" w:hAnsi="Arial" w:cs="Arial"/>
          <w:i/>
          <w:sz w:val="24"/>
          <w:szCs w:val="24"/>
        </w:rPr>
        <w:t>se</w:t>
      </w:r>
      <w:r w:rsidRPr="005E3901">
        <w:rPr>
          <w:rFonts w:ascii="Arial" w:eastAsia="Times New Roman" w:hAnsi="Arial" w:cs="Arial"/>
          <w:i/>
          <w:sz w:val="24"/>
          <w:szCs w:val="24"/>
        </w:rPr>
        <w:t>e</w:t>
      </w:r>
      <w:r w:rsidRPr="005E3901">
        <w:rPr>
          <w:rFonts w:ascii="Arial" w:eastAsia="Times New Roman" w:hAnsi="Arial" w:cs="Arial"/>
          <w:sz w:val="24"/>
          <w:szCs w:val="24"/>
        </w:rPr>
        <w:t xml:space="preserve"> http://www.hhs.gov/ocr/privacy/hipaa/administrative/breachnotificationrule/</w:t>
      </w:r>
      <w:r w:rsidR="005E3901">
        <w:rPr>
          <w:rFonts w:ascii="Arial" w:hAnsi="Arial" w:cs="Arial"/>
          <w:sz w:val="24"/>
          <w:szCs w:val="24"/>
        </w:rPr>
        <w:t>.</w:t>
      </w:r>
    </w:p>
    <w:p w14:paraId="0BA2F733" w14:textId="77777777" w:rsidR="0037470E" w:rsidRPr="005E3901" w:rsidRDefault="0037470E" w:rsidP="00D33175">
      <w:pPr>
        <w:pStyle w:val="ListParagraph"/>
        <w:numPr>
          <w:ilvl w:val="0"/>
          <w:numId w:val="11"/>
        </w:numPr>
        <w:spacing w:after="60"/>
        <w:ind w:left="720"/>
        <w:rPr>
          <w:rFonts w:ascii="Arial" w:hAnsi="Arial" w:cs="Arial"/>
          <w:sz w:val="24"/>
          <w:szCs w:val="24"/>
        </w:rPr>
      </w:pPr>
      <w:r w:rsidRPr="005E3901">
        <w:rPr>
          <w:rFonts w:ascii="Arial" w:hAnsi="Arial" w:cs="Arial"/>
          <w:sz w:val="24"/>
          <w:szCs w:val="24"/>
        </w:rPr>
        <w:t>Other entities</w:t>
      </w:r>
    </w:p>
    <w:p w14:paraId="05F229A3" w14:textId="77777777" w:rsidR="0037470E" w:rsidRPr="005E3901" w:rsidRDefault="0037470E" w:rsidP="0043622F">
      <w:pPr>
        <w:pStyle w:val="ListParagraph"/>
        <w:numPr>
          <w:ilvl w:val="0"/>
          <w:numId w:val="14"/>
        </w:numPr>
        <w:tabs>
          <w:tab w:val="left" w:pos="1440"/>
        </w:tabs>
        <w:spacing w:after="120"/>
        <w:ind w:left="1440"/>
        <w:rPr>
          <w:rFonts w:ascii="Arial" w:hAnsi="Arial" w:cs="Arial"/>
          <w:sz w:val="24"/>
          <w:szCs w:val="24"/>
        </w:rPr>
      </w:pPr>
      <w:r w:rsidRPr="005E3901">
        <w:rPr>
          <w:rFonts w:ascii="Arial" w:eastAsia="Times New Roman" w:hAnsi="Arial" w:cs="Arial"/>
          <w:sz w:val="24"/>
          <w:szCs w:val="24"/>
        </w:rPr>
        <w:t>45 C.F.R. §§ 164.400-414 (2015).</w:t>
      </w:r>
    </w:p>
    <w:p w14:paraId="3633F7FB" w14:textId="77777777" w:rsidR="0037470E" w:rsidRPr="005E3901" w:rsidRDefault="0037470E" w:rsidP="00D33175">
      <w:pPr>
        <w:pStyle w:val="ListParagraph"/>
        <w:numPr>
          <w:ilvl w:val="0"/>
          <w:numId w:val="11"/>
        </w:numPr>
        <w:spacing w:after="60"/>
        <w:ind w:left="720"/>
        <w:rPr>
          <w:rFonts w:ascii="Arial" w:hAnsi="Arial" w:cs="Arial"/>
          <w:sz w:val="24"/>
          <w:szCs w:val="24"/>
        </w:rPr>
      </w:pPr>
      <w:r w:rsidRPr="005E3901">
        <w:rPr>
          <w:rFonts w:ascii="Arial" w:hAnsi="Arial" w:cs="Arial"/>
          <w:sz w:val="24"/>
          <w:szCs w:val="24"/>
        </w:rPr>
        <w:t>Financial institution</w:t>
      </w:r>
    </w:p>
    <w:p w14:paraId="02BD20A5" w14:textId="63E28D91" w:rsidR="0037470E" w:rsidRPr="005E3901" w:rsidRDefault="0037470E" w:rsidP="0043622F">
      <w:pPr>
        <w:pStyle w:val="ListParagraph"/>
        <w:numPr>
          <w:ilvl w:val="0"/>
          <w:numId w:val="15"/>
        </w:numPr>
        <w:ind w:left="1440"/>
        <w:rPr>
          <w:rFonts w:ascii="Arial" w:hAnsi="Arial" w:cs="Arial"/>
          <w:sz w:val="24"/>
          <w:szCs w:val="24"/>
        </w:rPr>
      </w:pPr>
      <w:r w:rsidRPr="005E3901">
        <w:rPr>
          <w:rFonts w:ascii="Arial" w:eastAsia="Times New Roman" w:hAnsi="Arial" w:cs="Arial"/>
          <w:i/>
          <w:sz w:val="24"/>
          <w:szCs w:val="24"/>
        </w:rPr>
        <w:t xml:space="preserve">How </w:t>
      </w:r>
      <w:r w:rsidR="00C77A2D" w:rsidRPr="005E3901">
        <w:rPr>
          <w:rFonts w:ascii="Arial" w:eastAsia="Times New Roman" w:hAnsi="Arial" w:cs="Arial"/>
          <w:i/>
          <w:sz w:val="24"/>
          <w:szCs w:val="24"/>
        </w:rPr>
        <w:t>to</w:t>
      </w:r>
      <w:r w:rsidRPr="005E3901">
        <w:rPr>
          <w:rFonts w:ascii="Arial" w:eastAsia="Times New Roman" w:hAnsi="Arial" w:cs="Arial"/>
          <w:i/>
          <w:sz w:val="24"/>
          <w:szCs w:val="24"/>
        </w:rPr>
        <w:t xml:space="preserve"> Comply with the Privacy of Consumer Financial Information Rule of the Gramm-Leach-Bliley Act</w:t>
      </w:r>
      <w:r w:rsidRPr="005E3901">
        <w:rPr>
          <w:rFonts w:ascii="Arial" w:eastAsia="Times New Roman" w:hAnsi="Arial" w:cs="Arial"/>
          <w:sz w:val="24"/>
          <w:szCs w:val="24"/>
        </w:rPr>
        <w:t xml:space="preserve">, </w:t>
      </w:r>
      <w:r w:rsidRPr="005E3901">
        <w:rPr>
          <w:rFonts w:ascii="Arial" w:eastAsia="Times New Roman" w:hAnsi="Arial" w:cs="Arial"/>
          <w:smallCaps/>
          <w:sz w:val="24"/>
          <w:szCs w:val="24"/>
        </w:rPr>
        <w:t>Federal Trade Commission</w:t>
      </w:r>
      <w:r w:rsidRPr="005E3901">
        <w:rPr>
          <w:rFonts w:ascii="Arial" w:eastAsia="Times New Roman" w:hAnsi="Arial" w:cs="Arial"/>
          <w:sz w:val="24"/>
          <w:szCs w:val="24"/>
        </w:rPr>
        <w:t xml:space="preserve"> (July 2002), </w:t>
      </w:r>
      <w:r w:rsidRPr="005E3901">
        <w:rPr>
          <w:rFonts w:ascii="Arial" w:eastAsia="Times New Roman" w:hAnsi="Arial" w:cs="Arial"/>
          <w:i/>
          <w:sz w:val="24"/>
          <w:szCs w:val="24"/>
        </w:rPr>
        <w:t xml:space="preserve">available at </w:t>
      </w:r>
      <w:r w:rsidRPr="005E3901">
        <w:rPr>
          <w:rFonts w:ascii="Arial" w:eastAsia="Times New Roman" w:hAnsi="Arial" w:cs="Arial"/>
          <w:sz w:val="24"/>
          <w:szCs w:val="24"/>
        </w:rPr>
        <w:t>https://www.ftc.gov/tips-advice/business-center/guidance/how-comply-privacy-consumer-financial-information-rule-gramm#other</w:t>
      </w:r>
      <w:r w:rsidR="005E3901">
        <w:rPr>
          <w:rFonts w:ascii="Arial" w:hAnsi="Arial" w:cs="Arial"/>
          <w:sz w:val="24"/>
          <w:szCs w:val="24"/>
        </w:rPr>
        <w:t>.</w:t>
      </w:r>
    </w:p>
    <w:p w14:paraId="2C99FFDB" w14:textId="77777777" w:rsidR="0037470E" w:rsidRPr="005E3901" w:rsidRDefault="0037470E" w:rsidP="0043622F">
      <w:pPr>
        <w:pStyle w:val="ListParagraph"/>
        <w:numPr>
          <w:ilvl w:val="0"/>
          <w:numId w:val="15"/>
        </w:numPr>
        <w:spacing w:after="120"/>
        <w:ind w:left="1440"/>
        <w:rPr>
          <w:rFonts w:ascii="Arial" w:hAnsi="Arial" w:cs="Arial"/>
          <w:sz w:val="24"/>
          <w:szCs w:val="24"/>
        </w:rPr>
      </w:pPr>
      <w:r w:rsidRPr="005E3901">
        <w:rPr>
          <w:rFonts w:ascii="Arial" w:eastAsia="Times New Roman" w:hAnsi="Arial" w:cs="Arial"/>
          <w:i/>
          <w:sz w:val="24"/>
          <w:szCs w:val="24"/>
        </w:rPr>
        <w:t>Privacy of Consumer Financial Information</w:t>
      </w:r>
      <w:r w:rsidRPr="005E3901">
        <w:rPr>
          <w:rFonts w:ascii="Arial" w:eastAsia="Times New Roman" w:hAnsi="Arial" w:cs="Arial"/>
          <w:sz w:val="24"/>
          <w:szCs w:val="24"/>
        </w:rPr>
        <w:t>, 16 C.F.R. § 313.1-9 (2015).</w:t>
      </w:r>
    </w:p>
    <w:p w14:paraId="2AF94AF4" w14:textId="77777777" w:rsidR="0037470E" w:rsidRPr="005E3901" w:rsidRDefault="0037470E" w:rsidP="00D33175">
      <w:pPr>
        <w:pStyle w:val="ListParagraph"/>
        <w:numPr>
          <w:ilvl w:val="0"/>
          <w:numId w:val="11"/>
        </w:numPr>
        <w:spacing w:after="60"/>
        <w:ind w:left="720"/>
        <w:rPr>
          <w:rFonts w:ascii="Arial" w:hAnsi="Arial" w:cs="Arial"/>
          <w:sz w:val="24"/>
          <w:szCs w:val="24"/>
        </w:rPr>
      </w:pPr>
      <w:r w:rsidRPr="005E3901">
        <w:rPr>
          <w:rFonts w:ascii="Arial" w:hAnsi="Arial" w:cs="Arial"/>
          <w:sz w:val="24"/>
          <w:szCs w:val="24"/>
        </w:rPr>
        <w:t>FCC</w:t>
      </w:r>
    </w:p>
    <w:p w14:paraId="38BD4DAE" w14:textId="16360A60" w:rsidR="0037470E" w:rsidRPr="005E3901" w:rsidRDefault="0037470E" w:rsidP="0043622F">
      <w:pPr>
        <w:pStyle w:val="ListParagraph"/>
        <w:numPr>
          <w:ilvl w:val="0"/>
          <w:numId w:val="16"/>
        </w:numPr>
        <w:spacing w:after="120"/>
        <w:ind w:left="1440"/>
        <w:rPr>
          <w:rFonts w:ascii="Arial" w:hAnsi="Arial" w:cs="Arial"/>
          <w:sz w:val="24"/>
          <w:szCs w:val="24"/>
        </w:rPr>
      </w:pPr>
      <w:r w:rsidRPr="005E3901">
        <w:rPr>
          <w:rFonts w:ascii="Arial" w:eastAsia="Times New Roman" w:hAnsi="Arial" w:cs="Arial"/>
          <w:i/>
          <w:sz w:val="24"/>
          <w:szCs w:val="24"/>
        </w:rPr>
        <w:t xml:space="preserve">FCC Plans $10M Fine </w:t>
      </w:r>
      <w:r w:rsidR="00C77A2D" w:rsidRPr="005E3901">
        <w:rPr>
          <w:rFonts w:ascii="Arial" w:eastAsia="Times New Roman" w:hAnsi="Arial" w:cs="Arial"/>
          <w:i/>
          <w:sz w:val="24"/>
          <w:szCs w:val="24"/>
        </w:rPr>
        <w:t>for</w:t>
      </w:r>
      <w:r w:rsidRPr="005E3901">
        <w:rPr>
          <w:rFonts w:ascii="Arial" w:eastAsia="Times New Roman" w:hAnsi="Arial" w:cs="Arial"/>
          <w:i/>
          <w:sz w:val="24"/>
          <w:szCs w:val="24"/>
        </w:rPr>
        <w:t xml:space="preserve"> Carriers That Breached Consumer Privacy,</w:t>
      </w:r>
      <w:r w:rsidRPr="005E3901">
        <w:rPr>
          <w:rFonts w:ascii="Arial" w:eastAsia="Times New Roman" w:hAnsi="Arial" w:cs="Arial"/>
          <w:i/>
          <w:smallCaps/>
          <w:sz w:val="24"/>
          <w:szCs w:val="24"/>
        </w:rPr>
        <w:t xml:space="preserve"> </w:t>
      </w:r>
      <w:r w:rsidRPr="005E3901">
        <w:rPr>
          <w:rFonts w:ascii="Arial" w:eastAsia="Times New Roman" w:hAnsi="Arial" w:cs="Arial"/>
          <w:smallCaps/>
          <w:sz w:val="24"/>
          <w:szCs w:val="24"/>
        </w:rPr>
        <w:t>Federal Communications Commission</w:t>
      </w:r>
      <w:r w:rsidRPr="005E3901">
        <w:rPr>
          <w:rFonts w:ascii="Arial" w:eastAsia="Times New Roman" w:hAnsi="Arial" w:cs="Arial"/>
          <w:sz w:val="24"/>
          <w:szCs w:val="24"/>
        </w:rPr>
        <w:t xml:space="preserve"> (Oct. 24, 2015), </w:t>
      </w:r>
      <w:r w:rsidRPr="005E3901">
        <w:rPr>
          <w:rFonts w:ascii="Arial" w:eastAsia="Times New Roman" w:hAnsi="Arial" w:cs="Arial"/>
          <w:i/>
          <w:sz w:val="24"/>
          <w:szCs w:val="24"/>
        </w:rPr>
        <w:t xml:space="preserve">available at </w:t>
      </w:r>
      <w:r w:rsidRPr="005E3901">
        <w:rPr>
          <w:rFonts w:ascii="Arial" w:eastAsia="Times New Roman" w:hAnsi="Arial" w:cs="Arial"/>
          <w:sz w:val="24"/>
          <w:szCs w:val="24"/>
        </w:rPr>
        <w:t>http://www.fcc.gov/document/fcc-plans-10m-fine-carriers-breached-consumer-privacy</w:t>
      </w:r>
      <w:r w:rsidR="005E3901">
        <w:rPr>
          <w:rFonts w:ascii="Arial" w:hAnsi="Arial" w:cs="Arial"/>
          <w:sz w:val="24"/>
          <w:szCs w:val="24"/>
        </w:rPr>
        <w:t>.</w:t>
      </w:r>
    </w:p>
    <w:p w14:paraId="5159DA49" w14:textId="77777777" w:rsidR="0037470E" w:rsidRPr="005E3901" w:rsidRDefault="0037470E" w:rsidP="00D33175">
      <w:pPr>
        <w:pStyle w:val="ListParagraph"/>
        <w:numPr>
          <w:ilvl w:val="0"/>
          <w:numId w:val="11"/>
        </w:numPr>
        <w:spacing w:after="60"/>
        <w:ind w:left="720"/>
        <w:rPr>
          <w:rFonts w:ascii="Arial" w:hAnsi="Arial" w:cs="Arial"/>
          <w:sz w:val="24"/>
          <w:szCs w:val="24"/>
        </w:rPr>
      </w:pPr>
      <w:r w:rsidRPr="005E3901">
        <w:rPr>
          <w:rFonts w:ascii="Arial" w:eastAsia="Times New Roman" w:hAnsi="Arial" w:cs="Arial"/>
          <w:sz w:val="24"/>
          <w:szCs w:val="24"/>
        </w:rPr>
        <w:t>Education</w:t>
      </w:r>
    </w:p>
    <w:p w14:paraId="7F1806B2" w14:textId="77777777" w:rsidR="0037470E" w:rsidRPr="005E3901" w:rsidRDefault="0037470E" w:rsidP="0043622F">
      <w:pPr>
        <w:pStyle w:val="ListParagraph"/>
        <w:numPr>
          <w:ilvl w:val="0"/>
          <w:numId w:val="17"/>
        </w:numPr>
        <w:ind w:left="1440"/>
        <w:rPr>
          <w:rFonts w:ascii="Arial" w:hAnsi="Arial" w:cs="Arial"/>
          <w:sz w:val="24"/>
          <w:szCs w:val="24"/>
        </w:rPr>
      </w:pPr>
      <w:r w:rsidRPr="005E3901">
        <w:rPr>
          <w:rFonts w:ascii="Arial" w:eastAsia="Times New Roman" w:hAnsi="Arial" w:cs="Arial"/>
          <w:smallCaps/>
          <w:sz w:val="24"/>
          <w:szCs w:val="24"/>
        </w:rPr>
        <w:t>Family Educational and Privacy Rights</w:t>
      </w:r>
      <w:r w:rsidRPr="005E3901">
        <w:rPr>
          <w:rFonts w:ascii="Arial" w:eastAsia="Times New Roman" w:hAnsi="Arial" w:cs="Arial"/>
          <w:sz w:val="24"/>
          <w:szCs w:val="24"/>
        </w:rPr>
        <w:t>, 20 U.S.C.A. § 1232g (2013).</w:t>
      </w:r>
    </w:p>
    <w:p w14:paraId="57C5D53F" w14:textId="56CDBE72" w:rsidR="00D33175" w:rsidRPr="005E3901" w:rsidRDefault="0037470E" w:rsidP="00EC0B1B">
      <w:pPr>
        <w:pStyle w:val="ListParagraph"/>
        <w:numPr>
          <w:ilvl w:val="0"/>
          <w:numId w:val="17"/>
        </w:numPr>
        <w:spacing w:after="120"/>
        <w:ind w:left="1440"/>
        <w:rPr>
          <w:rStyle w:val="Hyperlink"/>
          <w:rFonts w:ascii="Arial" w:hAnsi="Arial" w:cs="Arial"/>
          <w:b/>
          <w:color w:val="auto"/>
          <w:sz w:val="24"/>
          <w:szCs w:val="24"/>
          <w:u w:val="none"/>
        </w:rPr>
      </w:pPr>
      <w:r w:rsidRPr="005E3901">
        <w:rPr>
          <w:rFonts w:ascii="Arial" w:eastAsia="Times New Roman" w:hAnsi="Arial" w:cs="Arial"/>
          <w:smallCaps/>
          <w:sz w:val="24"/>
          <w:szCs w:val="24"/>
        </w:rPr>
        <w:t>Student Privacy Prevention Act</w:t>
      </w:r>
      <w:r w:rsidRPr="005E3901">
        <w:rPr>
          <w:rFonts w:ascii="Arial" w:eastAsia="Times New Roman" w:hAnsi="Arial" w:cs="Arial"/>
          <w:sz w:val="24"/>
          <w:szCs w:val="24"/>
        </w:rPr>
        <w:t>, S. 1341, 114th Congress (2015)</w:t>
      </w:r>
      <w:r w:rsidR="00C77A2D" w:rsidRPr="005E3901">
        <w:rPr>
          <w:rFonts w:ascii="Arial" w:eastAsia="Times New Roman" w:hAnsi="Arial" w:cs="Arial"/>
          <w:sz w:val="24"/>
          <w:szCs w:val="24"/>
        </w:rPr>
        <w:t xml:space="preserve">, </w:t>
      </w:r>
      <w:r w:rsidR="00C77A2D" w:rsidRPr="005E3901">
        <w:rPr>
          <w:rFonts w:ascii="Arial" w:eastAsia="Times New Roman" w:hAnsi="Arial" w:cs="Arial"/>
          <w:i/>
          <w:sz w:val="24"/>
          <w:szCs w:val="24"/>
        </w:rPr>
        <w:t>available at</w:t>
      </w:r>
      <w:r w:rsidR="00C77A2D" w:rsidRPr="005E3901">
        <w:rPr>
          <w:rFonts w:ascii="Arial" w:eastAsia="Times New Roman" w:hAnsi="Arial" w:cs="Arial"/>
          <w:sz w:val="24"/>
          <w:szCs w:val="24"/>
        </w:rPr>
        <w:t xml:space="preserve"> </w:t>
      </w:r>
      <w:r w:rsidRPr="005E3901">
        <w:rPr>
          <w:rFonts w:ascii="Arial" w:eastAsia="Times New Roman" w:hAnsi="Arial" w:cs="Arial"/>
          <w:sz w:val="24"/>
          <w:szCs w:val="24"/>
        </w:rPr>
        <w:t>https://www.congress.gov/bill/114th-congress/senate-bill/1341</w:t>
      </w:r>
      <w:r w:rsidR="005E3901">
        <w:rPr>
          <w:rStyle w:val="Hyperlink"/>
          <w:rFonts w:ascii="Arial" w:hAnsi="Arial" w:cs="Arial"/>
          <w:b/>
          <w:color w:val="auto"/>
          <w:sz w:val="24"/>
          <w:szCs w:val="24"/>
          <w:u w:val="none"/>
        </w:rPr>
        <w:t>.</w:t>
      </w:r>
    </w:p>
    <w:p w14:paraId="5B92B205" w14:textId="77777777" w:rsidR="00FD6273" w:rsidRPr="005E3901" w:rsidRDefault="00FD6273" w:rsidP="00FD6273">
      <w:pPr>
        <w:pStyle w:val="ListParagraph"/>
        <w:ind w:left="1440"/>
        <w:rPr>
          <w:rFonts w:ascii="Arial" w:hAnsi="Arial" w:cs="Arial"/>
          <w:b/>
          <w:sz w:val="24"/>
          <w:szCs w:val="24"/>
        </w:rPr>
      </w:pPr>
    </w:p>
    <w:p w14:paraId="25C44561" w14:textId="3C7CDD18" w:rsidR="0037470E" w:rsidRPr="005E3901" w:rsidRDefault="0043622F" w:rsidP="0043622F">
      <w:pPr>
        <w:pStyle w:val="ListParagraph"/>
        <w:spacing w:after="120"/>
        <w:ind w:hanging="720"/>
        <w:rPr>
          <w:rFonts w:ascii="Arial" w:hAnsi="Arial" w:cs="Arial"/>
          <w:sz w:val="24"/>
          <w:szCs w:val="24"/>
        </w:rPr>
      </w:pPr>
      <w:r w:rsidRPr="005E3901">
        <w:rPr>
          <w:rFonts w:ascii="Arial" w:hAnsi="Arial" w:cs="Arial"/>
          <w:b/>
          <w:sz w:val="24"/>
          <w:szCs w:val="24"/>
        </w:rPr>
        <w:t>02/</w:t>
      </w:r>
      <w:r w:rsidR="000F7244" w:rsidRPr="005E3901">
        <w:rPr>
          <w:rFonts w:ascii="Arial" w:hAnsi="Arial" w:cs="Arial"/>
          <w:b/>
          <w:sz w:val="24"/>
          <w:szCs w:val="24"/>
        </w:rPr>
        <w:t>27</w:t>
      </w:r>
      <w:r w:rsidRPr="005E3901">
        <w:rPr>
          <w:rFonts w:ascii="Arial" w:hAnsi="Arial" w:cs="Arial"/>
          <w:b/>
          <w:sz w:val="24"/>
          <w:szCs w:val="24"/>
        </w:rPr>
        <w:t>/1</w:t>
      </w:r>
      <w:r w:rsidR="00D05AC4">
        <w:rPr>
          <w:rFonts w:ascii="Arial" w:hAnsi="Arial" w:cs="Arial"/>
          <w:b/>
          <w:sz w:val="24"/>
          <w:szCs w:val="24"/>
        </w:rPr>
        <w:t>8</w:t>
      </w:r>
      <w:r w:rsidRPr="005E3901">
        <w:rPr>
          <w:rFonts w:ascii="Arial" w:hAnsi="Arial" w:cs="Arial"/>
          <w:b/>
          <w:sz w:val="24"/>
          <w:szCs w:val="24"/>
        </w:rPr>
        <w:tab/>
        <w:t xml:space="preserve">Week #7 – </w:t>
      </w:r>
      <w:r w:rsidR="0037470E" w:rsidRPr="005E3901">
        <w:rPr>
          <w:rFonts w:ascii="Arial" w:hAnsi="Arial" w:cs="Arial"/>
          <w:b/>
          <w:sz w:val="24"/>
          <w:szCs w:val="24"/>
        </w:rPr>
        <w:t>Republication</w:t>
      </w:r>
    </w:p>
    <w:p w14:paraId="75A672BA" w14:textId="77777777" w:rsidR="0037470E" w:rsidRPr="005E3901" w:rsidRDefault="0037470E" w:rsidP="00D33175">
      <w:pPr>
        <w:pStyle w:val="ListParagraph"/>
        <w:numPr>
          <w:ilvl w:val="0"/>
          <w:numId w:val="18"/>
        </w:numPr>
        <w:spacing w:after="60"/>
        <w:ind w:left="720"/>
        <w:rPr>
          <w:rFonts w:ascii="Arial" w:hAnsi="Arial" w:cs="Arial"/>
          <w:sz w:val="24"/>
          <w:szCs w:val="24"/>
        </w:rPr>
      </w:pPr>
      <w:proofErr w:type="spellStart"/>
      <w:r w:rsidRPr="005E3901">
        <w:rPr>
          <w:rFonts w:ascii="Arial" w:eastAsia="Times New Roman" w:hAnsi="Arial" w:cs="Arial"/>
          <w:i/>
          <w:sz w:val="24"/>
          <w:szCs w:val="24"/>
        </w:rPr>
        <w:t>Bartnicki</w:t>
      </w:r>
      <w:proofErr w:type="spellEnd"/>
      <w:r w:rsidRPr="005E3901">
        <w:rPr>
          <w:rFonts w:ascii="Arial" w:eastAsia="Times New Roman" w:hAnsi="Arial" w:cs="Arial"/>
          <w:i/>
          <w:sz w:val="24"/>
          <w:szCs w:val="24"/>
        </w:rPr>
        <w:t xml:space="preserve"> v. </w:t>
      </w:r>
      <w:proofErr w:type="spellStart"/>
      <w:r w:rsidRPr="005E3901">
        <w:rPr>
          <w:rFonts w:ascii="Arial" w:eastAsia="Times New Roman" w:hAnsi="Arial" w:cs="Arial"/>
          <w:i/>
          <w:sz w:val="24"/>
          <w:szCs w:val="24"/>
        </w:rPr>
        <w:t>Vopper</w:t>
      </w:r>
      <w:proofErr w:type="spellEnd"/>
      <w:r w:rsidRPr="005E3901">
        <w:rPr>
          <w:rFonts w:ascii="Arial" w:eastAsia="Times New Roman" w:hAnsi="Arial" w:cs="Arial"/>
          <w:sz w:val="24"/>
          <w:szCs w:val="24"/>
        </w:rPr>
        <w:t>, 532 U.S. 514, 517 (U.S. 2001).</w:t>
      </w:r>
    </w:p>
    <w:p w14:paraId="0D8C3745" w14:textId="77777777" w:rsidR="0037470E" w:rsidRPr="005E3901" w:rsidRDefault="0037470E" w:rsidP="0043622F">
      <w:pPr>
        <w:pStyle w:val="ListParagraph"/>
        <w:numPr>
          <w:ilvl w:val="0"/>
          <w:numId w:val="18"/>
        </w:numPr>
        <w:spacing w:after="120"/>
        <w:ind w:left="720"/>
        <w:rPr>
          <w:rFonts w:ascii="Arial" w:hAnsi="Arial" w:cs="Arial"/>
          <w:sz w:val="24"/>
          <w:szCs w:val="24"/>
        </w:rPr>
      </w:pPr>
      <w:r w:rsidRPr="005E3901">
        <w:rPr>
          <w:rFonts w:ascii="Arial" w:eastAsia="Times New Roman" w:hAnsi="Arial" w:cs="Arial"/>
          <w:sz w:val="24"/>
          <w:szCs w:val="24"/>
        </w:rPr>
        <w:t xml:space="preserve">Eric B. Easton, </w:t>
      </w:r>
      <w:r w:rsidRPr="005E3901">
        <w:rPr>
          <w:rFonts w:ascii="Arial" w:eastAsia="Times New Roman" w:hAnsi="Arial" w:cs="Arial"/>
          <w:i/>
          <w:sz w:val="24"/>
          <w:szCs w:val="24"/>
        </w:rPr>
        <w:t xml:space="preserve">Ten Years After: </w:t>
      </w:r>
      <w:proofErr w:type="spellStart"/>
      <w:r w:rsidRPr="005E3901">
        <w:rPr>
          <w:rFonts w:ascii="Arial" w:eastAsia="Times New Roman" w:hAnsi="Arial" w:cs="Arial"/>
          <w:i/>
          <w:sz w:val="24"/>
          <w:szCs w:val="24"/>
        </w:rPr>
        <w:t>Bartnicki</w:t>
      </w:r>
      <w:proofErr w:type="spellEnd"/>
      <w:r w:rsidRPr="005E3901">
        <w:rPr>
          <w:rFonts w:ascii="Arial" w:eastAsia="Times New Roman" w:hAnsi="Arial" w:cs="Arial"/>
          <w:i/>
          <w:sz w:val="24"/>
          <w:szCs w:val="24"/>
        </w:rPr>
        <w:t xml:space="preserve"> v. </w:t>
      </w:r>
      <w:proofErr w:type="spellStart"/>
      <w:r w:rsidRPr="005E3901">
        <w:rPr>
          <w:rFonts w:ascii="Arial" w:eastAsia="Times New Roman" w:hAnsi="Arial" w:cs="Arial"/>
          <w:i/>
          <w:sz w:val="24"/>
          <w:szCs w:val="24"/>
        </w:rPr>
        <w:t>Vopper</w:t>
      </w:r>
      <w:proofErr w:type="spellEnd"/>
      <w:r w:rsidRPr="005E3901">
        <w:rPr>
          <w:rFonts w:ascii="Arial" w:eastAsia="Times New Roman" w:hAnsi="Arial" w:cs="Arial"/>
          <w:i/>
          <w:sz w:val="24"/>
          <w:szCs w:val="24"/>
        </w:rPr>
        <w:t xml:space="preserve"> </w:t>
      </w:r>
      <w:proofErr w:type="gramStart"/>
      <w:r w:rsidRPr="005E3901">
        <w:rPr>
          <w:rFonts w:ascii="Arial" w:eastAsia="Times New Roman" w:hAnsi="Arial" w:cs="Arial"/>
          <w:i/>
          <w:sz w:val="24"/>
          <w:szCs w:val="24"/>
        </w:rPr>
        <w:t>As</w:t>
      </w:r>
      <w:proofErr w:type="gramEnd"/>
      <w:r w:rsidRPr="005E3901">
        <w:rPr>
          <w:rFonts w:ascii="Arial" w:eastAsia="Times New Roman" w:hAnsi="Arial" w:cs="Arial"/>
          <w:i/>
          <w:sz w:val="24"/>
          <w:szCs w:val="24"/>
        </w:rPr>
        <w:t xml:space="preserve"> A Laboratory for First Amendment Advocacy and Analysis</w:t>
      </w:r>
      <w:r w:rsidRPr="005E3901">
        <w:rPr>
          <w:rFonts w:ascii="Arial" w:eastAsia="Times New Roman" w:hAnsi="Arial" w:cs="Arial"/>
          <w:sz w:val="24"/>
          <w:szCs w:val="24"/>
        </w:rPr>
        <w:t xml:space="preserve">, 50 </w:t>
      </w:r>
      <w:r w:rsidRPr="005E3901">
        <w:rPr>
          <w:rFonts w:ascii="Arial" w:eastAsia="Times New Roman" w:hAnsi="Arial" w:cs="Arial"/>
          <w:smallCaps/>
          <w:sz w:val="24"/>
          <w:szCs w:val="24"/>
        </w:rPr>
        <w:t>U. Louisville L. Rev</w:t>
      </w:r>
      <w:r w:rsidRPr="005E3901">
        <w:rPr>
          <w:rFonts w:ascii="Arial" w:eastAsia="Times New Roman" w:hAnsi="Arial" w:cs="Arial"/>
          <w:sz w:val="24"/>
          <w:szCs w:val="24"/>
        </w:rPr>
        <w:t>. 287 (2011).</w:t>
      </w:r>
    </w:p>
    <w:p w14:paraId="4A3D54DE" w14:textId="43D65893" w:rsidR="00BE3E17" w:rsidRPr="005E3901" w:rsidRDefault="00667F42" w:rsidP="0043622F">
      <w:pPr>
        <w:pStyle w:val="ListParagraph"/>
        <w:numPr>
          <w:ilvl w:val="0"/>
          <w:numId w:val="18"/>
        </w:numPr>
        <w:spacing w:after="120"/>
        <w:ind w:left="720"/>
        <w:rPr>
          <w:rFonts w:ascii="Arial" w:hAnsi="Arial" w:cs="Arial"/>
          <w:sz w:val="24"/>
          <w:szCs w:val="24"/>
        </w:rPr>
      </w:pPr>
      <w:hyperlink r:id="rId20" w:history="1">
        <w:r w:rsidR="00A07FF5" w:rsidRPr="005E3901">
          <w:rPr>
            <w:rStyle w:val="Hyperlink"/>
            <w:rFonts w:ascii="Arial" w:hAnsi="Arial" w:cs="Arial"/>
            <w:sz w:val="24"/>
            <w:szCs w:val="24"/>
          </w:rPr>
          <w:t>47 U.S.C. § 230</w:t>
        </w:r>
      </w:hyperlink>
      <w:r w:rsidR="00A07FF5" w:rsidRPr="005E3901">
        <w:rPr>
          <w:rFonts w:ascii="Arial" w:hAnsi="Arial" w:cs="Arial"/>
          <w:sz w:val="24"/>
          <w:szCs w:val="24"/>
        </w:rPr>
        <w:t>, A provision of the Communications Decency Act (CDA) of 1996.</w:t>
      </w:r>
    </w:p>
    <w:p w14:paraId="2564709A" w14:textId="5A7AC920" w:rsidR="00A07FF5" w:rsidRPr="005E3901" w:rsidRDefault="00A07FF5" w:rsidP="0043622F">
      <w:pPr>
        <w:pStyle w:val="ListParagraph"/>
        <w:numPr>
          <w:ilvl w:val="0"/>
          <w:numId w:val="18"/>
        </w:numPr>
        <w:spacing w:after="120"/>
        <w:ind w:left="720"/>
        <w:rPr>
          <w:rFonts w:ascii="Arial" w:hAnsi="Arial" w:cs="Arial"/>
          <w:sz w:val="24"/>
          <w:szCs w:val="24"/>
        </w:rPr>
      </w:pPr>
      <w:r w:rsidRPr="005E3901">
        <w:rPr>
          <w:rFonts w:ascii="Arial" w:hAnsi="Arial" w:cs="Arial"/>
          <w:sz w:val="24"/>
          <w:szCs w:val="24"/>
        </w:rPr>
        <w:t>Optional: see summary and analysis of section 230 at https://www.eff.org/issues/cda230</w:t>
      </w:r>
    </w:p>
    <w:p w14:paraId="5731028B" w14:textId="7EDE7F2C" w:rsidR="0037470E" w:rsidRPr="005E3901" w:rsidRDefault="0037470E" w:rsidP="008D40AA">
      <w:pPr>
        <w:rPr>
          <w:rFonts w:ascii="Arial" w:hAnsi="Arial" w:cs="Arial"/>
        </w:rPr>
      </w:pPr>
    </w:p>
    <w:p w14:paraId="0E3B7C58" w14:textId="72AA1E11" w:rsidR="0037470E" w:rsidRPr="005E3901" w:rsidRDefault="000F7244" w:rsidP="0043622F">
      <w:pPr>
        <w:pStyle w:val="ListParagraph"/>
        <w:spacing w:after="120"/>
        <w:ind w:hanging="720"/>
        <w:rPr>
          <w:rFonts w:ascii="Arial" w:hAnsi="Arial" w:cs="Arial"/>
          <w:b/>
          <w:sz w:val="24"/>
          <w:szCs w:val="24"/>
        </w:rPr>
      </w:pPr>
      <w:r w:rsidRPr="005E3901">
        <w:rPr>
          <w:rFonts w:ascii="Arial" w:hAnsi="Arial" w:cs="Arial"/>
          <w:b/>
          <w:sz w:val="24"/>
          <w:szCs w:val="24"/>
        </w:rPr>
        <w:t>03/13</w:t>
      </w:r>
      <w:r w:rsidR="006C524A" w:rsidRPr="005E3901">
        <w:rPr>
          <w:rFonts w:ascii="Arial" w:hAnsi="Arial" w:cs="Arial"/>
          <w:b/>
          <w:sz w:val="24"/>
          <w:szCs w:val="24"/>
        </w:rPr>
        <w:t>/1</w:t>
      </w:r>
      <w:r w:rsidR="00D05AC4">
        <w:rPr>
          <w:rFonts w:ascii="Arial" w:hAnsi="Arial" w:cs="Arial"/>
          <w:b/>
          <w:sz w:val="24"/>
          <w:szCs w:val="24"/>
        </w:rPr>
        <w:t>8</w:t>
      </w:r>
      <w:r w:rsidR="0043622F" w:rsidRPr="005E3901">
        <w:rPr>
          <w:rFonts w:ascii="Arial" w:hAnsi="Arial" w:cs="Arial"/>
          <w:b/>
          <w:sz w:val="24"/>
          <w:szCs w:val="24"/>
        </w:rPr>
        <w:tab/>
        <w:t xml:space="preserve">Week #8 – </w:t>
      </w:r>
      <w:r w:rsidR="0037470E" w:rsidRPr="005E3901">
        <w:rPr>
          <w:rFonts w:ascii="Arial" w:hAnsi="Arial" w:cs="Arial"/>
          <w:b/>
          <w:sz w:val="24"/>
          <w:szCs w:val="24"/>
        </w:rPr>
        <w:t xml:space="preserve">EU’s </w:t>
      </w:r>
      <w:r w:rsidR="0043622F" w:rsidRPr="005E3901">
        <w:rPr>
          <w:rFonts w:ascii="Arial" w:hAnsi="Arial" w:cs="Arial"/>
          <w:b/>
          <w:sz w:val="24"/>
          <w:szCs w:val="24"/>
        </w:rPr>
        <w:t>Approaches to Data Breaches</w:t>
      </w:r>
    </w:p>
    <w:p w14:paraId="011C3CF1" w14:textId="53BF5795" w:rsidR="00961811" w:rsidRPr="005E3901" w:rsidRDefault="00961811" w:rsidP="00D33175">
      <w:pPr>
        <w:pStyle w:val="ListParagraph"/>
        <w:numPr>
          <w:ilvl w:val="0"/>
          <w:numId w:val="19"/>
        </w:numPr>
        <w:spacing w:after="60"/>
        <w:ind w:left="720"/>
        <w:rPr>
          <w:rFonts w:ascii="Arial" w:hAnsi="Arial" w:cs="Arial"/>
          <w:sz w:val="24"/>
          <w:szCs w:val="24"/>
        </w:rPr>
      </w:pPr>
      <w:r w:rsidRPr="005E3901">
        <w:rPr>
          <w:rFonts w:ascii="Arial" w:hAnsi="Arial" w:cs="Arial"/>
          <w:sz w:val="24"/>
          <w:szCs w:val="24"/>
        </w:rPr>
        <w:t>General Data Protection Regulation (GDPR) (2016)</w:t>
      </w:r>
      <w:r w:rsidR="00D16BEF" w:rsidRPr="005E3901">
        <w:rPr>
          <w:rFonts w:ascii="Arial" w:hAnsi="Arial" w:cs="Arial"/>
          <w:sz w:val="24"/>
          <w:szCs w:val="24"/>
        </w:rPr>
        <w:t xml:space="preserve"> </w:t>
      </w:r>
      <w:r w:rsidR="009A4781" w:rsidRPr="005E3901">
        <w:rPr>
          <w:rFonts w:ascii="Arial" w:hAnsi="Arial" w:cs="Arial"/>
          <w:sz w:val="24"/>
          <w:szCs w:val="24"/>
        </w:rPr>
        <w:t>http://ec.europa.eu/justice/data-protection/reform/files/regulation_oj_en.pdf</w:t>
      </w:r>
      <w:r w:rsidR="005E3901">
        <w:rPr>
          <w:rFonts w:ascii="Arial" w:hAnsi="Arial" w:cs="Arial"/>
          <w:sz w:val="24"/>
          <w:szCs w:val="24"/>
        </w:rPr>
        <w:t>.</w:t>
      </w:r>
    </w:p>
    <w:p w14:paraId="53FFBC6F" w14:textId="4AAFCBCC" w:rsidR="009A4781" w:rsidRPr="005E3901" w:rsidRDefault="009A4781" w:rsidP="00D33175">
      <w:pPr>
        <w:pStyle w:val="ListParagraph"/>
        <w:numPr>
          <w:ilvl w:val="0"/>
          <w:numId w:val="19"/>
        </w:numPr>
        <w:spacing w:after="60"/>
        <w:ind w:left="720"/>
        <w:rPr>
          <w:rFonts w:ascii="Arial" w:hAnsi="Arial" w:cs="Arial"/>
          <w:sz w:val="24"/>
          <w:szCs w:val="24"/>
        </w:rPr>
      </w:pPr>
      <w:r w:rsidRPr="005E3901">
        <w:rPr>
          <w:rFonts w:ascii="Arial" w:hAnsi="Arial" w:cs="Arial"/>
          <w:sz w:val="24"/>
          <w:szCs w:val="24"/>
        </w:rPr>
        <w:t xml:space="preserve">Two-Way Street: U.S.-EU Parallels Under </w:t>
      </w:r>
      <w:proofErr w:type="gramStart"/>
      <w:r w:rsidRPr="005E3901">
        <w:rPr>
          <w:rFonts w:ascii="Arial" w:hAnsi="Arial" w:cs="Arial"/>
          <w:sz w:val="24"/>
          <w:szCs w:val="24"/>
        </w:rPr>
        <w:t>The</w:t>
      </w:r>
      <w:proofErr w:type="gramEnd"/>
      <w:r w:rsidRPr="005E3901">
        <w:rPr>
          <w:rFonts w:ascii="Arial" w:hAnsi="Arial" w:cs="Arial"/>
          <w:sz w:val="24"/>
          <w:szCs w:val="24"/>
        </w:rPr>
        <w:t xml:space="preserve"> General Data Protection Regulation </w:t>
      </w:r>
      <w:proofErr w:type="spellStart"/>
      <w:r w:rsidRPr="005E3901">
        <w:rPr>
          <w:rFonts w:ascii="Arial" w:hAnsi="Arial" w:cs="Arial"/>
          <w:sz w:val="24"/>
          <w:szCs w:val="24"/>
        </w:rPr>
        <w:t>Ghostery</w:t>
      </w:r>
      <w:proofErr w:type="spellEnd"/>
      <w:r w:rsidRPr="005E3901">
        <w:rPr>
          <w:rFonts w:ascii="Arial" w:hAnsi="Arial" w:cs="Arial"/>
          <w:sz w:val="24"/>
          <w:szCs w:val="24"/>
        </w:rPr>
        <w:t xml:space="preserve">/Hogan </w:t>
      </w:r>
      <w:proofErr w:type="spellStart"/>
      <w:r w:rsidRPr="005E3901">
        <w:rPr>
          <w:rFonts w:ascii="Arial" w:hAnsi="Arial" w:cs="Arial"/>
          <w:sz w:val="24"/>
          <w:szCs w:val="24"/>
        </w:rPr>
        <w:t>Lovells</w:t>
      </w:r>
      <w:proofErr w:type="spellEnd"/>
      <w:r w:rsidRPr="005E3901">
        <w:rPr>
          <w:rFonts w:ascii="Arial" w:hAnsi="Arial" w:cs="Arial"/>
          <w:sz w:val="24"/>
          <w:szCs w:val="24"/>
        </w:rPr>
        <w:t xml:space="preserve"> Data Privacy Day, FTC</w:t>
      </w:r>
      <w:r w:rsidR="005E3901">
        <w:rPr>
          <w:rFonts w:ascii="Arial" w:hAnsi="Arial" w:cs="Arial"/>
          <w:sz w:val="24"/>
          <w:szCs w:val="24"/>
        </w:rPr>
        <w:t xml:space="preserve"> (Remarks)</w:t>
      </w:r>
      <w:r w:rsidRPr="005E3901">
        <w:rPr>
          <w:rFonts w:ascii="Arial" w:hAnsi="Arial" w:cs="Arial"/>
          <w:sz w:val="24"/>
          <w:szCs w:val="24"/>
        </w:rPr>
        <w:t xml:space="preserve"> (Jan. 21, 2016) </w:t>
      </w:r>
      <w:r w:rsidRPr="005E3901">
        <w:rPr>
          <w:rFonts w:ascii="Arial" w:hAnsi="Arial" w:cs="Arial"/>
          <w:i/>
          <w:sz w:val="24"/>
          <w:szCs w:val="24"/>
        </w:rPr>
        <w:t xml:space="preserve">available at </w:t>
      </w:r>
      <w:r w:rsidR="002B7272" w:rsidRPr="005E3901">
        <w:rPr>
          <w:rFonts w:ascii="Arial" w:hAnsi="Arial" w:cs="Arial"/>
          <w:i/>
          <w:sz w:val="24"/>
          <w:szCs w:val="24"/>
        </w:rPr>
        <w:t>https://www.ftc.gov/system/files/documents/public_statements/910663/160121hoganghostery_dpd.pdf</w:t>
      </w:r>
      <w:r w:rsidR="005E3901">
        <w:rPr>
          <w:rFonts w:ascii="Arial" w:hAnsi="Arial" w:cs="Arial"/>
          <w:sz w:val="24"/>
          <w:szCs w:val="24"/>
        </w:rPr>
        <w:t>.</w:t>
      </w:r>
    </w:p>
    <w:p w14:paraId="02AE990E" w14:textId="02FA2655" w:rsidR="00195EDE" w:rsidRPr="005E3901" w:rsidRDefault="002B7272" w:rsidP="00195EDE">
      <w:pPr>
        <w:pStyle w:val="ListParagraph"/>
        <w:numPr>
          <w:ilvl w:val="0"/>
          <w:numId w:val="19"/>
        </w:numPr>
        <w:spacing w:after="60"/>
        <w:ind w:left="720"/>
        <w:rPr>
          <w:rFonts w:ascii="Arial" w:hAnsi="Arial" w:cs="Arial"/>
          <w:sz w:val="24"/>
          <w:szCs w:val="24"/>
        </w:rPr>
      </w:pPr>
      <w:r w:rsidRPr="005E3901">
        <w:rPr>
          <w:rFonts w:ascii="Arial" w:hAnsi="Arial" w:cs="Arial"/>
          <w:sz w:val="24"/>
          <w:szCs w:val="24"/>
        </w:rPr>
        <w:t>EU-US Privacy Shield Framework (2016) see generally https://www.privacyshield.gov/Program-Overview</w:t>
      </w:r>
      <w:r w:rsidR="005E3901">
        <w:rPr>
          <w:rFonts w:ascii="Arial" w:hAnsi="Arial" w:cs="Arial"/>
          <w:sz w:val="24"/>
          <w:szCs w:val="24"/>
        </w:rPr>
        <w:t>;</w:t>
      </w:r>
      <w:r w:rsidRPr="005E3901">
        <w:rPr>
          <w:rFonts w:ascii="Arial" w:hAnsi="Arial" w:cs="Arial"/>
          <w:sz w:val="24"/>
          <w:szCs w:val="24"/>
        </w:rPr>
        <w:t xml:space="preserve"> full text: https://www.privacyshield.gov/servlet/servlet.FileDownload?file=015t00000004qAg</w:t>
      </w:r>
      <w:r w:rsidR="00195EDE" w:rsidRPr="005E3901">
        <w:rPr>
          <w:rFonts w:ascii="Arial" w:hAnsi="Arial" w:cs="Arial"/>
          <w:sz w:val="24"/>
          <w:szCs w:val="24"/>
        </w:rPr>
        <w:t>.</w:t>
      </w:r>
    </w:p>
    <w:p w14:paraId="333C4D38" w14:textId="4DCCABC8" w:rsidR="00195EDE" w:rsidRPr="005E3901" w:rsidRDefault="000E2375" w:rsidP="00195EDE">
      <w:pPr>
        <w:pStyle w:val="ListParagraph"/>
        <w:numPr>
          <w:ilvl w:val="0"/>
          <w:numId w:val="19"/>
        </w:numPr>
        <w:spacing w:after="60"/>
        <w:ind w:left="720"/>
        <w:rPr>
          <w:rFonts w:ascii="Arial" w:hAnsi="Arial" w:cs="Arial"/>
          <w:sz w:val="24"/>
          <w:szCs w:val="24"/>
        </w:rPr>
      </w:pPr>
      <w:proofErr w:type="spellStart"/>
      <w:r w:rsidRPr="005E3901">
        <w:rPr>
          <w:rFonts w:ascii="Arial" w:hAnsi="Arial" w:cs="Arial"/>
          <w:i/>
          <w:sz w:val="24"/>
          <w:szCs w:val="24"/>
        </w:rPr>
        <w:t>Schrems</w:t>
      </w:r>
      <w:proofErr w:type="spellEnd"/>
      <w:r w:rsidRPr="005E3901">
        <w:rPr>
          <w:rFonts w:ascii="Arial" w:hAnsi="Arial" w:cs="Arial"/>
          <w:i/>
          <w:sz w:val="24"/>
          <w:szCs w:val="24"/>
        </w:rPr>
        <w:t xml:space="preserve"> v. Data Protection Comm'r</w:t>
      </w:r>
      <w:r w:rsidRPr="005E3901">
        <w:rPr>
          <w:rFonts w:ascii="Arial" w:hAnsi="Arial" w:cs="Arial"/>
          <w:sz w:val="24"/>
          <w:szCs w:val="24"/>
        </w:rPr>
        <w:t xml:space="preserve">, CJEU Case C-362/14 (Oct. 6, 2015), available </w:t>
      </w:r>
      <w:proofErr w:type="spellStart"/>
      <w:r w:rsidRPr="005E3901">
        <w:rPr>
          <w:rFonts w:ascii="Arial" w:hAnsi="Arial" w:cs="Arial"/>
          <w:sz w:val="24"/>
          <w:szCs w:val="24"/>
        </w:rPr>
        <w:t xml:space="preserve">at </w:t>
      </w:r>
      <w:r w:rsidR="00195EDE" w:rsidRPr="005E3901">
        <w:rPr>
          <w:rFonts w:ascii="Arial" w:hAnsi="Arial" w:cs="Arial"/>
          <w:sz w:val="24"/>
          <w:szCs w:val="24"/>
        </w:rPr>
        <w:t>http://curia.europa.eu/juris/celex.jsf?celex=62014CJ0362&amp;lang1=en&amp;type=TXT&amp;ancre</w:t>
      </w:r>
      <w:r w:rsidR="005E3901">
        <w:rPr>
          <w:rFonts w:ascii="Arial" w:hAnsi="Arial" w:cs="Arial"/>
          <w:sz w:val="24"/>
          <w:szCs w:val="24"/>
        </w:rPr>
        <w:t>=</w:t>
      </w:r>
      <w:r w:rsidR="00195EDE" w:rsidRPr="005E3901">
        <w:rPr>
          <w:rFonts w:ascii="Arial" w:hAnsi="Arial" w:cs="Arial"/>
          <w:sz w:val="24"/>
          <w:szCs w:val="24"/>
        </w:rPr>
        <w:t xml:space="preserve">; </w:t>
      </w:r>
      <w:r w:rsidR="00195EDE" w:rsidRPr="005E3901">
        <w:rPr>
          <w:rFonts w:ascii="Arial" w:hAnsi="Arial" w:cs="Arial"/>
          <w:i/>
          <w:sz w:val="24"/>
          <w:szCs w:val="24"/>
        </w:rPr>
        <w:t>see</w:t>
      </w:r>
      <w:proofErr w:type="spellEnd"/>
      <w:r w:rsidR="00195EDE" w:rsidRPr="005E3901">
        <w:rPr>
          <w:rFonts w:ascii="Arial" w:hAnsi="Arial" w:cs="Arial"/>
          <w:i/>
          <w:sz w:val="24"/>
          <w:szCs w:val="24"/>
        </w:rPr>
        <w:t xml:space="preserve"> also </w:t>
      </w:r>
      <w:r w:rsidR="00195EDE" w:rsidRPr="005E3901">
        <w:rPr>
          <w:rFonts w:ascii="Arial" w:hAnsi="Arial" w:cs="Arial"/>
          <w:sz w:val="24"/>
          <w:szCs w:val="24"/>
        </w:rPr>
        <w:t>http://curia.europa.eu/jcms/upload/docs/application/pdf/2015-10/cp150117en.pdf.</w:t>
      </w:r>
    </w:p>
    <w:p w14:paraId="71B4AF06" w14:textId="04890AB7" w:rsidR="00F03F9E" w:rsidRPr="005E3901" w:rsidRDefault="00F03F9E" w:rsidP="00F03F9E">
      <w:pPr>
        <w:pStyle w:val="ListParagraph"/>
        <w:numPr>
          <w:ilvl w:val="0"/>
          <w:numId w:val="19"/>
        </w:numPr>
        <w:spacing w:after="120"/>
        <w:ind w:left="720"/>
        <w:rPr>
          <w:rStyle w:val="Hyperlink"/>
          <w:rFonts w:ascii="Arial" w:hAnsi="Arial" w:cs="Arial"/>
          <w:color w:val="auto"/>
          <w:sz w:val="24"/>
          <w:szCs w:val="24"/>
          <w:u w:val="none"/>
        </w:rPr>
      </w:pPr>
      <w:r w:rsidRPr="005E3901">
        <w:rPr>
          <w:rFonts w:ascii="Arial" w:eastAsia="Times New Roman" w:hAnsi="Arial" w:cs="Arial"/>
          <w:i/>
          <w:sz w:val="24"/>
          <w:szCs w:val="24"/>
        </w:rPr>
        <w:t xml:space="preserve">Google Spain SL, Google Inc. v </w:t>
      </w:r>
      <w:proofErr w:type="spellStart"/>
      <w:r w:rsidRPr="005E3901">
        <w:rPr>
          <w:rFonts w:ascii="Arial" w:eastAsia="Times New Roman" w:hAnsi="Arial" w:cs="Arial"/>
          <w:i/>
          <w:sz w:val="24"/>
          <w:szCs w:val="24"/>
        </w:rPr>
        <w:t>Agencia</w:t>
      </w:r>
      <w:proofErr w:type="spellEnd"/>
      <w:r w:rsidRPr="005E3901">
        <w:rPr>
          <w:rFonts w:ascii="Arial" w:eastAsia="Times New Roman" w:hAnsi="Arial" w:cs="Arial"/>
          <w:i/>
          <w:sz w:val="24"/>
          <w:szCs w:val="24"/>
        </w:rPr>
        <w:t xml:space="preserve"> Española de </w:t>
      </w:r>
      <w:proofErr w:type="spellStart"/>
      <w:r w:rsidRPr="005E3901">
        <w:rPr>
          <w:rFonts w:ascii="Arial" w:eastAsia="Times New Roman" w:hAnsi="Arial" w:cs="Arial"/>
          <w:i/>
          <w:sz w:val="24"/>
          <w:szCs w:val="24"/>
        </w:rPr>
        <w:t>Protección</w:t>
      </w:r>
      <w:proofErr w:type="spellEnd"/>
      <w:r w:rsidRPr="005E3901">
        <w:rPr>
          <w:rFonts w:ascii="Arial" w:eastAsia="Times New Roman" w:hAnsi="Arial" w:cs="Arial"/>
          <w:i/>
          <w:sz w:val="24"/>
          <w:szCs w:val="24"/>
        </w:rPr>
        <w:t xml:space="preserve"> de </w:t>
      </w:r>
      <w:proofErr w:type="spellStart"/>
      <w:r w:rsidRPr="005E3901">
        <w:rPr>
          <w:rFonts w:ascii="Arial" w:eastAsia="Times New Roman" w:hAnsi="Arial" w:cs="Arial"/>
          <w:i/>
          <w:sz w:val="24"/>
          <w:szCs w:val="24"/>
        </w:rPr>
        <w:t>Datos</w:t>
      </w:r>
      <w:proofErr w:type="spellEnd"/>
      <w:r w:rsidRPr="005E3901">
        <w:rPr>
          <w:rFonts w:ascii="Arial" w:eastAsia="Times New Roman" w:hAnsi="Arial" w:cs="Arial"/>
          <w:i/>
          <w:sz w:val="24"/>
          <w:szCs w:val="24"/>
        </w:rPr>
        <w:t xml:space="preserve">, Mario </w:t>
      </w:r>
      <w:proofErr w:type="spellStart"/>
      <w:r w:rsidRPr="005E3901">
        <w:rPr>
          <w:rFonts w:ascii="Arial" w:eastAsia="Times New Roman" w:hAnsi="Arial" w:cs="Arial"/>
          <w:i/>
          <w:sz w:val="24"/>
          <w:szCs w:val="24"/>
        </w:rPr>
        <w:t>Costeja</w:t>
      </w:r>
      <w:proofErr w:type="spellEnd"/>
      <w:r w:rsidRPr="005E3901">
        <w:rPr>
          <w:rFonts w:ascii="Arial" w:eastAsia="Times New Roman" w:hAnsi="Arial" w:cs="Arial"/>
          <w:i/>
          <w:sz w:val="24"/>
          <w:szCs w:val="24"/>
        </w:rPr>
        <w:t xml:space="preserve"> González</w:t>
      </w:r>
      <w:r w:rsidRPr="005E3901">
        <w:rPr>
          <w:rFonts w:ascii="Arial" w:eastAsia="Times New Roman" w:hAnsi="Arial" w:cs="Arial"/>
          <w:sz w:val="24"/>
          <w:szCs w:val="24"/>
        </w:rPr>
        <w:t xml:space="preserve"> (2014) </w:t>
      </w:r>
      <w:r w:rsidRPr="005E3901">
        <w:rPr>
          <w:rFonts w:ascii="Arial" w:eastAsia="Times New Roman" w:hAnsi="Arial" w:cs="Arial"/>
          <w:i/>
          <w:sz w:val="24"/>
          <w:szCs w:val="24"/>
        </w:rPr>
        <w:t>available at</w:t>
      </w:r>
      <w:r w:rsidRPr="005E3901">
        <w:rPr>
          <w:rFonts w:ascii="Arial" w:eastAsia="Times New Roman" w:hAnsi="Arial" w:cs="Arial"/>
          <w:sz w:val="24"/>
          <w:szCs w:val="24"/>
        </w:rPr>
        <w:t xml:space="preserve"> http://curia.europa.eu/juris/document/document_print.jsf?doclang=EN&amp;docid=152065</w:t>
      </w:r>
      <w:r w:rsidR="005E3901">
        <w:rPr>
          <w:rStyle w:val="Hyperlink"/>
          <w:rFonts w:ascii="Arial" w:hAnsi="Arial" w:cs="Arial"/>
          <w:color w:val="auto"/>
          <w:sz w:val="24"/>
          <w:szCs w:val="24"/>
          <w:u w:val="none"/>
        </w:rPr>
        <w:t>.</w:t>
      </w:r>
    </w:p>
    <w:p w14:paraId="3BAB78C8" w14:textId="3937E5BE" w:rsidR="00F03F9E" w:rsidRPr="005E3901" w:rsidRDefault="00F03F9E" w:rsidP="00F03F9E">
      <w:pPr>
        <w:pStyle w:val="ListParagraph"/>
        <w:numPr>
          <w:ilvl w:val="0"/>
          <w:numId w:val="19"/>
        </w:numPr>
        <w:spacing w:after="120"/>
        <w:ind w:left="720"/>
        <w:rPr>
          <w:rFonts w:ascii="Arial" w:hAnsi="Arial" w:cs="Arial"/>
          <w:sz w:val="24"/>
          <w:szCs w:val="24"/>
        </w:rPr>
      </w:pPr>
      <w:r w:rsidRPr="005E3901">
        <w:rPr>
          <w:rFonts w:ascii="Arial" w:hAnsi="Arial" w:cs="Arial"/>
          <w:sz w:val="24"/>
          <w:szCs w:val="24"/>
        </w:rPr>
        <w:t xml:space="preserve">Julia </w:t>
      </w:r>
      <w:proofErr w:type="spellStart"/>
      <w:r w:rsidRPr="005E3901">
        <w:rPr>
          <w:rFonts w:ascii="Arial" w:hAnsi="Arial" w:cs="Arial"/>
          <w:sz w:val="24"/>
          <w:szCs w:val="24"/>
        </w:rPr>
        <w:t>Fioretti</w:t>
      </w:r>
      <w:proofErr w:type="spellEnd"/>
      <w:r w:rsidRPr="005E3901">
        <w:rPr>
          <w:rFonts w:ascii="Arial" w:hAnsi="Arial" w:cs="Arial"/>
          <w:sz w:val="24"/>
          <w:szCs w:val="24"/>
        </w:rPr>
        <w:t xml:space="preserve">, </w:t>
      </w:r>
      <w:r w:rsidRPr="005E3901">
        <w:rPr>
          <w:rFonts w:ascii="Arial" w:hAnsi="Arial" w:cs="Arial"/>
          <w:i/>
          <w:sz w:val="24"/>
          <w:szCs w:val="24"/>
        </w:rPr>
        <w:t>Google Refuses French Order to Apply ‘Right to be Forgotten” Globally</w:t>
      </w:r>
      <w:r w:rsidRPr="005E3901">
        <w:rPr>
          <w:rFonts w:ascii="Arial" w:hAnsi="Arial" w:cs="Arial"/>
          <w:sz w:val="24"/>
          <w:szCs w:val="24"/>
        </w:rPr>
        <w:t xml:space="preserve">, </w:t>
      </w:r>
      <w:r w:rsidRPr="005E3901">
        <w:rPr>
          <w:rFonts w:ascii="Arial" w:hAnsi="Arial" w:cs="Arial"/>
          <w:smallCaps/>
          <w:sz w:val="24"/>
          <w:szCs w:val="24"/>
        </w:rPr>
        <w:t>Reuters</w:t>
      </w:r>
      <w:r w:rsidRPr="005E3901">
        <w:rPr>
          <w:rFonts w:ascii="Arial" w:hAnsi="Arial" w:cs="Arial"/>
          <w:sz w:val="24"/>
          <w:szCs w:val="24"/>
        </w:rPr>
        <w:t xml:space="preserve"> (July 31, 2015), </w:t>
      </w:r>
      <w:r w:rsidRPr="005E3901">
        <w:rPr>
          <w:rFonts w:ascii="Arial" w:hAnsi="Arial" w:cs="Arial"/>
          <w:i/>
          <w:sz w:val="24"/>
          <w:szCs w:val="24"/>
        </w:rPr>
        <w:t>available at http://www.reuters.com/article/2015/07/31/us-google-france-idUSKCN0Q50VP20150731</w:t>
      </w:r>
      <w:r w:rsidR="005E3901">
        <w:rPr>
          <w:rFonts w:ascii="Arial" w:hAnsi="Arial" w:cs="Arial"/>
          <w:sz w:val="24"/>
          <w:szCs w:val="24"/>
        </w:rPr>
        <w:t>.</w:t>
      </w:r>
    </w:p>
    <w:p w14:paraId="20D7FEC1" w14:textId="77777777" w:rsidR="0037470E" w:rsidRPr="005E3901" w:rsidRDefault="0037470E" w:rsidP="00D33175">
      <w:pPr>
        <w:pStyle w:val="ListParagraph"/>
        <w:numPr>
          <w:ilvl w:val="0"/>
          <w:numId w:val="19"/>
        </w:numPr>
        <w:spacing w:after="60"/>
        <w:ind w:left="720"/>
        <w:rPr>
          <w:rFonts w:ascii="Arial" w:hAnsi="Arial" w:cs="Arial"/>
          <w:sz w:val="24"/>
          <w:szCs w:val="24"/>
        </w:rPr>
      </w:pPr>
      <w:r w:rsidRPr="005E3901">
        <w:rPr>
          <w:rFonts w:ascii="Arial" w:eastAsia="Times New Roman" w:hAnsi="Arial" w:cs="Arial"/>
          <w:sz w:val="24"/>
          <w:szCs w:val="24"/>
        </w:rPr>
        <w:t>Excerpts from:</w:t>
      </w:r>
    </w:p>
    <w:p w14:paraId="1954FC12" w14:textId="77777777" w:rsidR="0037470E" w:rsidRPr="005E3901" w:rsidRDefault="0037470E" w:rsidP="0043622F">
      <w:pPr>
        <w:pStyle w:val="ListParagraph"/>
        <w:numPr>
          <w:ilvl w:val="0"/>
          <w:numId w:val="20"/>
        </w:numPr>
        <w:ind w:left="1440" w:hanging="360"/>
        <w:rPr>
          <w:rFonts w:ascii="Arial" w:hAnsi="Arial" w:cs="Arial"/>
          <w:sz w:val="24"/>
          <w:szCs w:val="24"/>
        </w:rPr>
      </w:pPr>
      <w:r w:rsidRPr="005E3901">
        <w:rPr>
          <w:rFonts w:ascii="Arial" w:eastAsia="Times New Roman" w:hAnsi="Arial" w:cs="Arial"/>
          <w:i/>
          <w:sz w:val="24"/>
          <w:szCs w:val="24"/>
        </w:rPr>
        <w:t>Yild</w:t>
      </w:r>
      <w:r w:rsidR="00686F27" w:rsidRPr="005E3901">
        <w:rPr>
          <w:rFonts w:ascii="Arial" w:eastAsia="Times New Roman" w:hAnsi="Arial" w:cs="Arial"/>
          <w:i/>
          <w:sz w:val="24"/>
          <w:szCs w:val="24"/>
        </w:rPr>
        <w:t>i</w:t>
      </w:r>
      <w:r w:rsidRPr="005E3901">
        <w:rPr>
          <w:rFonts w:ascii="Arial" w:eastAsia="Times New Roman" w:hAnsi="Arial" w:cs="Arial"/>
          <w:i/>
          <w:sz w:val="24"/>
          <w:szCs w:val="24"/>
        </w:rPr>
        <w:t>rim v. Turkey</w:t>
      </w:r>
      <w:r w:rsidR="00C77A2D" w:rsidRPr="005E3901">
        <w:rPr>
          <w:rFonts w:ascii="Arial" w:eastAsia="Times New Roman" w:hAnsi="Arial" w:cs="Arial"/>
          <w:sz w:val="24"/>
          <w:szCs w:val="24"/>
        </w:rPr>
        <w:t xml:space="preserve">, </w:t>
      </w:r>
      <w:r w:rsidRPr="005E3901">
        <w:rPr>
          <w:rFonts w:ascii="Arial" w:eastAsia="Times New Roman" w:hAnsi="Arial" w:cs="Arial"/>
          <w:sz w:val="24"/>
          <w:szCs w:val="24"/>
        </w:rPr>
        <w:t>no.3111/10 (2011)</w:t>
      </w:r>
      <w:r w:rsidR="00B513F3" w:rsidRPr="005E3901">
        <w:rPr>
          <w:rStyle w:val="Hyperlink"/>
          <w:rFonts w:ascii="Arial" w:hAnsi="Arial" w:cs="Arial"/>
          <w:color w:val="000000" w:themeColor="text1"/>
          <w:sz w:val="24"/>
          <w:szCs w:val="24"/>
          <w:u w:val="none"/>
        </w:rPr>
        <w:t>.</w:t>
      </w:r>
    </w:p>
    <w:p w14:paraId="6C56FCBA" w14:textId="594A21E2" w:rsidR="0037470E" w:rsidRPr="005E3901" w:rsidRDefault="0037470E" w:rsidP="003F7A70">
      <w:pPr>
        <w:pStyle w:val="ListParagraph"/>
        <w:numPr>
          <w:ilvl w:val="0"/>
          <w:numId w:val="20"/>
        </w:numPr>
        <w:ind w:left="1440" w:hanging="360"/>
        <w:rPr>
          <w:rFonts w:ascii="Arial" w:hAnsi="Arial" w:cs="Arial"/>
          <w:sz w:val="24"/>
          <w:szCs w:val="24"/>
        </w:rPr>
      </w:pPr>
      <w:proofErr w:type="spellStart"/>
      <w:r w:rsidRPr="005E3901">
        <w:rPr>
          <w:rFonts w:ascii="Arial" w:eastAsia="Times New Roman" w:hAnsi="Arial" w:cs="Arial"/>
          <w:i/>
          <w:sz w:val="24"/>
          <w:szCs w:val="24"/>
        </w:rPr>
        <w:t>Mouvement</w:t>
      </w:r>
      <w:proofErr w:type="spellEnd"/>
      <w:r w:rsidRPr="005E3901">
        <w:rPr>
          <w:rFonts w:ascii="Arial" w:eastAsia="Times New Roman" w:hAnsi="Arial" w:cs="Arial"/>
          <w:i/>
          <w:sz w:val="24"/>
          <w:szCs w:val="24"/>
        </w:rPr>
        <w:t xml:space="preserve"> </w:t>
      </w:r>
      <w:proofErr w:type="spellStart"/>
      <w:r w:rsidRPr="005E3901">
        <w:rPr>
          <w:rFonts w:ascii="Arial" w:eastAsia="Times New Roman" w:hAnsi="Arial" w:cs="Arial"/>
          <w:i/>
          <w:sz w:val="24"/>
          <w:szCs w:val="24"/>
        </w:rPr>
        <w:t>raëlien</w:t>
      </w:r>
      <w:proofErr w:type="spellEnd"/>
      <w:r w:rsidRPr="005E3901">
        <w:rPr>
          <w:rFonts w:ascii="Arial" w:eastAsia="Times New Roman" w:hAnsi="Arial" w:cs="Arial"/>
          <w:i/>
          <w:sz w:val="24"/>
          <w:szCs w:val="24"/>
        </w:rPr>
        <w:t xml:space="preserve"> </w:t>
      </w:r>
      <w:proofErr w:type="spellStart"/>
      <w:r w:rsidRPr="005E3901">
        <w:rPr>
          <w:rFonts w:ascii="Arial" w:eastAsia="Times New Roman" w:hAnsi="Arial" w:cs="Arial"/>
          <w:i/>
          <w:sz w:val="24"/>
          <w:szCs w:val="24"/>
        </w:rPr>
        <w:t>suisse</w:t>
      </w:r>
      <w:proofErr w:type="spellEnd"/>
      <w:r w:rsidRPr="005E3901">
        <w:rPr>
          <w:rFonts w:ascii="Arial" w:eastAsia="Times New Roman" w:hAnsi="Arial" w:cs="Arial"/>
          <w:i/>
          <w:sz w:val="24"/>
          <w:szCs w:val="24"/>
        </w:rPr>
        <w:t xml:space="preserve"> v. Switzerland</w:t>
      </w:r>
      <w:r w:rsidRPr="005E3901">
        <w:rPr>
          <w:rFonts w:ascii="Arial" w:eastAsia="Times New Roman" w:hAnsi="Arial" w:cs="Arial"/>
          <w:sz w:val="24"/>
          <w:szCs w:val="24"/>
        </w:rPr>
        <w:t>,</w:t>
      </w:r>
      <w:r w:rsidRPr="005E3901">
        <w:rPr>
          <w:rFonts w:ascii="Arial" w:eastAsia="Times New Roman" w:hAnsi="Arial" w:cs="Arial"/>
          <w:i/>
          <w:sz w:val="24"/>
          <w:szCs w:val="24"/>
        </w:rPr>
        <w:t xml:space="preserve"> </w:t>
      </w:r>
      <w:r w:rsidRPr="005E3901">
        <w:rPr>
          <w:rFonts w:ascii="Arial" w:eastAsia="Times New Roman" w:hAnsi="Arial" w:cs="Arial"/>
          <w:sz w:val="24"/>
          <w:szCs w:val="24"/>
        </w:rPr>
        <w:t>no. 16354/06 (2012)</w:t>
      </w:r>
      <w:r w:rsidR="003F7A70" w:rsidRPr="005E3901">
        <w:rPr>
          <w:rFonts w:ascii="Arial" w:eastAsia="Times New Roman" w:hAnsi="Arial" w:cs="Arial"/>
          <w:sz w:val="24"/>
          <w:szCs w:val="24"/>
        </w:rPr>
        <w:t xml:space="preserve"> available at http://hudoc.echr.coe.int/eng?i=001-112165</w:t>
      </w:r>
      <w:proofErr w:type="gramStart"/>
      <w:r w:rsidR="003F7A70" w:rsidRPr="005E3901">
        <w:rPr>
          <w:rFonts w:ascii="Arial" w:eastAsia="Times New Roman" w:hAnsi="Arial" w:cs="Arial"/>
          <w:sz w:val="24"/>
          <w:szCs w:val="24"/>
        </w:rPr>
        <w:t>#{</w:t>
      </w:r>
      <w:proofErr w:type="gramEnd"/>
      <w:r w:rsidR="003F7A70" w:rsidRPr="005E3901">
        <w:rPr>
          <w:rFonts w:ascii="Arial" w:eastAsia="Times New Roman" w:hAnsi="Arial" w:cs="Arial"/>
          <w:sz w:val="24"/>
          <w:szCs w:val="24"/>
        </w:rPr>
        <w:t>"itemid":["001-112165"]}</w:t>
      </w:r>
      <w:r w:rsidR="005E3901">
        <w:rPr>
          <w:rFonts w:ascii="Arial" w:hAnsi="Arial" w:cs="Arial"/>
          <w:sz w:val="24"/>
          <w:szCs w:val="24"/>
        </w:rPr>
        <w:t>.</w:t>
      </w:r>
    </w:p>
    <w:p w14:paraId="602A62A1" w14:textId="77777777" w:rsidR="0037470E" w:rsidRPr="005E3901" w:rsidRDefault="0037470E" w:rsidP="0043622F">
      <w:pPr>
        <w:pStyle w:val="ListParagraph"/>
        <w:numPr>
          <w:ilvl w:val="0"/>
          <w:numId w:val="20"/>
        </w:numPr>
        <w:ind w:left="1440" w:hanging="360"/>
        <w:rPr>
          <w:rFonts w:ascii="Arial" w:hAnsi="Arial" w:cs="Arial"/>
          <w:sz w:val="24"/>
          <w:szCs w:val="24"/>
        </w:rPr>
      </w:pPr>
      <w:r w:rsidRPr="005E3901">
        <w:rPr>
          <w:rFonts w:ascii="Arial" w:eastAsia="Times New Roman" w:hAnsi="Arial" w:cs="Arial"/>
          <w:i/>
          <w:sz w:val="24"/>
          <w:szCs w:val="24"/>
        </w:rPr>
        <w:t xml:space="preserve">Yahoo!, Inc. v. La </w:t>
      </w:r>
      <w:proofErr w:type="spellStart"/>
      <w:r w:rsidRPr="005E3901">
        <w:rPr>
          <w:rFonts w:ascii="Arial" w:eastAsia="Times New Roman" w:hAnsi="Arial" w:cs="Arial"/>
          <w:i/>
          <w:sz w:val="24"/>
          <w:szCs w:val="24"/>
        </w:rPr>
        <w:t>Ligue</w:t>
      </w:r>
      <w:proofErr w:type="spellEnd"/>
      <w:r w:rsidRPr="005E3901">
        <w:rPr>
          <w:rFonts w:ascii="Arial" w:eastAsia="Times New Roman" w:hAnsi="Arial" w:cs="Arial"/>
          <w:i/>
          <w:sz w:val="24"/>
          <w:szCs w:val="24"/>
        </w:rPr>
        <w:t xml:space="preserve"> </w:t>
      </w:r>
      <w:proofErr w:type="spellStart"/>
      <w:r w:rsidRPr="005E3901">
        <w:rPr>
          <w:rFonts w:ascii="Arial" w:eastAsia="Times New Roman" w:hAnsi="Arial" w:cs="Arial"/>
          <w:i/>
          <w:sz w:val="24"/>
          <w:szCs w:val="24"/>
        </w:rPr>
        <w:t>Contre</w:t>
      </w:r>
      <w:proofErr w:type="spellEnd"/>
      <w:r w:rsidRPr="005E3901">
        <w:rPr>
          <w:rFonts w:ascii="Arial" w:eastAsia="Times New Roman" w:hAnsi="Arial" w:cs="Arial"/>
          <w:i/>
          <w:sz w:val="24"/>
          <w:szCs w:val="24"/>
        </w:rPr>
        <w:t xml:space="preserve"> Le </w:t>
      </w:r>
      <w:proofErr w:type="spellStart"/>
      <w:r w:rsidRPr="005E3901">
        <w:rPr>
          <w:rFonts w:ascii="Arial" w:eastAsia="Times New Roman" w:hAnsi="Arial" w:cs="Arial"/>
          <w:i/>
          <w:sz w:val="24"/>
          <w:szCs w:val="24"/>
        </w:rPr>
        <w:t>Racisme</w:t>
      </w:r>
      <w:proofErr w:type="spellEnd"/>
      <w:r w:rsidRPr="005E3901">
        <w:rPr>
          <w:rFonts w:ascii="Arial" w:eastAsia="Times New Roman" w:hAnsi="Arial" w:cs="Arial"/>
          <w:i/>
          <w:sz w:val="24"/>
          <w:szCs w:val="24"/>
        </w:rPr>
        <w:t xml:space="preserve"> et </w:t>
      </w:r>
      <w:proofErr w:type="spellStart"/>
      <w:r w:rsidRPr="005E3901">
        <w:rPr>
          <w:rFonts w:ascii="Arial" w:eastAsia="Times New Roman" w:hAnsi="Arial" w:cs="Arial"/>
          <w:i/>
          <w:sz w:val="24"/>
          <w:szCs w:val="24"/>
        </w:rPr>
        <w:t>L’Antisemitisme</w:t>
      </w:r>
      <w:proofErr w:type="spellEnd"/>
      <w:r w:rsidRPr="005E3901">
        <w:rPr>
          <w:rFonts w:ascii="Arial" w:eastAsia="Times New Roman" w:hAnsi="Arial" w:cs="Arial"/>
          <w:sz w:val="24"/>
          <w:szCs w:val="24"/>
        </w:rPr>
        <w:t>, 169 F. Supp. 2d 1181, 1193 (N.D. Cal. 2001)</w:t>
      </w:r>
      <w:r w:rsidR="00B513F3" w:rsidRPr="005E3901">
        <w:rPr>
          <w:rStyle w:val="Hyperlink"/>
          <w:rFonts w:ascii="Arial" w:hAnsi="Arial" w:cs="Arial"/>
          <w:color w:val="000000" w:themeColor="text1"/>
          <w:sz w:val="24"/>
          <w:szCs w:val="24"/>
          <w:u w:val="none"/>
        </w:rPr>
        <w:t>.</w:t>
      </w:r>
    </w:p>
    <w:p w14:paraId="61E2C28B" w14:textId="69EA084E" w:rsidR="0037470E" w:rsidRPr="005E3901" w:rsidRDefault="0037470E" w:rsidP="003F7A70">
      <w:pPr>
        <w:pStyle w:val="ListParagraph"/>
        <w:numPr>
          <w:ilvl w:val="0"/>
          <w:numId w:val="20"/>
        </w:numPr>
        <w:spacing w:after="120"/>
        <w:ind w:left="1440" w:hanging="360"/>
        <w:rPr>
          <w:rFonts w:ascii="Arial" w:hAnsi="Arial" w:cs="Arial"/>
          <w:sz w:val="24"/>
          <w:szCs w:val="24"/>
        </w:rPr>
      </w:pPr>
      <w:r w:rsidRPr="005E3901">
        <w:rPr>
          <w:rFonts w:ascii="Arial" w:eastAsia="Times New Roman" w:hAnsi="Arial" w:cs="Arial"/>
          <w:i/>
          <w:sz w:val="24"/>
          <w:szCs w:val="24"/>
        </w:rPr>
        <w:t>Axel Springer AG v. Germany</w:t>
      </w:r>
      <w:r w:rsidR="003D427E" w:rsidRPr="005E3901">
        <w:rPr>
          <w:rFonts w:ascii="Arial" w:eastAsia="Times New Roman" w:hAnsi="Arial" w:cs="Arial"/>
          <w:sz w:val="24"/>
          <w:szCs w:val="24"/>
        </w:rPr>
        <w:t>,</w:t>
      </w:r>
      <w:r w:rsidRPr="005E3901">
        <w:rPr>
          <w:rFonts w:ascii="Arial" w:eastAsia="Times New Roman" w:hAnsi="Arial" w:cs="Arial"/>
          <w:sz w:val="24"/>
          <w:szCs w:val="24"/>
        </w:rPr>
        <w:t xml:space="preserve"> ECHR 227</w:t>
      </w:r>
      <w:r w:rsidR="003D427E" w:rsidRPr="005E3901">
        <w:rPr>
          <w:rFonts w:ascii="Arial" w:eastAsia="Times New Roman" w:hAnsi="Arial" w:cs="Arial"/>
          <w:sz w:val="24"/>
          <w:szCs w:val="24"/>
        </w:rPr>
        <w:t xml:space="preserve"> [2012]</w:t>
      </w:r>
      <w:r w:rsidR="00FC26E3" w:rsidRPr="005E3901">
        <w:rPr>
          <w:rFonts w:ascii="Arial" w:eastAsia="Times New Roman" w:hAnsi="Arial" w:cs="Arial"/>
          <w:sz w:val="24"/>
          <w:szCs w:val="24"/>
        </w:rPr>
        <w:t xml:space="preserve">, available at </w:t>
      </w:r>
      <w:r w:rsidR="003F7A70" w:rsidRPr="005E3901">
        <w:rPr>
          <w:rFonts w:ascii="Arial" w:eastAsia="Times New Roman" w:hAnsi="Arial" w:cs="Arial"/>
          <w:sz w:val="24"/>
          <w:szCs w:val="24"/>
        </w:rPr>
        <w:t>http://www.bailii.org/eu/cases/ECHR/2012/227.html</w:t>
      </w:r>
      <w:r w:rsidR="005E3901">
        <w:rPr>
          <w:rFonts w:ascii="Arial" w:hAnsi="Arial" w:cs="Arial"/>
          <w:sz w:val="24"/>
          <w:szCs w:val="24"/>
        </w:rPr>
        <w:t>.</w:t>
      </w:r>
    </w:p>
    <w:p w14:paraId="2D1F4B86" w14:textId="77777777" w:rsidR="00AE2E49" w:rsidRPr="005E3901" w:rsidRDefault="00AE2E49" w:rsidP="0043622F">
      <w:pPr>
        <w:spacing w:after="120"/>
        <w:rPr>
          <w:rFonts w:ascii="Arial" w:hAnsi="Arial" w:cs="Arial"/>
          <w:b/>
        </w:rPr>
      </w:pPr>
    </w:p>
    <w:p w14:paraId="18401818" w14:textId="3BDFB76C" w:rsidR="0037470E" w:rsidRPr="005E3901" w:rsidRDefault="000F7244" w:rsidP="0043622F">
      <w:pPr>
        <w:spacing w:after="120"/>
        <w:rPr>
          <w:rFonts w:ascii="Arial" w:hAnsi="Arial" w:cs="Arial"/>
        </w:rPr>
      </w:pPr>
      <w:r w:rsidRPr="005E3901">
        <w:rPr>
          <w:rFonts w:ascii="Arial" w:hAnsi="Arial" w:cs="Arial"/>
          <w:b/>
        </w:rPr>
        <w:t>03/20</w:t>
      </w:r>
      <w:r w:rsidR="006C524A" w:rsidRPr="005E3901">
        <w:rPr>
          <w:rFonts w:ascii="Arial" w:hAnsi="Arial" w:cs="Arial"/>
          <w:b/>
        </w:rPr>
        <w:t>/1</w:t>
      </w:r>
      <w:r w:rsidR="00D05AC4">
        <w:rPr>
          <w:rFonts w:ascii="Arial" w:hAnsi="Arial" w:cs="Arial"/>
          <w:b/>
        </w:rPr>
        <w:t>8</w:t>
      </w:r>
      <w:r w:rsidR="0043622F" w:rsidRPr="005E3901">
        <w:rPr>
          <w:rFonts w:ascii="Arial" w:hAnsi="Arial" w:cs="Arial"/>
          <w:b/>
        </w:rPr>
        <w:tab/>
        <w:t xml:space="preserve">Week #9 – </w:t>
      </w:r>
      <w:r w:rsidR="0037470E" w:rsidRPr="005E3901">
        <w:rPr>
          <w:rFonts w:ascii="Arial" w:hAnsi="Arial" w:cs="Arial"/>
          <w:b/>
        </w:rPr>
        <w:t xml:space="preserve">State </w:t>
      </w:r>
      <w:r w:rsidR="0043622F" w:rsidRPr="005E3901">
        <w:rPr>
          <w:rFonts w:ascii="Arial" w:hAnsi="Arial" w:cs="Arial"/>
          <w:b/>
        </w:rPr>
        <w:t>A</w:t>
      </w:r>
      <w:r w:rsidR="0037470E" w:rsidRPr="005E3901">
        <w:rPr>
          <w:rFonts w:ascii="Arial" w:hAnsi="Arial" w:cs="Arial"/>
          <w:b/>
        </w:rPr>
        <w:t>pproaches</w:t>
      </w:r>
    </w:p>
    <w:p w14:paraId="6DE91EB7" w14:textId="611548B1" w:rsidR="0037470E" w:rsidRPr="005E3901" w:rsidRDefault="0037470E" w:rsidP="00D33175">
      <w:pPr>
        <w:pStyle w:val="ListParagraph"/>
        <w:numPr>
          <w:ilvl w:val="0"/>
          <w:numId w:val="21"/>
        </w:numPr>
        <w:spacing w:after="60"/>
        <w:ind w:left="720"/>
        <w:rPr>
          <w:rFonts w:ascii="Arial" w:hAnsi="Arial" w:cs="Arial"/>
          <w:sz w:val="24"/>
          <w:szCs w:val="24"/>
        </w:rPr>
      </w:pPr>
      <w:r w:rsidRPr="005E3901">
        <w:rPr>
          <w:rFonts w:ascii="Arial" w:hAnsi="Arial" w:cs="Arial"/>
          <w:sz w:val="24"/>
          <w:szCs w:val="24"/>
        </w:rPr>
        <w:t xml:space="preserve">California SB 1386, </w:t>
      </w:r>
      <w:r w:rsidR="003D427E" w:rsidRPr="005E3901">
        <w:rPr>
          <w:rFonts w:ascii="Arial" w:hAnsi="Arial" w:cs="Arial"/>
          <w:i/>
          <w:sz w:val="24"/>
          <w:szCs w:val="24"/>
        </w:rPr>
        <w:t>available at</w:t>
      </w:r>
      <w:r w:rsidR="003D427E" w:rsidRPr="005E3901">
        <w:rPr>
          <w:rFonts w:ascii="Arial" w:hAnsi="Arial" w:cs="Arial"/>
          <w:sz w:val="24"/>
          <w:szCs w:val="24"/>
        </w:rPr>
        <w:t xml:space="preserve"> http://www.leginfo.ca.gov/pub/01-02/bill/sen/sb_1351-1400/sb_1386_bill_20020926_chaptered.pdf</w:t>
      </w:r>
      <w:r w:rsidR="005E3901">
        <w:rPr>
          <w:rFonts w:ascii="Arial" w:hAnsi="Arial" w:cs="Arial"/>
          <w:sz w:val="24"/>
          <w:szCs w:val="24"/>
        </w:rPr>
        <w:t>.</w:t>
      </w:r>
    </w:p>
    <w:p w14:paraId="234C560E" w14:textId="1C6FA808" w:rsidR="0037470E" w:rsidRPr="005E3901" w:rsidRDefault="0037470E" w:rsidP="00D33175">
      <w:pPr>
        <w:pStyle w:val="ListParagraph"/>
        <w:numPr>
          <w:ilvl w:val="0"/>
          <w:numId w:val="21"/>
        </w:numPr>
        <w:spacing w:after="60"/>
        <w:ind w:left="720"/>
        <w:rPr>
          <w:rFonts w:ascii="Arial" w:hAnsi="Arial" w:cs="Arial"/>
          <w:sz w:val="24"/>
          <w:szCs w:val="24"/>
        </w:rPr>
      </w:pPr>
      <w:r w:rsidRPr="005E3901">
        <w:rPr>
          <w:rFonts w:ascii="Arial" w:hAnsi="Arial" w:cs="Arial"/>
          <w:sz w:val="24"/>
          <w:szCs w:val="24"/>
        </w:rPr>
        <w:t>Data Breach Charts: http://www.bakerlaw.com/files/Uploads/Documents/Data%20Breach%20documents/Data_Breach_Charts.pdf</w:t>
      </w:r>
      <w:r w:rsidR="005E3901">
        <w:rPr>
          <w:rFonts w:ascii="Arial" w:hAnsi="Arial" w:cs="Arial"/>
          <w:sz w:val="24"/>
          <w:szCs w:val="24"/>
        </w:rPr>
        <w:t>.</w:t>
      </w:r>
    </w:p>
    <w:p w14:paraId="428E2F6D" w14:textId="69B38B58" w:rsidR="0037470E" w:rsidRPr="005E3901" w:rsidRDefault="0037470E" w:rsidP="00D33175">
      <w:pPr>
        <w:pStyle w:val="ListParagraph"/>
        <w:numPr>
          <w:ilvl w:val="0"/>
          <w:numId w:val="21"/>
        </w:numPr>
        <w:spacing w:after="60"/>
        <w:ind w:left="720"/>
        <w:rPr>
          <w:rFonts w:ascii="Arial" w:hAnsi="Arial" w:cs="Arial"/>
          <w:sz w:val="24"/>
          <w:szCs w:val="24"/>
        </w:rPr>
      </w:pPr>
      <w:r w:rsidRPr="005E3901">
        <w:rPr>
          <w:rFonts w:ascii="Arial" w:eastAsia="Times New Roman" w:hAnsi="Arial" w:cs="Arial"/>
          <w:sz w:val="24"/>
          <w:szCs w:val="24"/>
        </w:rPr>
        <w:t xml:space="preserve">Gina Stevens, </w:t>
      </w:r>
      <w:r w:rsidRPr="005E3901">
        <w:rPr>
          <w:rFonts w:ascii="Arial" w:eastAsia="Times New Roman" w:hAnsi="Arial" w:cs="Arial"/>
          <w:i/>
          <w:sz w:val="24"/>
          <w:szCs w:val="24"/>
        </w:rPr>
        <w:t>Data Security Breach Notification Laws</w:t>
      </w:r>
      <w:r w:rsidRPr="005E3901">
        <w:rPr>
          <w:rFonts w:ascii="Arial" w:eastAsia="Times New Roman" w:hAnsi="Arial" w:cs="Arial"/>
          <w:sz w:val="24"/>
          <w:szCs w:val="24"/>
        </w:rPr>
        <w:t xml:space="preserve">, </w:t>
      </w:r>
      <w:r w:rsidRPr="005E3901">
        <w:rPr>
          <w:rFonts w:ascii="Arial" w:eastAsia="Times New Roman" w:hAnsi="Arial" w:cs="Arial"/>
          <w:smallCaps/>
          <w:sz w:val="24"/>
          <w:szCs w:val="24"/>
        </w:rPr>
        <w:t>Cong. Res. Service</w:t>
      </w:r>
      <w:r w:rsidRPr="005E3901">
        <w:rPr>
          <w:rFonts w:ascii="Arial" w:eastAsia="Times New Roman" w:hAnsi="Arial" w:cs="Arial"/>
          <w:sz w:val="24"/>
          <w:szCs w:val="24"/>
        </w:rPr>
        <w:t xml:space="preserve"> at 3 (April 10, 2012), </w:t>
      </w:r>
      <w:r w:rsidRPr="005E3901">
        <w:rPr>
          <w:rFonts w:ascii="Arial" w:eastAsia="Times New Roman" w:hAnsi="Arial" w:cs="Arial"/>
          <w:i/>
          <w:sz w:val="24"/>
          <w:szCs w:val="24"/>
        </w:rPr>
        <w:t xml:space="preserve">available at </w:t>
      </w:r>
      <w:r w:rsidRPr="005E3901">
        <w:rPr>
          <w:rFonts w:ascii="Arial" w:eastAsia="Times New Roman" w:hAnsi="Arial" w:cs="Arial"/>
          <w:sz w:val="24"/>
          <w:szCs w:val="24"/>
        </w:rPr>
        <w:t>https://fas.org/sgp/crs/misc/R42475.pdf</w:t>
      </w:r>
      <w:r w:rsidR="005E3901">
        <w:rPr>
          <w:rFonts w:ascii="Arial" w:hAnsi="Arial" w:cs="Arial"/>
          <w:sz w:val="24"/>
          <w:szCs w:val="24"/>
        </w:rPr>
        <w:t>.</w:t>
      </w:r>
    </w:p>
    <w:p w14:paraId="63BE485B" w14:textId="081C5059" w:rsidR="0037470E" w:rsidRPr="005E3901" w:rsidRDefault="0037470E" w:rsidP="00D33175">
      <w:pPr>
        <w:pStyle w:val="ListParagraph"/>
        <w:numPr>
          <w:ilvl w:val="0"/>
          <w:numId w:val="21"/>
        </w:numPr>
        <w:spacing w:after="120"/>
        <w:ind w:left="720"/>
        <w:rPr>
          <w:rFonts w:ascii="Arial" w:hAnsi="Arial" w:cs="Arial"/>
          <w:sz w:val="24"/>
          <w:szCs w:val="24"/>
        </w:rPr>
      </w:pPr>
      <w:r w:rsidRPr="005E3901">
        <w:rPr>
          <w:rFonts w:ascii="Arial" w:eastAsia="Times New Roman" w:hAnsi="Arial" w:cs="Arial"/>
          <w:smallCaps/>
          <w:sz w:val="24"/>
          <w:szCs w:val="24"/>
        </w:rPr>
        <w:t>Steptoe &amp; Johnson, LLP</w:t>
      </w:r>
      <w:r w:rsidRPr="005E3901">
        <w:rPr>
          <w:rFonts w:ascii="Arial" w:eastAsia="Times New Roman" w:hAnsi="Arial" w:cs="Arial"/>
          <w:sz w:val="24"/>
          <w:szCs w:val="24"/>
        </w:rPr>
        <w:t xml:space="preserve">, </w:t>
      </w:r>
      <w:r w:rsidRPr="005E3901">
        <w:rPr>
          <w:rFonts w:ascii="Arial" w:eastAsia="Times New Roman" w:hAnsi="Arial" w:cs="Arial"/>
          <w:i/>
          <w:sz w:val="24"/>
          <w:szCs w:val="24"/>
        </w:rPr>
        <w:t>Comparison of US State and Federal Security Breach Notification Laws</w:t>
      </w:r>
      <w:r w:rsidRPr="005E3901">
        <w:rPr>
          <w:rFonts w:ascii="Arial" w:eastAsia="Times New Roman" w:hAnsi="Arial" w:cs="Arial"/>
          <w:sz w:val="24"/>
          <w:szCs w:val="24"/>
        </w:rPr>
        <w:t xml:space="preserve"> (current through October 31, 2014), </w:t>
      </w:r>
      <w:r w:rsidRPr="005E3901">
        <w:rPr>
          <w:rFonts w:ascii="Arial" w:eastAsia="Times New Roman" w:hAnsi="Arial" w:cs="Arial"/>
          <w:i/>
          <w:sz w:val="24"/>
          <w:szCs w:val="24"/>
        </w:rPr>
        <w:t xml:space="preserve">available at </w:t>
      </w:r>
      <w:r w:rsidRPr="005E3901">
        <w:rPr>
          <w:rFonts w:ascii="Arial" w:eastAsia="Times New Roman" w:hAnsi="Arial" w:cs="Arial"/>
          <w:sz w:val="24"/>
          <w:szCs w:val="24"/>
        </w:rPr>
        <w:t>http://www.steptoe.com/assets/htmldocuments/SteptoeDataBreachNotificationChart.pdf</w:t>
      </w:r>
      <w:r w:rsidR="005E3901">
        <w:rPr>
          <w:rFonts w:ascii="Arial" w:hAnsi="Arial" w:cs="Arial"/>
          <w:sz w:val="24"/>
          <w:szCs w:val="24"/>
        </w:rPr>
        <w:t>.</w:t>
      </w:r>
    </w:p>
    <w:p w14:paraId="15EAAA25" w14:textId="77777777" w:rsidR="0037470E" w:rsidRPr="005E3901" w:rsidRDefault="0037470E" w:rsidP="008D40AA">
      <w:pPr>
        <w:pStyle w:val="ListParagraph"/>
        <w:ind w:left="1440"/>
        <w:rPr>
          <w:rFonts w:ascii="Arial" w:hAnsi="Arial" w:cs="Arial"/>
          <w:sz w:val="24"/>
          <w:szCs w:val="24"/>
        </w:rPr>
      </w:pPr>
    </w:p>
    <w:p w14:paraId="2F0DB937" w14:textId="77777777" w:rsidR="00AE2E49" w:rsidRPr="005E3901" w:rsidRDefault="00AE2E49" w:rsidP="006C524A">
      <w:pPr>
        <w:spacing w:after="120"/>
        <w:rPr>
          <w:rFonts w:ascii="Arial" w:hAnsi="Arial" w:cs="Arial"/>
          <w:b/>
        </w:rPr>
      </w:pPr>
    </w:p>
    <w:p w14:paraId="668E142C" w14:textId="7A12914E" w:rsidR="0037470E" w:rsidRPr="005E3901" w:rsidRDefault="006C524A" w:rsidP="006C524A">
      <w:pPr>
        <w:spacing w:after="120"/>
        <w:rPr>
          <w:rFonts w:ascii="Arial" w:hAnsi="Arial" w:cs="Arial"/>
          <w:b/>
        </w:rPr>
      </w:pPr>
      <w:r w:rsidRPr="005E3901">
        <w:rPr>
          <w:rFonts w:ascii="Arial" w:hAnsi="Arial" w:cs="Arial"/>
          <w:b/>
        </w:rPr>
        <w:t>03/</w:t>
      </w:r>
      <w:r w:rsidR="000F7244" w:rsidRPr="005E3901">
        <w:rPr>
          <w:rFonts w:ascii="Arial" w:hAnsi="Arial" w:cs="Arial"/>
          <w:b/>
        </w:rPr>
        <w:t>27</w:t>
      </w:r>
      <w:r w:rsidRPr="005E3901">
        <w:rPr>
          <w:rFonts w:ascii="Arial" w:hAnsi="Arial" w:cs="Arial"/>
          <w:b/>
        </w:rPr>
        <w:t>/1</w:t>
      </w:r>
      <w:r w:rsidR="00D05AC4">
        <w:rPr>
          <w:rFonts w:ascii="Arial" w:hAnsi="Arial" w:cs="Arial"/>
          <w:b/>
        </w:rPr>
        <w:t>8</w:t>
      </w:r>
      <w:r w:rsidR="0043622F" w:rsidRPr="005E3901">
        <w:rPr>
          <w:rFonts w:ascii="Arial" w:hAnsi="Arial" w:cs="Arial"/>
          <w:b/>
        </w:rPr>
        <w:tab/>
        <w:t xml:space="preserve">Week #10 – </w:t>
      </w:r>
      <w:r w:rsidR="0037470E" w:rsidRPr="005E3901">
        <w:rPr>
          <w:rFonts w:ascii="Arial" w:hAnsi="Arial" w:cs="Arial"/>
          <w:b/>
        </w:rPr>
        <w:t>Remedies</w:t>
      </w:r>
      <w:r w:rsidR="0043622F" w:rsidRPr="005E3901">
        <w:rPr>
          <w:rFonts w:ascii="Arial" w:hAnsi="Arial" w:cs="Arial"/>
          <w:b/>
        </w:rPr>
        <w:t>: Overview and Property-Based</w:t>
      </w:r>
    </w:p>
    <w:p w14:paraId="73A8C7CE" w14:textId="77777777" w:rsidR="003C7113" w:rsidRPr="005E3901" w:rsidRDefault="003C7113" w:rsidP="006C524A">
      <w:pPr>
        <w:spacing w:after="120"/>
        <w:rPr>
          <w:rFonts w:ascii="Arial" w:hAnsi="Arial" w:cs="Arial"/>
          <w:b/>
        </w:rPr>
      </w:pPr>
      <w:r w:rsidRPr="005E3901">
        <w:rPr>
          <w:rFonts w:ascii="Arial" w:hAnsi="Arial" w:cs="Arial"/>
          <w:b/>
        </w:rPr>
        <w:tab/>
      </w:r>
      <w:r w:rsidRPr="005E3901">
        <w:rPr>
          <w:rFonts w:ascii="Arial" w:hAnsi="Arial" w:cs="Arial"/>
          <w:b/>
        </w:rPr>
        <w:tab/>
        <w:t xml:space="preserve">Guest Lecturer: Mr. Stuart Singer, </w:t>
      </w:r>
      <w:proofErr w:type="spellStart"/>
      <w:r w:rsidRPr="005E3901">
        <w:rPr>
          <w:rFonts w:ascii="Arial" w:hAnsi="Arial" w:cs="Arial"/>
          <w:b/>
        </w:rPr>
        <w:t>Boies</w:t>
      </w:r>
      <w:proofErr w:type="spellEnd"/>
      <w:r w:rsidRPr="005E3901">
        <w:rPr>
          <w:rFonts w:ascii="Arial" w:hAnsi="Arial" w:cs="Arial"/>
          <w:b/>
        </w:rPr>
        <w:t xml:space="preserve"> Schiller &amp; Flexner, LLP.</w:t>
      </w:r>
    </w:p>
    <w:p w14:paraId="2D06124A" w14:textId="77777777" w:rsidR="0037470E" w:rsidRPr="005E3901" w:rsidRDefault="0037470E" w:rsidP="009D3627">
      <w:pPr>
        <w:pStyle w:val="ListParagraph"/>
        <w:numPr>
          <w:ilvl w:val="0"/>
          <w:numId w:val="35"/>
        </w:numPr>
        <w:spacing w:after="60"/>
        <w:rPr>
          <w:rFonts w:ascii="Arial" w:hAnsi="Arial" w:cs="Arial"/>
          <w:sz w:val="24"/>
          <w:szCs w:val="24"/>
        </w:rPr>
      </w:pPr>
      <w:r w:rsidRPr="005E3901">
        <w:rPr>
          <w:rFonts w:ascii="Arial" w:eastAsia="Times New Roman" w:hAnsi="Arial" w:cs="Arial"/>
          <w:sz w:val="24"/>
          <w:szCs w:val="24"/>
        </w:rPr>
        <w:t xml:space="preserve">Elizabeth De Armond, </w:t>
      </w:r>
      <w:r w:rsidRPr="005E3901">
        <w:rPr>
          <w:rFonts w:ascii="Arial" w:eastAsia="Times New Roman" w:hAnsi="Arial" w:cs="Arial"/>
          <w:i/>
          <w:sz w:val="24"/>
          <w:szCs w:val="24"/>
        </w:rPr>
        <w:t>A Dearth of Remedies</w:t>
      </w:r>
      <w:r w:rsidRPr="005E3901">
        <w:rPr>
          <w:rFonts w:ascii="Arial" w:eastAsia="Times New Roman" w:hAnsi="Arial" w:cs="Arial"/>
          <w:sz w:val="24"/>
          <w:szCs w:val="24"/>
        </w:rPr>
        <w:t xml:space="preserve">, 113 </w:t>
      </w:r>
      <w:r w:rsidRPr="005E3901">
        <w:rPr>
          <w:rFonts w:ascii="Arial" w:eastAsia="Times New Roman" w:hAnsi="Arial" w:cs="Arial"/>
          <w:smallCaps/>
          <w:sz w:val="24"/>
          <w:szCs w:val="24"/>
        </w:rPr>
        <w:t xml:space="preserve">Penn St. L. Rev. </w:t>
      </w:r>
      <w:r w:rsidRPr="005E3901">
        <w:rPr>
          <w:rFonts w:ascii="Arial" w:eastAsia="Times New Roman" w:hAnsi="Arial" w:cs="Arial"/>
          <w:sz w:val="24"/>
          <w:szCs w:val="24"/>
        </w:rPr>
        <w:t>1 (2008).</w:t>
      </w:r>
    </w:p>
    <w:p w14:paraId="5CF85C73" w14:textId="77777777" w:rsidR="0037470E" w:rsidRPr="005E3901" w:rsidRDefault="0037470E" w:rsidP="009D3627">
      <w:pPr>
        <w:pStyle w:val="ListParagraph"/>
        <w:numPr>
          <w:ilvl w:val="0"/>
          <w:numId w:val="35"/>
        </w:numPr>
        <w:spacing w:after="60"/>
        <w:rPr>
          <w:rFonts w:ascii="Arial" w:hAnsi="Arial" w:cs="Arial"/>
          <w:sz w:val="24"/>
          <w:szCs w:val="24"/>
        </w:rPr>
      </w:pPr>
      <w:r w:rsidRPr="005E3901">
        <w:rPr>
          <w:rFonts w:ascii="Arial" w:eastAsia="Times New Roman" w:hAnsi="Arial" w:cs="Arial"/>
          <w:sz w:val="24"/>
          <w:szCs w:val="24"/>
        </w:rPr>
        <w:t xml:space="preserve">William </w:t>
      </w:r>
      <w:proofErr w:type="spellStart"/>
      <w:r w:rsidRPr="005E3901">
        <w:rPr>
          <w:rFonts w:ascii="Arial" w:eastAsia="Times New Roman" w:hAnsi="Arial" w:cs="Arial"/>
          <w:sz w:val="24"/>
          <w:szCs w:val="24"/>
        </w:rPr>
        <w:t>Dalsen</w:t>
      </w:r>
      <w:proofErr w:type="spellEnd"/>
      <w:r w:rsidRPr="005E3901">
        <w:rPr>
          <w:rFonts w:ascii="Arial" w:eastAsia="Times New Roman" w:hAnsi="Arial" w:cs="Arial"/>
          <w:sz w:val="24"/>
          <w:szCs w:val="24"/>
        </w:rPr>
        <w:t xml:space="preserve">, </w:t>
      </w:r>
      <w:r w:rsidRPr="005E3901">
        <w:rPr>
          <w:rFonts w:ascii="Arial" w:eastAsia="Times New Roman" w:hAnsi="Arial" w:cs="Arial"/>
          <w:i/>
          <w:sz w:val="24"/>
          <w:szCs w:val="24"/>
        </w:rPr>
        <w:t xml:space="preserve">Civil Remedies for Invasions of Privacy: A Perspective on Software Vendors and Intrusion </w:t>
      </w:r>
      <w:r w:rsidR="00B513F3" w:rsidRPr="005E3901">
        <w:rPr>
          <w:rFonts w:ascii="Arial" w:eastAsia="Times New Roman" w:hAnsi="Arial" w:cs="Arial"/>
          <w:i/>
          <w:sz w:val="24"/>
          <w:szCs w:val="24"/>
        </w:rPr>
        <w:t>upon</w:t>
      </w:r>
      <w:r w:rsidRPr="005E3901">
        <w:rPr>
          <w:rFonts w:ascii="Arial" w:eastAsia="Times New Roman" w:hAnsi="Arial" w:cs="Arial"/>
          <w:i/>
          <w:sz w:val="24"/>
          <w:szCs w:val="24"/>
        </w:rPr>
        <w:t xml:space="preserve"> Seclusion</w:t>
      </w:r>
      <w:r w:rsidRPr="005E3901">
        <w:rPr>
          <w:rFonts w:ascii="Arial" w:eastAsia="Times New Roman" w:hAnsi="Arial" w:cs="Arial"/>
          <w:sz w:val="24"/>
          <w:szCs w:val="24"/>
        </w:rPr>
        <w:t xml:space="preserve">, 2009 </w:t>
      </w:r>
      <w:r w:rsidRPr="005E3901">
        <w:rPr>
          <w:rFonts w:ascii="Arial" w:eastAsia="Times New Roman" w:hAnsi="Arial" w:cs="Arial"/>
          <w:smallCaps/>
          <w:sz w:val="24"/>
          <w:szCs w:val="24"/>
        </w:rPr>
        <w:t>Wis. L. Rev.</w:t>
      </w:r>
      <w:r w:rsidRPr="005E3901">
        <w:rPr>
          <w:rFonts w:ascii="Arial" w:eastAsia="Times New Roman" w:hAnsi="Arial" w:cs="Arial"/>
          <w:sz w:val="24"/>
          <w:szCs w:val="24"/>
        </w:rPr>
        <w:t xml:space="preserve"> 1059, 1063 (2009)</w:t>
      </w:r>
      <w:r w:rsidR="00B513F3" w:rsidRPr="005E3901">
        <w:rPr>
          <w:rStyle w:val="Hyperlink"/>
          <w:rFonts w:ascii="Arial" w:hAnsi="Arial" w:cs="Arial"/>
          <w:color w:val="000000" w:themeColor="text1"/>
          <w:sz w:val="24"/>
          <w:szCs w:val="24"/>
          <w:u w:val="none"/>
        </w:rPr>
        <w:t>.</w:t>
      </w:r>
    </w:p>
    <w:p w14:paraId="3EFF9120" w14:textId="77777777" w:rsidR="0037470E" w:rsidRPr="005E3901" w:rsidRDefault="0037470E" w:rsidP="009D3627">
      <w:pPr>
        <w:pStyle w:val="ListParagraph"/>
        <w:numPr>
          <w:ilvl w:val="0"/>
          <w:numId w:val="35"/>
        </w:numPr>
        <w:spacing w:after="60"/>
        <w:rPr>
          <w:rFonts w:ascii="Arial" w:hAnsi="Arial" w:cs="Arial"/>
          <w:sz w:val="24"/>
          <w:szCs w:val="24"/>
        </w:rPr>
      </w:pPr>
      <w:r w:rsidRPr="005E3901">
        <w:rPr>
          <w:rFonts w:ascii="Arial" w:eastAsia="Times New Roman" w:hAnsi="Arial" w:cs="Arial"/>
          <w:i/>
          <w:sz w:val="24"/>
          <w:szCs w:val="24"/>
        </w:rPr>
        <w:t xml:space="preserve">Clapper v. Amnesty Intern. USA </w:t>
      </w:r>
      <w:r w:rsidRPr="005E3901">
        <w:rPr>
          <w:rFonts w:ascii="Arial" w:eastAsia="Times New Roman" w:hAnsi="Arial" w:cs="Arial"/>
          <w:sz w:val="24"/>
          <w:szCs w:val="24"/>
        </w:rPr>
        <w:t>113 S. Ct. 1138, 1147 (U.S. 2013).</w:t>
      </w:r>
    </w:p>
    <w:p w14:paraId="4B52CDAD" w14:textId="5FB029CF" w:rsidR="009D3627" w:rsidRPr="005E3901" w:rsidRDefault="009D3627" w:rsidP="009D3627">
      <w:pPr>
        <w:pStyle w:val="ListParagraph"/>
        <w:numPr>
          <w:ilvl w:val="0"/>
          <w:numId w:val="35"/>
        </w:numPr>
        <w:spacing w:after="60"/>
        <w:rPr>
          <w:rFonts w:ascii="Arial" w:hAnsi="Arial" w:cs="Arial"/>
          <w:sz w:val="24"/>
          <w:szCs w:val="24"/>
        </w:rPr>
      </w:pPr>
      <w:r w:rsidRPr="005E3901">
        <w:rPr>
          <w:rFonts w:ascii="Arial" w:hAnsi="Arial" w:cs="Arial"/>
          <w:i/>
          <w:sz w:val="24"/>
          <w:szCs w:val="24"/>
        </w:rPr>
        <w:t>In re Sony Gaming Networks and Customer Data Breach Litigation</w:t>
      </w:r>
      <w:r w:rsidRPr="005E3901">
        <w:rPr>
          <w:rFonts w:ascii="Arial" w:hAnsi="Arial" w:cs="Arial"/>
          <w:sz w:val="24"/>
          <w:szCs w:val="24"/>
        </w:rPr>
        <w:t>, 996 F. Supp. 2d 942, 996 (S.D. Cal. 2012).</w:t>
      </w:r>
    </w:p>
    <w:p w14:paraId="04E6AD84" w14:textId="26A44EE9" w:rsidR="009D3627" w:rsidRPr="005E3901" w:rsidRDefault="009D3627" w:rsidP="009D3627">
      <w:pPr>
        <w:pStyle w:val="ListParagraph"/>
        <w:numPr>
          <w:ilvl w:val="0"/>
          <w:numId w:val="35"/>
        </w:numPr>
        <w:spacing w:after="60"/>
        <w:rPr>
          <w:rFonts w:ascii="Arial" w:eastAsia="Times New Roman" w:hAnsi="Arial" w:cs="Arial"/>
          <w:sz w:val="24"/>
          <w:szCs w:val="24"/>
        </w:rPr>
      </w:pPr>
      <w:r w:rsidRPr="005E3901">
        <w:rPr>
          <w:rFonts w:ascii="Arial" w:hAnsi="Arial" w:cs="Arial"/>
          <w:i/>
          <w:sz w:val="24"/>
          <w:szCs w:val="24"/>
        </w:rPr>
        <w:t>Daly v. Metro Life Ins. Co.</w:t>
      </w:r>
      <w:r w:rsidRPr="005E3901">
        <w:rPr>
          <w:rFonts w:ascii="Arial" w:hAnsi="Arial" w:cs="Arial"/>
          <w:sz w:val="24"/>
          <w:szCs w:val="24"/>
        </w:rPr>
        <w:t>, 782 N.Y.S. 2d 530, 535 (NY Sup. Ct. 2004).</w:t>
      </w:r>
    </w:p>
    <w:p w14:paraId="0AD757DD" w14:textId="02525EE7" w:rsidR="00C21D35" w:rsidRPr="005E3901" w:rsidRDefault="00C21D35" w:rsidP="009D3627">
      <w:pPr>
        <w:pStyle w:val="ListParagraph"/>
        <w:numPr>
          <w:ilvl w:val="0"/>
          <w:numId w:val="35"/>
        </w:numPr>
        <w:spacing w:after="60"/>
        <w:rPr>
          <w:rFonts w:ascii="Arial" w:hAnsi="Arial" w:cs="Arial"/>
          <w:sz w:val="24"/>
          <w:szCs w:val="24"/>
        </w:rPr>
      </w:pPr>
      <w:r w:rsidRPr="005E3901">
        <w:rPr>
          <w:rFonts w:ascii="Arial" w:hAnsi="Arial" w:cs="Arial"/>
          <w:sz w:val="24"/>
          <w:szCs w:val="24"/>
        </w:rPr>
        <w:t xml:space="preserve">Michael L. </w:t>
      </w:r>
      <w:proofErr w:type="spellStart"/>
      <w:r w:rsidRPr="005E3901">
        <w:rPr>
          <w:rFonts w:ascii="Arial" w:hAnsi="Arial" w:cs="Arial"/>
          <w:sz w:val="24"/>
          <w:szCs w:val="24"/>
        </w:rPr>
        <w:t>Rustad</w:t>
      </w:r>
      <w:proofErr w:type="spellEnd"/>
      <w:r w:rsidRPr="005E3901">
        <w:rPr>
          <w:rFonts w:ascii="Arial" w:hAnsi="Arial" w:cs="Arial"/>
          <w:sz w:val="24"/>
          <w:szCs w:val="24"/>
        </w:rPr>
        <w:t xml:space="preserve"> &amp; Thomas H. Koenig, </w:t>
      </w:r>
      <w:r w:rsidRPr="005E3901">
        <w:rPr>
          <w:rFonts w:ascii="Arial" w:hAnsi="Arial" w:cs="Arial"/>
          <w:i/>
          <w:sz w:val="24"/>
          <w:szCs w:val="24"/>
        </w:rPr>
        <w:t>Extending Learned Hand’s Negligence Formula to Information Security Breaches</w:t>
      </w:r>
      <w:r w:rsidRPr="005E3901">
        <w:rPr>
          <w:rFonts w:ascii="Arial" w:hAnsi="Arial" w:cs="Arial"/>
          <w:sz w:val="24"/>
          <w:szCs w:val="24"/>
        </w:rPr>
        <w:t xml:space="preserve">, </w:t>
      </w:r>
      <w:r w:rsidRPr="005E3901">
        <w:rPr>
          <w:rFonts w:ascii="Arial" w:hAnsi="Arial" w:cs="Arial"/>
          <w:smallCaps/>
          <w:sz w:val="24"/>
          <w:szCs w:val="24"/>
        </w:rPr>
        <w:t>3 I/S: J. L. &amp; Pol'y for Info. Soc'y</w:t>
      </w:r>
      <w:r w:rsidRPr="005E3901">
        <w:rPr>
          <w:rFonts w:ascii="Arial" w:hAnsi="Arial" w:cs="Arial"/>
          <w:sz w:val="24"/>
          <w:szCs w:val="24"/>
        </w:rPr>
        <w:t xml:space="preserve"> 237 n. 139 (2007).</w:t>
      </w:r>
    </w:p>
    <w:p w14:paraId="2C926473" w14:textId="77777777" w:rsidR="0037470E" w:rsidRPr="005E3901" w:rsidRDefault="0037470E" w:rsidP="009D3627">
      <w:pPr>
        <w:pStyle w:val="ListParagraph"/>
        <w:numPr>
          <w:ilvl w:val="0"/>
          <w:numId w:val="35"/>
        </w:numPr>
        <w:spacing w:after="60"/>
        <w:rPr>
          <w:rFonts w:ascii="Arial" w:hAnsi="Arial" w:cs="Arial"/>
          <w:sz w:val="24"/>
          <w:szCs w:val="24"/>
        </w:rPr>
      </w:pPr>
      <w:r w:rsidRPr="005E3901">
        <w:rPr>
          <w:rFonts w:ascii="Arial" w:eastAsia="Times New Roman" w:hAnsi="Arial" w:cs="Arial"/>
          <w:sz w:val="24"/>
          <w:szCs w:val="24"/>
        </w:rPr>
        <w:t>Non-negligence Tort</w:t>
      </w:r>
    </w:p>
    <w:p w14:paraId="072468F2" w14:textId="77777777" w:rsidR="0037470E" w:rsidRPr="005E3901" w:rsidRDefault="0037470E" w:rsidP="009D3627">
      <w:pPr>
        <w:pStyle w:val="ListParagraph"/>
        <w:numPr>
          <w:ilvl w:val="2"/>
          <w:numId w:val="36"/>
        </w:numPr>
        <w:rPr>
          <w:rFonts w:ascii="Arial" w:hAnsi="Arial" w:cs="Arial"/>
          <w:sz w:val="24"/>
          <w:szCs w:val="24"/>
        </w:rPr>
      </w:pPr>
      <w:r w:rsidRPr="005E3901">
        <w:rPr>
          <w:rFonts w:ascii="Arial" w:hAnsi="Arial" w:cs="Arial"/>
          <w:sz w:val="24"/>
          <w:szCs w:val="24"/>
        </w:rPr>
        <w:t xml:space="preserve">Selections from </w:t>
      </w:r>
      <w:r w:rsidRPr="005E3901">
        <w:rPr>
          <w:rFonts w:ascii="Arial" w:hAnsi="Arial" w:cs="Arial"/>
          <w:smallCaps/>
          <w:sz w:val="24"/>
          <w:szCs w:val="24"/>
        </w:rPr>
        <w:t>Privacy in the New Media Age</w:t>
      </w:r>
      <w:r w:rsidR="003D427E" w:rsidRPr="005E3901">
        <w:rPr>
          <w:rFonts w:ascii="Arial" w:hAnsi="Arial" w:cs="Arial"/>
          <w:i/>
          <w:sz w:val="24"/>
          <w:szCs w:val="24"/>
        </w:rPr>
        <w:t xml:space="preserve"> </w:t>
      </w:r>
      <w:r w:rsidR="003D427E" w:rsidRPr="005E3901">
        <w:rPr>
          <w:rFonts w:ascii="Arial" w:hAnsi="Arial" w:cs="Arial"/>
          <w:smallCaps/>
          <w:sz w:val="24"/>
          <w:szCs w:val="24"/>
        </w:rPr>
        <w:t>(</w:t>
      </w:r>
      <w:r w:rsidR="003D427E" w:rsidRPr="005E3901">
        <w:rPr>
          <w:rFonts w:ascii="Arial" w:hAnsi="Arial" w:cs="Arial"/>
          <w:sz w:val="24"/>
          <w:szCs w:val="24"/>
        </w:rPr>
        <w:t>University Press of Florida, 2015)</w:t>
      </w:r>
      <w:r w:rsidRPr="005E3901">
        <w:rPr>
          <w:rFonts w:ascii="Arial" w:hAnsi="Arial" w:cs="Arial"/>
          <w:sz w:val="24"/>
          <w:szCs w:val="24"/>
        </w:rPr>
        <w:t>.</w:t>
      </w:r>
    </w:p>
    <w:p w14:paraId="1ADAC53D" w14:textId="77777777" w:rsidR="0037470E" w:rsidRPr="005E3901" w:rsidRDefault="0037470E" w:rsidP="009D3627">
      <w:pPr>
        <w:pStyle w:val="ListParagraph"/>
        <w:numPr>
          <w:ilvl w:val="2"/>
          <w:numId w:val="36"/>
        </w:numPr>
        <w:rPr>
          <w:rFonts w:ascii="Arial" w:hAnsi="Arial" w:cs="Arial"/>
          <w:sz w:val="24"/>
          <w:szCs w:val="24"/>
        </w:rPr>
      </w:pPr>
      <w:r w:rsidRPr="005E3901">
        <w:rPr>
          <w:rFonts w:ascii="Arial" w:eastAsia="Times New Roman" w:hAnsi="Arial" w:cs="Arial"/>
          <w:smallCaps/>
          <w:sz w:val="24"/>
          <w:szCs w:val="24"/>
        </w:rPr>
        <w:t>Restatement (Second) of Torts</w:t>
      </w:r>
      <w:r w:rsidRPr="005E3901">
        <w:rPr>
          <w:rFonts w:ascii="Arial" w:eastAsia="Times New Roman" w:hAnsi="Arial" w:cs="Arial"/>
          <w:sz w:val="24"/>
          <w:szCs w:val="24"/>
        </w:rPr>
        <w:t xml:space="preserve"> § 652B (1977).</w:t>
      </w:r>
    </w:p>
    <w:p w14:paraId="55CD66E9" w14:textId="77777777" w:rsidR="0037470E" w:rsidRPr="005E3901" w:rsidRDefault="0037470E" w:rsidP="009D3627">
      <w:pPr>
        <w:pStyle w:val="ListParagraph"/>
        <w:numPr>
          <w:ilvl w:val="2"/>
          <w:numId w:val="36"/>
        </w:numPr>
        <w:rPr>
          <w:rFonts w:ascii="Arial" w:hAnsi="Arial" w:cs="Arial"/>
          <w:sz w:val="24"/>
          <w:szCs w:val="24"/>
        </w:rPr>
      </w:pPr>
      <w:r w:rsidRPr="005E3901">
        <w:rPr>
          <w:rFonts w:ascii="Arial" w:eastAsia="Times New Roman" w:hAnsi="Arial" w:cs="Arial"/>
          <w:i/>
          <w:sz w:val="24"/>
          <w:szCs w:val="24"/>
        </w:rPr>
        <w:t>Randolph v. ING Life Ins. &amp; Annuity Co</w:t>
      </w:r>
      <w:r w:rsidRPr="005E3901">
        <w:rPr>
          <w:rFonts w:ascii="Arial" w:eastAsia="Times New Roman" w:hAnsi="Arial" w:cs="Arial"/>
          <w:sz w:val="24"/>
          <w:szCs w:val="24"/>
        </w:rPr>
        <w:t>., 973 A.2d 702, 710 (D.C. 2009)</w:t>
      </w:r>
      <w:r w:rsidR="00B513F3" w:rsidRPr="005E3901">
        <w:rPr>
          <w:rStyle w:val="Hyperlink"/>
          <w:rFonts w:ascii="Arial" w:hAnsi="Arial" w:cs="Arial"/>
          <w:color w:val="000000" w:themeColor="text1"/>
          <w:sz w:val="24"/>
          <w:szCs w:val="24"/>
          <w:u w:val="none"/>
        </w:rPr>
        <w:t>.</w:t>
      </w:r>
    </w:p>
    <w:p w14:paraId="43F1E9DC" w14:textId="77777777" w:rsidR="0037470E" w:rsidRPr="005E3901" w:rsidRDefault="0037470E" w:rsidP="009D3627">
      <w:pPr>
        <w:pStyle w:val="ListParagraph"/>
        <w:numPr>
          <w:ilvl w:val="2"/>
          <w:numId w:val="36"/>
        </w:numPr>
        <w:spacing w:after="120"/>
        <w:rPr>
          <w:rFonts w:ascii="Arial" w:hAnsi="Arial" w:cs="Arial"/>
          <w:sz w:val="24"/>
          <w:szCs w:val="24"/>
        </w:rPr>
      </w:pPr>
      <w:proofErr w:type="spellStart"/>
      <w:r w:rsidRPr="005E3901">
        <w:rPr>
          <w:rFonts w:ascii="Arial" w:eastAsia="Times New Roman" w:hAnsi="Arial" w:cs="Arial"/>
          <w:i/>
          <w:sz w:val="24"/>
          <w:szCs w:val="24"/>
        </w:rPr>
        <w:t>Galaria</w:t>
      </w:r>
      <w:proofErr w:type="spellEnd"/>
      <w:r w:rsidRPr="005E3901">
        <w:rPr>
          <w:rFonts w:ascii="Arial" w:eastAsia="Times New Roman" w:hAnsi="Arial" w:cs="Arial"/>
          <w:i/>
          <w:sz w:val="24"/>
          <w:szCs w:val="24"/>
        </w:rPr>
        <w:t xml:space="preserve"> v. Nationwide </w:t>
      </w:r>
      <w:proofErr w:type="spellStart"/>
      <w:r w:rsidRPr="005E3901">
        <w:rPr>
          <w:rFonts w:ascii="Arial" w:eastAsia="Times New Roman" w:hAnsi="Arial" w:cs="Arial"/>
          <w:i/>
          <w:sz w:val="24"/>
          <w:szCs w:val="24"/>
        </w:rPr>
        <w:t>Mut</w:t>
      </w:r>
      <w:proofErr w:type="spellEnd"/>
      <w:r w:rsidRPr="005E3901">
        <w:rPr>
          <w:rFonts w:ascii="Arial" w:eastAsia="Times New Roman" w:hAnsi="Arial" w:cs="Arial"/>
          <w:i/>
          <w:sz w:val="24"/>
          <w:szCs w:val="24"/>
        </w:rPr>
        <w:t>. Ins. Co</w:t>
      </w:r>
      <w:r w:rsidRPr="005E3901">
        <w:rPr>
          <w:rFonts w:ascii="Arial" w:eastAsia="Times New Roman" w:hAnsi="Arial" w:cs="Arial"/>
          <w:sz w:val="24"/>
          <w:szCs w:val="24"/>
        </w:rPr>
        <w:t>., 988 F. Supp. 2d 646, 656 (S.D. Oh. 2014).</w:t>
      </w:r>
    </w:p>
    <w:p w14:paraId="678CF748" w14:textId="2D47D88E" w:rsidR="0037470E" w:rsidRPr="005E3901" w:rsidRDefault="0037470E" w:rsidP="009D3627">
      <w:pPr>
        <w:pStyle w:val="ListParagraph"/>
        <w:numPr>
          <w:ilvl w:val="0"/>
          <w:numId w:val="35"/>
        </w:numPr>
        <w:spacing w:after="60"/>
        <w:rPr>
          <w:rFonts w:ascii="Arial" w:hAnsi="Arial" w:cs="Arial"/>
          <w:sz w:val="24"/>
          <w:szCs w:val="24"/>
        </w:rPr>
      </w:pPr>
      <w:r w:rsidRPr="005E3901">
        <w:rPr>
          <w:rFonts w:ascii="Arial" w:eastAsia="Times New Roman" w:hAnsi="Arial" w:cs="Arial"/>
          <w:sz w:val="24"/>
          <w:szCs w:val="24"/>
        </w:rPr>
        <w:t>Unjust enrichment</w:t>
      </w:r>
      <w:r w:rsidR="00195EDE" w:rsidRPr="005E3901">
        <w:rPr>
          <w:rFonts w:ascii="Arial" w:eastAsia="Times New Roman" w:hAnsi="Arial" w:cs="Arial"/>
          <w:sz w:val="24"/>
          <w:szCs w:val="24"/>
        </w:rPr>
        <w:t xml:space="preserve">: </w:t>
      </w:r>
      <w:r w:rsidRPr="005E3901">
        <w:rPr>
          <w:rFonts w:ascii="Arial" w:eastAsia="Times New Roman" w:hAnsi="Arial" w:cs="Arial"/>
          <w:i/>
          <w:sz w:val="24"/>
          <w:szCs w:val="24"/>
        </w:rPr>
        <w:t>In Re Zappos.com, Inc. Customer Data Security Breach Litigation</w:t>
      </w:r>
      <w:r w:rsidRPr="005E3901">
        <w:rPr>
          <w:rFonts w:ascii="Arial" w:eastAsia="Times New Roman" w:hAnsi="Arial" w:cs="Arial"/>
          <w:sz w:val="24"/>
          <w:szCs w:val="24"/>
        </w:rPr>
        <w:t>, 2013 WL 4830497 at *4 (D. Nevada, September 9, 2013)</w:t>
      </w:r>
      <w:r w:rsidR="00B513F3" w:rsidRPr="005E3901">
        <w:rPr>
          <w:rStyle w:val="Hyperlink"/>
          <w:rFonts w:ascii="Arial" w:hAnsi="Arial" w:cs="Arial"/>
          <w:color w:val="000000" w:themeColor="text1"/>
          <w:sz w:val="24"/>
          <w:szCs w:val="24"/>
          <w:u w:val="none"/>
        </w:rPr>
        <w:t>.</w:t>
      </w:r>
    </w:p>
    <w:p w14:paraId="128BD3D9" w14:textId="16E27C42" w:rsidR="009D3627" w:rsidRPr="005E3901" w:rsidRDefault="009D3627" w:rsidP="009D3627">
      <w:pPr>
        <w:pStyle w:val="ListParagraph"/>
        <w:numPr>
          <w:ilvl w:val="0"/>
          <w:numId w:val="35"/>
        </w:numPr>
        <w:spacing w:after="60"/>
        <w:rPr>
          <w:rFonts w:ascii="Arial" w:hAnsi="Arial" w:cs="Arial"/>
          <w:sz w:val="24"/>
          <w:szCs w:val="24"/>
        </w:rPr>
      </w:pPr>
      <w:r w:rsidRPr="005E3901">
        <w:rPr>
          <w:rFonts w:ascii="Arial" w:eastAsia="Times New Roman" w:hAnsi="Arial" w:cs="Arial"/>
          <w:sz w:val="24"/>
          <w:szCs w:val="24"/>
        </w:rPr>
        <w:t xml:space="preserve">Trade Secret Protections: </w:t>
      </w:r>
      <w:r w:rsidR="0037470E" w:rsidRPr="005E3901">
        <w:rPr>
          <w:rFonts w:ascii="Arial" w:eastAsia="Times New Roman" w:hAnsi="Arial" w:cs="Arial"/>
          <w:sz w:val="24"/>
          <w:szCs w:val="24"/>
        </w:rPr>
        <w:t xml:space="preserve">Samuelson, </w:t>
      </w:r>
      <w:r w:rsidR="0037470E" w:rsidRPr="005E3901">
        <w:rPr>
          <w:rFonts w:ascii="Arial" w:eastAsia="Times New Roman" w:hAnsi="Arial" w:cs="Arial"/>
          <w:i/>
          <w:sz w:val="24"/>
          <w:szCs w:val="24"/>
        </w:rPr>
        <w:t>Trade Secrets and the First Amendment</w:t>
      </w:r>
      <w:r w:rsidR="0037470E" w:rsidRPr="005E3901">
        <w:rPr>
          <w:rFonts w:ascii="Arial" w:eastAsia="Times New Roman" w:hAnsi="Arial" w:cs="Arial"/>
          <w:sz w:val="24"/>
          <w:szCs w:val="24"/>
        </w:rPr>
        <w:t xml:space="preserve">, 58 </w:t>
      </w:r>
      <w:r w:rsidR="0037470E" w:rsidRPr="005E3901">
        <w:rPr>
          <w:rFonts w:ascii="Arial" w:eastAsia="Times New Roman" w:hAnsi="Arial" w:cs="Arial"/>
          <w:smallCaps/>
          <w:sz w:val="24"/>
          <w:szCs w:val="24"/>
        </w:rPr>
        <w:t>Hastings L.J</w:t>
      </w:r>
      <w:r w:rsidR="0037470E" w:rsidRPr="005E3901">
        <w:rPr>
          <w:rFonts w:ascii="Arial" w:eastAsia="Times New Roman" w:hAnsi="Arial" w:cs="Arial"/>
          <w:sz w:val="24"/>
          <w:szCs w:val="24"/>
        </w:rPr>
        <w:t xml:space="preserve">. 777 </w:t>
      </w:r>
    </w:p>
    <w:p w14:paraId="42C77CCF" w14:textId="60B81F0B" w:rsidR="00BE3E17" w:rsidRPr="005E3901" w:rsidRDefault="00BE3E17" w:rsidP="009D3627">
      <w:pPr>
        <w:pStyle w:val="ListParagraph"/>
        <w:numPr>
          <w:ilvl w:val="0"/>
          <w:numId w:val="35"/>
        </w:numPr>
        <w:spacing w:after="60"/>
        <w:rPr>
          <w:rFonts w:ascii="Arial" w:hAnsi="Arial" w:cs="Arial"/>
          <w:sz w:val="24"/>
          <w:szCs w:val="24"/>
        </w:rPr>
      </w:pPr>
      <w:r w:rsidRPr="005E3901">
        <w:rPr>
          <w:rFonts w:ascii="Arial" w:eastAsia="Times New Roman" w:hAnsi="Arial" w:cs="Arial"/>
          <w:sz w:val="24"/>
          <w:szCs w:val="24"/>
        </w:rPr>
        <w:t>Emotional Injury and Loss of Privacy</w:t>
      </w:r>
    </w:p>
    <w:p w14:paraId="7A0BDBD3" w14:textId="272B1EC9" w:rsidR="00BE3E17" w:rsidRPr="005E3901" w:rsidRDefault="00BE3E17" w:rsidP="009D3627">
      <w:pPr>
        <w:pStyle w:val="ListParagraph"/>
        <w:numPr>
          <w:ilvl w:val="0"/>
          <w:numId w:val="38"/>
        </w:numPr>
        <w:rPr>
          <w:rFonts w:ascii="Arial" w:hAnsi="Arial" w:cs="Arial"/>
          <w:sz w:val="24"/>
          <w:szCs w:val="24"/>
        </w:rPr>
      </w:pPr>
      <w:proofErr w:type="spellStart"/>
      <w:r w:rsidRPr="005E3901">
        <w:rPr>
          <w:rStyle w:val="Emphasis"/>
          <w:rFonts w:ascii="Arial" w:eastAsia="Times New Roman" w:hAnsi="Arial" w:cs="Arial"/>
          <w:color w:val="000000" w:themeColor="text1"/>
          <w:sz w:val="24"/>
          <w:szCs w:val="24"/>
        </w:rPr>
        <w:t>Amburgy</w:t>
      </w:r>
      <w:proofErr w:type="spellEnd"/>
      <w:r w:rsidRPr="005E3901">
        <w:rPr>
          <w:rStyle w:val="Emphasis"/>
          <w:rFonts w:ascii="Arial" w:eastAsia="Times New Roman" w:hAnsi="Arial" w:cs="Arial"/>
          <w:color w:val="000000" w:themeColor="text1"/>
          <w:sz w:val="24"/>
          <w:szCs w:val="24"/>
        </w:rPr>
        <w:t xml:space="preserve"> v. Express Scripts, Inc.</w:t>
      </w:r>
      <w:r w:rsidRPr="005E3901">
        <w:rPr>
          <w:rFonts w:ascii="Arial" w:eastAsia="Times New Roman" w:hAnsi="Arial" w:cs="Arial"/>
          <w:sz w:val="24"/>
          <w:szCs w:val="24"/>
        </w:rPr>
        <w:t>, 671 F. Supp. 2d 1046, 1055 (E.D. Mo. 2009)</w:t>
      </w:r>
      <w:r w:rsidR="005E3901">
        <w:rPr>
          <w:rFonts w:ascii="Arial" w:hAnsi="Arial" w:cs="Arial"/>
          <w:sz w:val="24"/>
          <w:szCs w:val="24"/>
        </w:rPr>
        <w:t>.</w:t>
      </w:r>
    </w:p>
    <w:p w14:paraId="33FD2A8F" w14:textId="279092F3" w:rsidR="00BE3E17" w:rsidRPr="005E3901" w:rsidRDefault="00BE3E17" w:rsidP="009D3627">
      <w:pPr>
        <w:pStyle w:val="ListParagraph"/>
        <w:numPr>
          <w:ilvl w:val="0"/>
          <w:numId w:val="38"/>
        </w:numPr>
        <w:rPr>
          <w:rFonts w:ascii="Arial" w:hAnsi="Arial" w:cs="Arial"/>
          <w:sz w:val="24"/>
          <w:szCs w:val="24"/>
        </w:rPr>
      </w:pPr>
      <w:r w:rsidRPr="005E3901">
        <w:rPr>
          <w:rStyle w:val="Emphasis"/>
          <w:rFonts w:ascii="Arial" w:eastAsia="Times New Roman" w:hAnsi="Arial" w:cs="Arial"/>
          <w:color w:val="000000" w:themeColor="text1"/>
          <w:sz w:val="24"/>
          <w:szCs w:val="24"/>
        </w:rPr>
        <w:t>Randolph v. ING Life Ins. &amp; Annuity Co.</w:t>
      </w:r>
      <w:r w:rsidRPr="005E3901">
        <w:rPr>
          <w:rFonts w:ascii="Arial" w:eastAsia="Times New Roman" w:hAnsi="Arial" w:cs="Arial"/>
          <w:sz w:val="24"/>
          <w:szCs w:val="24"/>
        </w:rPr>
        <w:t>, 973 A.2d 702, 711 (D.C. 2009)</w:t>
      </w:r>
      <w:r w:rsidR="005E3901">
        <w:rPr>
          <w:rFonts w:ascii="Arial" w:hAnsi="Arial" w:cs="Arial"/>
          <w:sz w:val="24"/>
          <w:szCs w:val="24"/>
        </w:rPr>
        <w:t>.</w:t>
      </w:r>
    </w:p>
    <w:p w14:paraId="12568200" w14:textId="5CD476B8" w:rsidR="00BE3E17" w:rsidRPr="005E3901" w:rsidRDefault="00BE3E17" w:rsidP="009D3627">
      <w:pPr>
        <w:pStyle w:val="ListParagraph"/>
        <w:numPr>
          <w:ilvl w:val="0"/>
          <w:numId w:val="38"/>
        </w:numPr>
        <w:spacing w:after="120"/>
        <w:rPr>
          <w:rFonts w:ascii="Arial" w:hAnsi="Arial" w:cs="Arial"/>
          <w:sz w:val="24"/>
          <w:szCs w:val="24"/>
        </w:rPr>
      </w:pPr>
      <w:r w:rsidRPr="005E3901">
        <w:rPr>
          <w:rStyle w:val="Emphasis"/>
          <w:rFonts w:ascii="Arial" w:eastAsia="Times New Roman" w:hAnsi="Arial" w:cs="Arial"/>
          <w:sz w:val="24"/>
          <w:szCs w:val="24"/>
        </w:rPr>
        <w:t>Hammond v. The Bank of New York Mellon Corp.</w:t>
      </w:r>
      <w:r w:rsidRPr="005E3901">
        <w:rPr>
          <w:rFonts w:ascii="Arial" w:eastAsia="Times New Roman" w:hAnsi="Arial" w:cs="Arial"/>
          <w:sz w:val="24"/>
          <w:szCs w:val="24"/>
        </w:rPr>
        <w:t>, 08 CIV 6060 RMB RLE, 2010 WL 2643307, at *7-8, *11 (S.D.N.Y. June 25, 2010)</w:t>
      </w:r>
      <w:r w:rsidR="005E3901">
        <w:rPr>
          <w:rFonts w:ascii="Arial" w:hAnsi="Arial" w:cs="Arial"/>
          <w:sz w:val="24"/>
          <w:szCs w:val="24"/>
        </w:rPr>
        <w:t>.</w:t>
      </w:r>
    </w:p>
    <w:p w14:paraId="129BD9D9" w14:textId="2C8B4E62" w:rsidR="00BE3E17" w:rsidRPr="005E3901" w:rsidRDefault="00BE3E17" w:rsidP="009D3627">
      <w:pPr>
        <w:pStyle w:val="ListParagraph"/>
        <w:numPr>
          <w:ilvl w:val="0"/>
          <w:numId w:val="35"/>
        </w:numPr>
        <w:spacing w:after="60"/>
        <w:rPr>
          <w:rFonts w:ascii="Arial" w:hAnsi="Arial" w:cs="Arial"/>
          <w:sz w:val="24"/>
          <w:szCs w:val="24"/>
        </w:rPr>
      </w:pPr>
      <w:r w:rsidRPr="005E3901">
        <w:rPr>
          <w:rFonts w:ascii="Arial" w:eastAsia="Times New Roman" w:hAnsi="Arial" w:cs="Arial"/>
          <w:sz w:val="24"/>
          <w:szCs w:val="24"/>
        </w:rPr>
        <w:t>Loss of Value Information</w:t>
      </w:r>
      <w:r w:rsidR="009D3627" w:rsidRPr="005E3901">
        <w:rPr>
          <w:rFonts w:ascii="Arial" w:eastAsia="Times New Roman" w:hAnsi="Arial" w:cs="Arial"/>
          <w:sz w:val="24"/>
          <w:szCs w:val="24"/>
        </w:rPr>
        <w:t xml:space="preserve">: </w:t>
      </w:r>
      <w:r w:rsidRPr="005E3901">
        <w:rPr>
          <w:rStyle w:val="Emphasis"/>
          <w:rFonts w:ascii="Arial" w:eastAsia="Times New Roman" w:hAnsi="Arial" w:cs="Arial"/>
          <w:sz w:val="24"/>
          <w:szCs w:val="24"/>
        </w:rPr>
        <w:t xml:space="preserve">In re Barnes &amp; Noble Pin Pad </w:t>
      </w:r>
      <w:proofErr w:type="spellStart"/>
      <w:r w:rsidRPr="005E3901">
        <w:rPr>
          <w:rStyle w:val="Emphasis"/>
          <w:rFonts w:ascii="Arial" w:eastAsia="Times New Roman" w:hAnsi="Arial" w:cs="Arial"/>
          <w:sz w:val="24"/>
          <w:szCs w:val="24"/>
        </w:rPr>
        <w:t>Litig</w:t>
      </w:r>
      <w:proofErr w:type="spellEnd"/>
      <w:r w:rsidRPr="005E3901">
        <w:rPr>
          <w:rStyle w:val="Emphasis"/>
          <w:rFonts w:ascii="Arial" w:eastAsia="Times New Roman" w:hAnsi="Arial" w:cs="Arial"/>
          <w:sz w:val="24"/>
          <w:szCs w:val="24"/>
        </w:rPr>
        <w:t>.</w:t>
      </w:r>
      <w:r w:rsidRPr="005E3901">
        <w:rPr>
          <w:rFonts w:ascii="Arial" w:eastAsia="Times New Roman" w:hAnsi="Arial" w:cs="Arial"/>
          <w:sz w:val="24"/>
          <w:szCs w:val="24"/>
        </w:rPr>
        <w:t>, 12-CV-8617, 2013 WL 4759588, at *4 (N.D. Ill. Sept. 3, 2013)</w:t>
      </w:r>
      <w:r w:rsidR="005E3901">
        <w:rPr>
          <w:rFonts w:ascii="Arial" w:hAnsi="Arial" w:cs="Arial"/>
          <w:sz w:val="24"/>
          <w:szCs w:val="24"/>
        </w:rPr>
        <w:t>.</w:t>
      </w:r>
    </w:p>
    <w:p w14:paraId="150CD556" w14:textId="77777777" w:rsidR="0037470E" w:rsidRPr="005E3901" w:rsidRDefault="0037470E" w:rsidP="008D40AA">
      <w:pPr>
        <w:pStyle w:val="ListParagraph"/>
        <w:ind w:left="1440"/>
        <w:rPr>
          <w:rFonts w:ascii="Arial" w:hAnsi="Arial" w:cs="Arial"/>
          <w:sz w:val="24"/>
          <w:szCs w:val="24"/>
        </w:rPr>
      </w:pPr>
    </w:p>
    <w:p w14:paraId="51551B44" w14:textId="77777777" w:rsidR="009D3627" w:rsidRPr="005E3901" w:rsidRDefault="009D3627" w:rsidP="00C754DE">
      <w:pPr>
        <w:spacing w:after="120"/>
        <w:rPr>
          <w:rFonts w:ascii="Arial" w:hAnsi="Arial" w:cs="Arial"/>
          <w:b/>
        </w:rPr>
      </w:pPr>
    </w:p>
    <w:p w14:paraId="03E4042B" w14:textId="5B0AFB2B" w:rsidR="006C524A" w:rsidRPr="005E3901" w:rsidRDefault="006C524A" w:rsidP="00C754DE">
      <w:pPr>
        <w:spacing w:after="120"/>
        <w:rPr>
          <w:rFonts w:ascii="Arial" w:hAnsi="Arial" w:cs="Arial"/>
          <w:b/>
        </w:rPr>
      </w:pPr>
      <w:r w:rsidRPr="005E3901">
        <w:rPr>
          <w:rFonts w:ascii="Arial" w:hAnsi="Arial" w:cs="Arial"/>
          <w:b/>
        </w:rPr>
        <w:t>0</w:t>
      </w:r>
      <w:r w:rsidR="000F7244" w:rsidRPr="005E3901">
        <w:rPr>
          <w:rFonts w:ascii="Arial" w:hAnsi="Arial" w:cs="Arial"/>
          <w:b/>
        </w:rPr>
        <w:t>4</w:t>
      </w:r>
      <w:r w:rsidRPr="005E3901">
        <w:rPr>
          <w:rFonts w:ascii="Arial" w:hAnsi="Arial" w:cs="Arial"/>
          <w:b/>
        </w:rPr>
        <w:t>/</w:t>
      </w:r>
      <w:r w:rsidR="000F7244" w:rsidRPr="005E3901">
        <w:rPr>
          <w:rFonts w:ascii="Arial" w:hAnsi="Arial" w:cs="Arial"/>
          <w:b/>
        </w:rPr>
        <w:t>03</w:t>
      </w:r>
      <w:r w:rsidRPr="005E3901">
        <w:rPr>
          <w:rFonts w:ascii="Arial" w:hAnsi="Arial" w:cs="Arial"/>
          <w:b/>
        </w:rPr>
        <w:t>/1</w:t>
      </w:r>
      <w:r w:rsidR="00D05AC4">
        <w:rPr>
          <w:rFonts w:ascii="Arial" w:hAnsi="Arial" w:cs="Arial"/>
          <w:b/>
        </w:rPr>
        <w:t>8</w:t>
      </w:r>
      <w:r w:rsidRPr="005E3901">
        <w:rPr>
          <w:rFonts w:ascii="Arial" w:hAnsi="Arial" w:cs="Arial"/>
          <w:b/>
        </w:rPr>
        <w:tab/>
        <w:t xml:space="preserve">Week #11 – </w:t>
      </w:r>
      <w:r w:rsidR="00C754DE" w:rsidRPr="005E3901">
        <w:rPr>
          <w:rFonts w:ascii="Arial" w:hAnsi="Arial" w:cs="Arial"/>
          <w:b/>
        </w:rPr>
        <w:t>Student Presentations</w:t>
      </w:r>
    </w:p>
    <w:p w14:paraId="14F05626" w14:textId="77777777" w:rsidR="00195EDE" w:rsidRPr="005E3901" w:rsidRDefault="00195EDE" w:rsidP="00C754DE">
      <w:pPr>
        <w:spacing w:after="120"/>
        <w:rPr>
          <w:rFonts w:ascii="Arial" w:hAnsi="Arial" w:cs="Arial"/>
        </w:rPr>
      </w:pPr>
    </w:p>
    <w:p w14:paraId="5D80A349" w14:textId="2EB17EAE" w:rsidR="0037470E" w:rsidRPr="005E3901" w:rsidRDefault="006C524A" w:rsidP="006C524A">
      <w:pPr>
        <w:spacing w:after="120"/>
        <w:rPr>
          <w:rFonts w:ascii="Arial" w:hAnsi="Arial" w:cs="Arial"/>
          <w:b/>
        </w:rPr>
      </w:pPr>
      <w:r w:rsidRPr="005E3901">
        <w:rPr>
          <w:rFonts w:ascii="Arial" w:hAnsi="Arial" w:cs="Arial"/>
          <w:b/>
        </w:rPr>
        <w:t>04/</w:t>
      </w:r>
      <w:r w:rsidR="000F7244" w:rsidRPr="005E3901">
        <w:rPr>
          <w:rFonts w:ascii="Arial" w:hAnsi="Arial" w:cs="Arial"/>
          <w:b/>
        </w:rPr>
        <w:t>10</w:t>
      </w:r>
      <w:r w:rsidRPr="005E3901">
        <w:rPr>
          <w:rFonts w:ascii="Arial" w:hAnsi="Arial" w:cs="Arial"/>
          <w:b/>
        </w:rPr>
        <w:t>/1</w:t>
      </w:r>
      <w:r w:rsidR="00D05AC4">
        <w:rPr>
          <w:rFonts w:ascii="Arial" w:hAnsi="Arial" w:cs="Arial"/>
          <w:b/>
        </w:rPr>
        <w:t>8</w:t>
      </w:r>
      <w:r w:rsidRPr="005E3901">
        <w:rPr>
          <w:rFonts w:ascii="Arial" w:hAnsi="Arial" w:cs="Arial"/>
          <w:b/>
        </w:rPr>
        <w:tab/>
        <w:t xml:space="preserve">Week #12 – </w:t>
      </w:r>
      <w:r w:rsidR="00F02622" w:rsidRPr="005E3901">
        <w:rPr>
          <w:rFonts w:ascii="Arial" w:hAnsi="Arial" w:cs="Arial"/>
          <w:b/>
        </w:rPr>
        <w:t>Student Presentations</w:t>
      </w:r>
    </w:p>
    <w:p w14:paraId="6325A91F" w14:textId="77777777" w:rsidR="00195EDE" w:rsidRPr="005E3901" w:rsidRDefault="00195EDE" w:rsidP="006C524A">
      <w:pPr>
        <w:spacing w:after="120"/>
        <w:rPr>
          <w:rFonts w:ascii="Arial" w:hAnsi="Arial" w:cs="Arial"/>
        </w:rPr>
      </w:pPr>
    </w:p>
    <w:p w14:paraId="2B05142B" w14:textId="74417136" w:rsidR="0037470E" w:rsidRPr="005E3901" w:rsidRDefault="006C524A" w:rsidP="006C524A">
      <w:pPr>
        <w:spacing w:after="120"/>
        <w:rPr>
          <w:rFonts w:ascii="Arial" w:hAnsi="Arial" w:cs="Arial"/>
          <w:b/>
        </w:rPr>
      </w:pPr>
      <w:r w:rsidRPr="005E3901">
        <w:rPr>
          <w:rFonts w:ascii="Arial" w:hAnsi="Arial" w:cs="Arial"/>
          <w:b/>
        </w:rPr>
        <w:t>04/</w:t>
      </w:r>
      <w:r w:rsidR="000F7244" w:rsidRPr="005E3901">
        <w:rPr>
          <w:rFonts w:ascii="Arial" w:hAnsi="Arial" w:cs="Arial"/>
          <w:b/>
        </w:rPr>
        <w:t>17</w:t>
      </w:r>
      <w:r w:rsidRPr="005E3901">
        <w:rPr>
          <w:rFonts w:ascii="Arial" w:hAnsi="Arial" w:cs="Arial"/>
          <w:b/>
        </w:rPr>
        <w:t>/1</w:t>
      </w:r>
      <w:r w:rsidR="00D05AC4">
        <w:rPr>
          <w:rFonts w:ascii="Arial" w:hAnsi="Arial" w:cs="Arial"/>
          <w:b/>
        </w:rPr>
        <w:t>8</w:t>
      </w:r>
      <w:r w:rsidRPr="005E3901">
        <w:rPr>
          <w:rFonts w:ascii="Arial" w:hAnsi="Arial" w:cs="Arial"/>
          <w:b/>
        </w:rPr>
        <w:tab/>
        <w:t xml:space="preserve">Week #13 – </w:t>
      </w:r>
      <w:r w:rsidR="00F02622" w:rsidRPr="005E3901">
        <w:rPr>
          <w:rFonts w:ascii="Arial" w:hAnsi="Arial" w:cs="Arial"/>
          <w:b/>
        </w:rPr>
        <w:t>Student Presentations</w:t>
      </w:r>
    </w:p>
    <w:p w14:paraId="36D608BE" w14:textId="77777777" w:rsidR="00195EDE" w:rsidRPr="005E3901" w:rsidRDefault="00195EDE" w:rsidP="006C524A">
      <w:pPr>
        <w:spacing w:after="120"/>
        <w:rPr>
          <w:rFonts w:ascii="Arial" w:hAnsi="Arial" w:cs="Arial"/>
        </w:rPr>
      </w:pPr>
    </w:p>
    <w:p w14:paraId="7CE377A1" w14:textId="7908C9BA" w:rsidR="0090227B" w:rsidRPr="005E3901" w:rsidRDefault="006C524A" w:rsidP="008D40AA">
      <w:pPr>
        <w:rPr>
          <w:rFonts w:ascii="Arial" w:hAnsi="Arial" w:cs="Arial"/>
          <w:b/>
        </w:rPr>
      </w:pPr>
      <w:r w:rsidRPr="005E3901">
        <w:rPr>
          <w:rFonts w:ascii="Arial" w:hAnsi="Arial" w:cs="Arial"/>
          <w:b/>
        </w:rPr>
        <w:t>04/</w:t>
      </w:r>
      <w:r w:rsidR="000F7244" w:rsidRPr="005E3901">
        <w:rPr>
          <w:rFonts w:ascii="Arial" w:hAnsi="Arial" w:cs="Arial"/>
          <w:b/>
        </w:rPr>
        <w:t>24</w:t>
      </w:r>
      <w:r w:rsidRPr="005E3901">
        <w:rPr>
          <w:rFonts w:ascii="Arial" w:hAnsi="Arial" w:cs="Arial"/>
          <w:b/>
        </w:rPr>
        <w:t>/1</w:t>
      </w:r>
      <w:r w:rsidR="00D05AC4">
        <w:rPr>
          <w:rFonts w:ascii="Arial" w:hAnsi="Arial" w:cs="Arial"/>
          <w:b/>
        </w:rPr>
        <w:t>8</w:t>
      </w:r>
      <w:r w:rsidRPr="005E3901">
        <w:rPr>
          <w:rFonts w:ascii="Arial" w:hAnsi="Arial" w:cs="Arial"/>
          <w:b/>
        </w:rPr>
        <w:tab/>
        <w:t>Week #1</w:t>
      </w:r>
      <w:r w:rsidR="00803920" w:rsidRPr="005E3901">
        <w:rPr>
          <w:rFonts w:ascii="Arial" w:hAnsi="Arial" w:cs="Arial"/>
          <w:b/>
        </w:rPr>
        <w:t>4</w:t>
      </w:r>
      <w:r w:rsidRPr="005E3901">
        <w:rPr>
          <w:rFonts w:ascii="Arial" w:hAnsi="Arial" w:cs="Arial"/>
          <w:b/>
        </w:rPr>
        <w:t xml:space="preserve"> –</w:t>
      </w:r>
      <w:r w:rsidR="00F02622" w:rsidRPr="005E3901">
        <w:rPr>
          <w:rFonts w:ascii="Arial" w:hAnsi="Arial" w:cs="Arial"/>
          <w:b/>
        </w:rPr>
        <w:t xml:space="preserve"> Student Presentations</w:t>
      </w:r>
    </w:p>
    <w:p w14:paraId="3D715CAA" w14:textId="77777777" w:rsidR="00FD6273" w:rsidRPr="005E3901" w:rsidRDefault="00FD6273">
      <w:pPr>
        <w:rPr>
          <w:rFonts w:ascii="Arial" w:hAnsi="Arial" w:cs="Arial"/>
          <w:color w:val="000000" w:themeColor="text1"/>
        </w:rPr>
      </w:pPr>
      <w:r w:rsidRPr="005E3901">
        <w:rPr>
          <w:rFonts w:ascii="Arial" w:hAnsi="Arial" w:cs="Arial"/>
          <w:color w:val="000000" w:themeColor="text1"/>
        </w:rPr>
        <w:br w:type="page"/>
      </w:r>
    </w:p>
    <w:p w14:paraId="40FCC54B" w14:textId="77777777" w:rsidR="00D2000E" w:rsidRPr="005E3901" w:rsidRDefault="00D2000E" w:rsidP="00E14151">
      <w:pPr>
        <w:keepNext/>
        <w:rPr>
          <w:rFonts w:ascii="Arial" w:hAnsi="Arial" w:cs="Arial"/>
          <w:color w:val="000000" w:themeColor="text1"/>
        </w:rPr>
      </w:pPr>
      <w:r w:rsidRPr="005E3901">
        <w:rPr>
          <w:rFonts w:ascii="Arial" w:hAnsi="Arial" w:cs="Arial"/>
          <w:color w:val="000000" w:themeColor="text1"/>
        </w:rPr>
        <w:t>Note:</w:t>
      </w:r>
    </w:p>
    <w:p w14:paraId="3C29986D" w14:textId="77777777" w:rsidR="00D2000E" w:rsidRPr="005E3901" w:rsidRDefault="00D2000E" w:rsidP="00E14151">
      <w:pPr>
        <w:keepNext/>
        <w:rPr>
          <w:rFonts w:ascii="Arial" w:hAnsi="Arial" w:cs="Arial"/>
          <w:color w:val="000000" w:themeColor="text1"/>
        </w:rPr>
      </w:pPr>
    </w:p>
    <w:p w14:paraId="22C960B2" w14:textId="77777777" w:rsidR="00E14151" w:rsidRPr="005E3901" w:rsidRDefault="00E14151" w:rsidP="00E14151">
      <w:pPr>
        <w:keepNext/>
        <w:rPr>
          <w:rFonts w:ascii="Arial" w:hAnsi="Arial" w:cs="Arial"/>
          <w:color w:val="000000" w:themeColor="text1"/>
        </w:rPr>
      </w:pPr>
      <w:r w:rsidRPr="005E3901">
        <w:rPr>
          <w:rFonts w:ascii="Arial" w:hAnsi="Arial" w:cs="Arial"/>
          <w:color w:val="000000" w:themeColor="text1"/>
        </w:rPr>
        <w:t>Disability Syllabus Statement</w:t>
      </w:r>
    </w:p>
    <w:p w14:paraId="228F5100" w14:textId="77777777" w:rsidR="00E14151" w:rsidRPr="005E3901" w:rsidRDefault="00E14151" w:rsidP="00E14151">
      <w:pPr>
        <w:rPr>
          <w:rFonts w:ascii="Arial" w:hAnsi="Arial" w:cs="Arial"/>
        </w:rPr>
      </w:pPr>
      <w:r w:rsidRPr="005E3901">
        <w:rPr>
          <w:rFonts w:ascii="Arial" w:hAnsi="Arial" w:cs="Arial"/>
        </w:rPr>
        <w:t>The University of Florida is committed to providing equal educational access to students with disabilities. As you are developing and/or updating your syllabi for the spring semester, please take a moment to review the university’s “</w:t>
      </w:r>
      <w:hyperlink r:id="rId21" w:tgtFrame="_blank" w:history="1">
        <w:r w:rsidRPr="005E3901">
          <w:rPr>
            <w:rStyle w:val="Hyperlink"/>
            <w:rFonts w:ascii="Arial" w:hAnsi="Arial" w:cs="Arial"/>
          </w:rPr>
          <w:t>Policy on Course Syllabi</w:t>
        </w:r>
      </w:hyperlink>
      <w:r w:rsidRPr="005E3901">
        <w:rPr>
          <w:rFonts w:ascii="Arial" w:hAnsi="Arial" w:cs="Arial"/>
        </w:rPr>
        <w:t>” which specifies the inclusion of the following recommended statement related to accommodations for students with disabilities:</w:t>
      </w:r>
    </w:p>
    <w:p w14:paraId="6F2339A6" w14:textId="77777777" w:rsidR="00E14151" w:rsidRPr="005E3901" w:rsidRDefault="00E14151" w:rsidP="00E14151">
      <w:pPr>
        <w:rPr>
          <w:rFonts w:ascii="Arial" w:hAnsi="Arial" w:cs="Arial"/>
        </w:rPr>
      </w:pPr>
    </w:p>
    <w:p w14:paraId="35678E8A" w14:textId="77777777" w:rsidR="00E14151" w:rsidRPr="005E3901" w:rsidRDefault="00E14151" w:rsidP="00E14151">
      <w:pPr>
        <w:ind w:left="720" w:right="792"/>
        <w:rPr>
          <w:rFonts w:ascii="Arial" w:hAnsi="Arial" w:cs="Arial"/>
        </w:rPr>
      </w:pPr>
      <w:r w:rsidRPr="005E3901">
        <w:rPr>
          <w:rFonts w:ascii="Arial" w:hAnsi="Arial" w:cs="Arial"/>
        </w:rPr>
        <w:t xml:space="preserve">“Students with disabilities requesting accommodations should first register with the Disability Resource Center (352-392-8565, </w:t>
      </w:r>
      <w:hyperlink r:id="rId22" w:tgtFrame="_blank" w:history="1">
        <w:r w:rsidRPr="005E3901">
          <w:rPr>
            <w:rStyle w:val="Hyperlink"/>
            <w:rFonts w:ascii="Arial" w:hAnsi="Arial" w:cs="Arial"/>
          </w:rPr>
          <w:t>www.dso.ufl.edu/drc/</w:t>
        </w:r>
      </w:hyperlink>
      <w:r w:rsidRPr="005E3901">
        <w:rPr>
          <w:rFonts w:ascii="Arial" w:hAnsi="Arial" w:cs="Arial"/>
        </w:rPr>
        <w:t>) by providing appropriate documentation. Once registered, students will receive an accommodation letter which must be presented to the instructor when requesting accommodations. Students with disabilities should follow this procedure as early as possible in the semester.”</w:t>
      </w:r>
    </w:p>
    <w:p w14:paraId="60D41A13" w14:textId="77777777" w:rsidR="00E14151" w:rsidRPr="005E3901" w:rsidRDefault="00E14151" w:rsidP="00E14151">
      <w:pPr>
        <w:rPr>
          <w:rFonts w:ascii="Arial" w:hAnsi="Arial" w:cs="Arial"/>
        </w:rPr>
      </w:pPr>
    </w:p>
    <w:p w14:paraId="43F931DB" w14:textId="77777777" w:rsidR="00E14151" w:rsidRPr="005E3901" w:rsidRDefault="00E14151" w:rsidP="00E14151">
      <w:pPr>
        <w:rPr>
          <w:rFonts w:ascii="Arial" w:hAnsi="Arial" w:cs="Arial"/>
        </w:rPr>
      </w:pPr>
      <w:r w:rsidRPr="005E3901">
        <w:rPr>
          <w:rFonts w:ascii="Arial" w:hAnsi="Arial" w:cs="Arial"/>
        </w:rPr>
        <w:t>A disability syllabus statement serves to open the lines of communication between an instructor and a student by making the student feel included when approaching an instructor regarding accommodation needs and/or disability-related concerns.</w:t>
      </w:r>
    </w:p>
    <w:p w14:paraId="49FA6810" w14:textId="77777777" w:rsidR="00E14151" w:rsidRPr="005E3901" w:rsidRDefault="00E14151" w:rsidP="00E14151">
      <w:pPr>
        <w:rPr>
          <w:rFonts w:ascii="Arial" w:hAnsi="Arial" w:cs="Arial"/>
        </w:rPr>
      </w:pPr>
      <w:r w:rsidRPr="005E3901">
        <w:rPr>
          <w:rFonts w:ascii="Arial" w:hAnsi="Arial" w:cs="Arial"/>
        </w:rPr>
        <w:t>Additional resources for faculty can be found on the Disability Resource Center’s Instructor Resources webpage (</w:t>
      </w:r>
      <w:hyperlink r:id="rId23" w:tgtFrame="_blank" w:history="1">
        <w:r w:rsidRPr="005E3901">
          <w:rPr>
            <w:rStyle w:val="Hyperlink"/>
            <w:rFonts w:ascii="Arial" w:hAnsi="Arial" w:cs="Arial"/>
          </w:rPr>
          <w:t>https://www.dso.ufl.edu/drc/faculty/resources-for-instructors</w:t>
        </w:r>
      </w:hyperlink>
      <w:r w:rsidRPr="005E3901">
        <w:rPr>
          <w:rFonts w:ascii="Arial" w:hAnsi="Arial" w:cs="Arial"/>
        </w:rPr>
        <w:t xml:space="preserve">). Please contact the Disability Resource Center at 352-392-8565 or via e-mail at </w:t>
      </w:r>
      <w:hyperlink r:id="rId24" w:history="1">
        <w:r w:rsidRPr="005E3901">
          <w:rPr>
            <w:rStyle w:val="Hyperlink"/>
            <w:rFonts w:ascii="Arial" w:hAnsi="Arial" w:cs="Arial"/>
          </w:rPr>
          <w:t>accessuf@dso.ufl.edu</w:t>
        </w:r>
      </w:hyperlink>
      <w:r w:rsidRPr="005E3901">
        <w:rPr>
          <w:rFonts w:ascii="Arial" w:hAnsi="Arial" w:cs="Arial"/>
        </w:rPr>
        <w:t xml:space="preserve"> if you have any questions.</w:t>
      </w:r>
    </w:p>
    <w:p w14:paraId="26770EEC" w14:textId="77777777" w:rsidR="00621E4F" w:rsidRPr="005E3901" w:rsidRDefault="00621E4F" w:rsidP="00E14151">
      <w:pPr>
        <w:rPr>
          <w:rFonts w:ascii="Arial" w:hAnsi="Arial" w:cs="Arial"/>
        </w:rPr>
      </w:pPr>
    </w:p>
    <w:p w14:paraId="408436CC" w14:textId="77777777" w:rsidR="00621E4F" w:rsidRPr="005E3901" w:rsidRDefault="00621E4F" w:rsidP="00E14151">
      <w:pPr>
        <w:rPr>
          <w:rFonts w:ascii="Arial" w:hAnsi="Arial" w:cs="Arial"/>
        </w:rPr>
      </w:pPr>
    </w:p>
    <w:p w14:paraId="2B36F964" w14:textId="77777777" w:rsidR="00621E4F" w:rsidRPr="005E3901" w:rsidRDefault="00621E4F">
      <w:pPr>
        <w:rPr>
          <w:rFonts w:ascii="Arial" w:hAnsi="Arial" w:cs="Arial"/>
          <w:b/>
        </w:rPr>
      </w:pPr>
      <w:r w:rsidRPr="005E3901">
        <w:rPr>
          <w:rFonts w:ascii="Arial" w:hAnsi="Arial" w:cs="Arial"/>
          <w:b/>
        </w:rPr>
        <w:br w:type="page"/>
      </w:r>
    </w:p>
    <w:p w14:paraId="770A3D87" w14:textId="77777777" w:rsidR="00621E4F" w:rsidRPr="005E3901" w:rsidRDefault="00621E4F" w:rsidP="00621E4F">
      <w:pPr>
        <w:jc w:val="center"/>
        <w:rPr>
          <w:rFonts w:ascii="Arial" w:hAnsi="Arial" w:cs="Arial"/>
          <w:b/>
        </w:rPr>
      </w:pPr>
      <w:r w:rsidRPr="005E3901">
        <w:rPr>
          <w:rFonts w:ascii="Arial" w:hAnsi="Arial" w:cs="Arial"/>
          <w:b/>
        </w:rPr>
        <w:t>Bibliography</w:t>
      </w:r>
      <w:r w:rsidR="00EF6A86" w:rsidRPr="005E3901">
        <w:rPr>
          <w:rFonts w:ascii="Arial" w:hAnsi="Arial" w:cs="Arial"/>
          <w:b/>
        </w:rPr>
        <w:t xml:space="preserve"> (Draft)</w:t>
      </w:r>
    </w:p>
    <w:p w14:paraId="5EE759D4" w14:textId="77777777" w:rsidR="00621E4F" w:rsidRPr="005E3901" w:rsidRDefault="00621E4F" w:rsidP="00621E4F">
      <w:pPr>
        <w:rPr>
          <w:rFonts w:ascii="Arial" w:hAnsi="Arial" w:cs="Arial"/>
          <w:b/>
        </w:rPr>
      </w:pPr>
    </w:p>
    <w:p w14:paraId="6C6E0888" w14:textId="77777777" w:rsidR="0000155D" w:rsidRPr="005E3901" w:rsidRDefault="0000155D" w:rsidP="00431E51">
      <w:pPr>
        <w:pStyle w:val="PlainText"/>
        <w:numPr>
          <w:ilvl w:val="0"/>
          <w:numId w:val="33"/>
        </w:numPr>
        <w:spacing w:after="240"/>
        <w:ind w:hanging="720"/>
        <w:rPr>
          <w:rFonts w:ascii="Arial" w:hAnsi="Arial" w:cs="Arial"/>
          <w:sz w:val="24"/>
          <w:szCs w:val="24"/>
        </w:rPr>
      </w:pPr>
      <w:r w:rsidRPr="005E3901">
        <w:rPr>
          <w:rFonts w:ascii="Arial" w:hAnsi="Arial" w:cs="Arial"/>
          <w:sz w:val="24"/>
          <w:szCs w:val="24"/>
        </w:rPr>
        <w:t xml:space="preserve">Daniel Solove, </w:t>
      </w:r>
      <w:r w:rsidRPr="005E3901">
        <w:rPr>
          <w:rFonts w:ascii="Arial" w:hAnsi="Arial" w:cs="Arial"/>
          <w:i/>
          <w:sz w:val="24"/>
          <w:szCs w:val="24"/>
        </w:rPr>
        <w:t>3 Types of Incidents Account for 86% of HIPAA Data Breaches</w:t>
      </w:r>
      <w:r w:rsidRPr="005E3901">
        <w:rPr>
          <w:rFonts w:ascii="Arial" w:hAnsi="Arial" w:cs="Arial"/>
          <w:sz w:val="24"/>
          <w:szCs w:val="24"/>
        </w:rPr>
        <w:t xml:space="preserve">, </w:t>
      </w:r>
      <w:r w:rsidRPr="005E3901">
        <w:rPr>
          <w:rFonts w:ascii="Arial" w:hAnsi="Arial" w:cs="Arial"/>
          <w:smallCaps/>
          <w:sz w:val="24"/>
          <w:szCs w:val="24"/>
        </w:rPr>
        <w:t>TeachPrivacy.com</w:t>
      </w:r>
      <w:r w:rsidRPr="005E3901">
        <w:rPr>
          <w:rFonts w:ascii="Arial" w:hAnsi="Arial" w:cs="Arial"/>
          <w:sz w:val="24"/>
          <w:szCs w:val="24"/>
        </w:rPr>
        <w:t xml:space="preserve"> (January 25, 2016), </w:t>
      </w:r>
      <w:r w:rsidRPr="005E3901">
        <w:rPr>
          <w:rFonts w:ascii="Arial" w:hAnsi="Arial" w:cs="Arial"/>
          <w:i/>
          <w:sz w:val="24"/>
          <w:szCs w:val="24"/>
        </w:rPr>
        <w:t>available at</w:t>
      </w:r>
      <w:r w:rsidRPr="005E3901">
        <w:rPr>
          <w:rFonts w:ascii="Arial" w:hAnsi="Arial" w:cs="Arial"/>
          <w:sz w:val="24"/>
          <w:szCs w:val="24"/>
        </w:rPr>
        <w:t xml:space="preserve"> </w:t>
      </w:r>
      <w:hyperlink r:id="rId25" w:history="1">
        <w:r w:rsidRPr="005E3901">
          <w:rPr>
            <w:rStyle w:val="Hyperlink"/>
            <w:rFonts w:ascii="Arial" w:hAnsi="Arial" w:cs="Arial"/>
            <w:sz w:val="24"/>
            <w:szCs w:val="24"/>
          </w:rPr>
          <w:t>https://www.teachprivacy.com/types-incidents-data-breach-hipaa-healthcareata-breaches/</w:t>
        </w:r>
      </w:hyperlink>
    </w:p>
    <w:p w14:paraId="544A4689" w14:textId="77777777" w:rsidR="00621E4F" w:rsidRPr="005E3901" w:rsidRDefault="00621E4F" w:rsidP="00431E51">
      <w:pPr>
        <w:pStyle w:val="ListParagraph"/>
        <w:numPr>
          <w:ilvl w:val="0"/>
          <w:numId w:val="33"/>
        </w:numPr>
        <w:tabs>
          <w:tab w:val="left" w:pos="720"/>
        </w:tabs>
        <w:spacing w:after="240"/>
        <w:ind w:hanging="720"/>
        <w:rPr>
          <w:rStyle w:val="Hyperlink"/>
          <w:rFonts w:ascii="Arial" w:hAnsi="Arial" w:cs="Arial"/>
          <w:color w:val="auto"/>
          <w:sz w:val="24"/>
          <w:szCs w:val="24"/>
          <w:u w:val="none"/>
        </w:rPr>
      </w:pPr>
      <w:r w:rsidRPr="005E3901">
        <w:rPr>
          <w:rFonts w:ascii="Arial" w:hAnsi="Arial" w:cs="Arial"/>
          <w:sz w:val="24"/>
          <w:szCs w:val="24"/>
        </w:rPr>
        <w:t>DOD-Defense Science Board</w:t>
      </w:r>
      <w:r w:rsidR="0000155D" w:rsidRPr="005E3901">
        <w:rPr>
          <w:rFonts w:ascii="Arial" w:hAnsi="Arial" w:cs="Arial"/>
          <w:sz w:val="24"/>
          <w:szCs w:val="24"/>
        </w:rPr>
        <w:t>,</w:t>
      </w:r>
      <w:r w:rsidRPr="005E3901">
        <w:rPr>
          <w:rFonts w:ascii="Arial" w:hAnsi="Arial" w:cs="Arial"/>
          <w:sz w:val="24"/>
          <w:szCs w:val="24"/>
        </w:rPr>
        <w:t xml:space="preserve"> Task Force Report: </w:t>
      </w:r>
      <w:r w:rsidRPr="005E3901">
        <w:rPr>
          <w:rFonts w:ascii="Arial" w:hAnsi="Arial" w:cs="Arial"/>
          <w:i/>
          <w:sz w:val="24"/>
          <w:szCs w:val="24"/>
        </w:rPr>
        <w:t>Resilient Military Systems and the Advanced Cyber Threat</w:t>
      </w:r>
      <w:r w:rsidRPr="005E3901">
        <w:rPr>
          <w:rFonts w:ascii="Arial" w:hAnsi="Arial" w:cs="Arial"/>
          <w:sz w:val="24"/>
          <w:szCs w:val="24"/>
        </w:rPr>
        <w:t xml:space="preserve"> (January 2013), </w:t>
      </w:r>
      <w:r w:rsidRPr="005E3901">
        <w:rPr>
          <w:rFonts w:ascii="Arial" w:hAnsi="Arial" w:cs="Arial"/>
          <w:i/>
          <w:sz w:val="24"/>
          <w:szCs w:val="24"/>
        </w:rPr>
        <w:t>available at</w:t>
      </w:r>
      <w:r w:rsidRPr="005E3901">
        <w:rPr>
          <w:rFonts w:ascii="Arial" w:hAnsi="Arial" w:cs="Arial"/>
          <w:sz w:val="24"/>
          <w:szCs w:val="24"/>
        </w:rPr>
        <w:t xml:space="preserve"> </w:t>
      </w:r>
      <w:hyperlink r:id="rId26" w:history="1">
        <w:r w:rsidRPr="005E3901">
          <w:rPr>
            <w:rStyle w:val="Hyperlink"/>
            <w:rFonts w:ascii="Arial" w:hAnsi="Arial" w:cs="Arial"/>
            <w:sz w:val="24"/>
            <w:szCs w:val="24"/>
          </w:rPr>
          <w:t>http://www.acq.osd.mil/dsb/reports/CyberCloud.pdf</w:t>
        </w:r>
      </w:hyperlink>
    </w:p>
    <w:p w14:paraId="4080DCCC" w14:textId="77777777" w:rsidR="00431E51" w:rsidRPr="005E3901" w:rsidRDefault="00431E51" w:rsidP="00431E51">
      <w:pPr>
        <w:pStyle w:val="NormalWeb"/>
        <w:numPr>
          <w:ilvl w:val="0"/>
          <w:numId w:val="33"/>
        </w:numPr>
        <w:shd w:val="clear" w:color="auto" w:fill="FFFFFF"/>
        <w:tabs>
          <w:tab w:val="left" w:pos="720"/>
        </w:tabs>
        <w:spacing w:after="240"/>
        <w:ind w:hanging="720"/>
        <w:rPr>
          <w:rFonts w:ascii="Arial" w:hAnsi="Arial" w:cs="Arial"/>
          <w:color w:val="000000"/>
        </w:rPr>
      </w:pPr>
      <w:r w:rsidRPr="005E3901">
        <w:rPr>
          <w:rFonts w:ascii="Arial" w:hAnsi="Arial" w:cs="Arial"/>
        </w:rPr>
        <w:t xml:space="preserve">The Berkman Center for Internet &amp; Society at Harvard University, </w:t>
      </w:r>
      <w:r w:rsidRPr="005E3901">
        <w:rPr>
          <w:rFonts w:ascii="Arial" w:hAnsi="Arial" w:cs="Arial"/>
          <w:i/>
        </w:rPr>
        <w:t>Don’t Panic. Making Progress on the “Going Dark” Debate</w:t>
      </w:r>
      <w:r w:rsidRPr="005E3901">
        <w:rPr>
          <w:rFonts w:ascii="Arial" w:hAnsi="Arial" w:cs="Arial"/>
        </w:rPr>
        <w:t xml:space="preserve"> (February 1, 2016), </w:t>
      </w:r>
      <w:r w:rsidRPr="005E3901">
        <w:rPr>
          <w:rFonts w:ascii="Arial" w:hAnsi="Arial" w:cs="Arial"/>
          <w:i/>
        </w:rPr>
        <w:t>available at</w:t>
      </w:r>
      <w:r w:rsidRPr="005E3901">
        <w:rPr>
          <w:rFonts w:ascii="Arial" w:hAnsi="Arial" w:cs="Arial"/>
        </w:rPr>
        <w:t xml:space="preserve"> </w:t>
      </w:r>
      <w:hyperlink r:id="rId27" w:history="1">
        <w:r w:rsidRPr="005E3901">
          <w:rPr>
            <w:rStyle w:val="Hyperlink"/>
            <w:rFonts w:ascii="Arial" w:hAnsi="Arial" w:cs="Arial"/>
          </w:rPr>
          <w:t>https://cyber.law.harvard.edu/pubrelease/dont-panic/Dont_Panic_Making_Progress_on_Going_Dark_Debate.pdf</w:t>
        </w:r>
      </w:hyperlink>
    </w:p>
    <w:p w14:paraId="2AA34E96" w14:textId="77777777" w:rsidR="00621E4F" w:rsidRPr="005E3901" w:rsidRDefault="00621E4F" w:rsidP="00431E51">
      <w:pPr>
        <w:pStyle w:val="ListParagraph"/>
        <w:numPr>
          <w:ilvl w:val="0"/>
          <w:numId w:val="33"/>
        </w:numPr>
        <w:tabs>
          <w:tab w:val="left" w:pos="720"/>
        </w:tabs>
        <w:spacing w:after="240"/>
        <w:ind w:hanging="720"/>
        <w:rPr>
          <w:rFonts w:ascii="Arial" w:hAnsi="Arial" w:cs="Arial"/>
          <w:sz w:val="24"/>
          <w:szCs w:val="24"/>
        </w:rPr>
      </w:pPr>
    </w:p>
    <w:p w14:paraId="560A871D" w14:textId="77777777" w:rsidR="00621E4F" w:rsidRPr="005E3901" w:rsidRDefault="00621E4F" w:rsidP="00431E51">
      <w:pPr>
        <w:tabs>
          <w:tab w:val="left" w:pos="630"/>
        </w:tabs>
        <w:spacing w:after="240"/>
        <w:ind w:left="720" w:hanging="720"/>
        <w:rPr>
          <w:rFonts w:ascii="Arial" w:hAnsi="Arial" w:cs="Arial"/>
        </w:rPr>
      </w:pPr>
    </w:p>
    <w:sectPr w:rsidR="00621E4F" w:rsidRPr="005E3901" w:rsidSect="00E97224">
      <w:pgSz w:w="12240" w:h="15840"/>
      <w:pgMar w:top="1440" w:right="1080"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55F"/>
    <w:multiLevelType w:val="hybridMultilevel"/>
    <w:tmpl w:val="949005F0"/>
    <w:lvl w:ilvl="0" w:tplc="04090019">
      <w:start w:val="1"/>
      <w:numFmt w:val="lowerLetter"/>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18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725B2"/>
    <w:multiLevelType w:val="hybridMultilevel"/>
    <w:tmpl w:val="8CC85A68"/>
    <w:lvl w:ilvl="0" w:tplc="941EE6DA">
      <w:start w:val="1"/>
      <w:numFmt w:val="lowerRoman"/>
      <w:lvlText w:val="%1."/>
      <w:lvlJc w:val="left"/>
      <w:pPr>
        <w:ind w:left="3780" w:hanging="1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4201E9"/>
    <w:multiLevelType w:val="hybridMultilevel"/>
    <w:tmpl w:val="E2B255DC"/>
    <w:lvl w:ilvl="0" w:tplc="04090019">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3" w15:restartNumberingAfterBreak="0">
    <w:nsid w:val="05705161"/>
    <w:multiLevelType w:val="hybridMultilevel"/>
    <w:tmpl w:val="04AEF5E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05B77AA0"/>
    <w:multiLevelType w:val="hybridMultilevel"/>
    <w:tmpl w:val="70B42F32"/>
    <w:lvl w:ilvl="0" w:tplc="CF2AFBB2">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09C500C8"/>
    <w:multiLevelType w:val="hybridMultilevel"/>
    <w:tmpl w:val="51605094"/>
    <w:lvl w:ilvl="0" w:tplc="04090019">
      <w:start w:val="1"/>
      <w:numFmt w:val="lowerLetter"/>
      <w:lvlText w:val="%1."/>
      <w:lvlJc w:val="left"/>
      <w:pPr>
        <w:ind w:left="1800" w:hanging="360"/>
      </w:pPr>
    </w:lvl>
    <w:lvl w:ilvl="1" w:tplc="941EE6DA">
      <w:start w:val="1"/>
      <w:numFmt w:val="lowerRoman"/>
      <w:lvlText w:val="%2."/>
      <w:lvlJc w:val="left"/>
      <w:pPr>
        <w:ind w:left="396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E8953D3"/>
    <w:multiLevelType w:val="hybridMultilevel"/>
    <w:tmpl w:val="3D7C3880"/>
    <w:lvl w:ilvl="0" w:tplc="941EE6DA">
      <w:start w:val="1"/>
      <w:numFmt w:val="lowerRoman"/>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9CB2C43"/>
    <w:multiLevelType w:val="hybridMultilevel"/>
    <w:tmpl w:val="819CC43C"/>
    <w:lvl w:ilvl="0" w:tplc="941EE6DA">
      <w:start w:val="1"/>
      <w:numFmt w:val="lowerRoman"/>
      <w:lvlText w:val="%1."/>
      <w:lvlJc w:val="left"/>
      <w:pPr>
        <w:ind w:left="4320" w:hanging="18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19FA3428"/>
    <w:multiLevelType w:val="hybridMultilevel"/>
    <w:tmpl w:val="04AEF5E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1AAC6490"/>
    <w:multiLevelType w:val="hybridMultilevel"/>
    <w:tmpl w:val="6A7EC4D6"/>
    <w:lvl w:ilvl="0" w:tplc="E5044BD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CFA4BB2"/>
    <w:multiLevelType w:val="hybridMultilevel"/>
    <w:tmpl w:val="6DCE19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A2A7A"/>
    <w:multiLevelType w:val="hybridMultilevel"/>
    <w:tmpl w:val="CA7CADD2"/>
    <w:lvl w:ilvl="0" w:tplc="E578C518">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28917EF2"/>
    <w:multiLevelType w:val="hybridMultilevel"/>
    <w:tmpl w:val="CF1AA112"/>
    <w:lvl w:ilvl="0" w:tplc="95D0C46A">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29A976CC"/>
    <w:multiLevelType w:val="hybridMultilevel"/>
    <w:tmpl w:val="A21232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1008BE"/>
    <w:multiLevelType w:val="hybridMultilevel"/>
    <w:tmpl w:val="0E1A7A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E4A0214"/>
    <w:multiLevelType w:val="hybridMultilevel"/>
    <w:tmpl w:val="6570F26C"/>
    <w:lvl w:ilvl="0" w:tplc="941EE6DA">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33B7226E"/>
    <w:multiLevelType w:val="hybridMultilevel"/>
    <w:tmpl w:val="6F5467F2"/>
    <w:lvl w:ilvl="0" w:tplc="29B8F51A">
      <w:start w:val="1"/>
      <w:numFmt w:val="lowerLetter"/>
      <w:lvlText w:val="%1."/>
      <w:lvlJc w:val="left"/>
      <w:pPr>
        <w:ind w:left="3600" w:hanging="360"/>
      </w:pPr>
      <w:rPr>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347708A9"/>
    <w:multiLevelType w:val="hybridMultilevel"/>
    <w:tmpl w:val="43EADCC0"/>
    <w:lvl w:ilvl="0" w:tplc="04090019">
      <w:start w:val="1"/>
      <w:numFmt w:val="lowerLetter"/>
      <w:lvlText w:val="%1."/>
      <w:lvlJc w:val="left"/>
      <w:pPr>
        <w:ind w:left="450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36121663"/>
    <w:multiLevelType w:val="hybridMultilevel"/>
    <w:tmpl w:val="13A898E6"/>
    <w:lvl w:ilvl="0" w:tplc="04090019">
      <w:start w:val="1"/>
      <w:numFmt w:val="lowerLetter"/>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9" w15:restartNumberingAfterBreak="0">
    <w:nsid w:val="38F01870"/>
    <w:multiLevelType w:val="hybridMultilevel"/>
    <w:tmpl w:val="6570F26C"/>
    <w:lvl w:ilvl="0" w:tplc="941EE6DA">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441F1833"/>
    <w:multiLevelType w:val="hybridMultilevel"/>
    <w:tmpl w:val="B4048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876891"/>
    <w:multiLevelType w:val="hybridMultilevel"/>
    <w:tmpl w:val="8CC85A68"/>
    <w:lvl w:ilvl="0" w:tplc="941EE6DA">
      <w:start w:val="1"/>
      <w:numFmt w:val="lowerRoman"/>
      <w:lvlText w:val="%1."/>
      <w:lvlJc w:val="left"/>
      <w:pPr>
        <w:ind w:left="3780" w:hanging="1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17A6B00"/>
    <w:multiLevelType w:val="hybridMultilevel"/>
    <w:tmpl w:val="396AEAD2"/>
    <w:lvl w:ilvl="0" w:tplc="04090013">
      <w:start w:val="1"/>
      <w:numFmt w:val="upperRoman"/>
      <w:lvlText w:val="%1."/>
      <w:lvlJc w:val="right"/>
      <w:pPr>
        <w:ind w:left="1800" w:hanging="360"/>
      </w:pPr>
    </w:lvl>
    <w:lvl w:ilvl="1" w:tplc="941EE6DA">
      <w:start w:val="1"/>
      <w:numFmt w:val="lowerRoman"/>
      <w:lvlText w:val="%2."/>
      <w:lvlJc w:val="left"/>
      <w:pPr>
        <w:ind w:left="396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25D05E0"/>
    <w:multiLevelType w:val="hybridMultilevel"/>
    <w:tmpl w:val="06F4FA2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5A27DFC"/>
    <w:multiLevelType w:val="hybridMultilevel"/>
    <w:tmpl w:val="B662557C"/>
    <w:lvl w:ilvl="0" w:tplc="96968256">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56A305E6"/>
    <w:multiLevelType w:val="hybridMultilevel"/>
    <w:tmpl w:val="6570F26C"/>
    <w:lvl w:ilvl="0" w:tplc="941EE6DA">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5804692C"/>
    <w:multiLevelType w:val="hybridMultilevel"/>
    <w:tmpl w:val="1272E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0E0BB5"/>
    <w:multiLevelType w:val="hybridMultilevel"/>
    <w:tmpl w:val="F5D6D1AA"/>
    <w:lvl w:ilvl="0" w:tplc="04090019">
      <w:start w:val="1"/>
      <w:numFmt w:val="lowerLetter"/>
      <w:lvlText w:val="%1."/>
      <w:lvlJc w:val="left"/>
      <w:pPr>
        <w:ind w:left="2880" w:hanging="360"/>
      </w:pPr>
    </w:lvl>
    <w:lvl w:ilvl="1" w:tplc="0409001B">
      <w:start w:val="1"/>
      <w:numFmt w:val="lowerRoman"/>
      <w:lvlText w:val="%2."/>
      <w:lvlJc w:val="righ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5BF87FC8"/>
    <w:multiLevelType w:val="hybridMultilevel"/>
    <w:tmpl w:val="E3D2AA24"/>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9" w15:restartNumberingAfterBreak="0">
    <w:nsid w:val="5C4F0021"/>
    <w:multiLevelType w:val="hybridMultilevel"/>
    <w:tmpl w:val="819CC43C"/>
    <w:lvl w:ilvl="0" w:tplc="941EE6DA">
      <w:start w:val="1"/>
      <w:numFmt w:val="lowerRoman"/>
      <w:lvlText w:val="%1."/>
      <w:lvlJc w:val="left"/>
      <w:pPr>
        <w:ind w:left="4320" w:hanging="18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15:restartNumberingAfterBreak="0">
    <w:nsid w:val="6020025D"/>
    <w:multiLevelType w:val="hybridMultilevel"/>
    <w:tmpl w:val="819CC43C"/>
    <w:lvl w:ilvl="0" w:tplc="941EE6DA">
      <w:start w:val="1"/>
      <w:numFmt w:val="lowerRoman"/>
      <w:lvlText w:val="%1."/>
      <w:lvlJc w:val="left"/>
      <w:pPr>
        <w:ind w:left="4320" w:hanging="18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611D4DE6"/>
    <w:multiLevelType w:val="hybridMultilevel"/>
    <w:tmpl w:val="6570F26C"/>
    <w:lvl w:ilvl="0" w:tplc="941EE6DA">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65E430E6"/>
    <w:multiLevelType w:val="hybridMultilevel"/>
    <w:tmpl w:val="5894B464"/>
    <w:lvl w:ilvl="0" w:tplc="04090019">
      <w:start w:val="1"/>
      <w:numFmt w:val="lowerLetter"/>
      <w:lvlText w:val="%1."/>
      <w:lvlJc w:val="left"/>
      <w:pPr>
        <w:ind w:left="5040" w:hanging="360"/>
      </w:p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3" w15:restartNumberingAfterBreak="0">
    <w:nsid w:val="69C91AEB"/>
    <w:multiLevelType w:val="hybridMultilevel"/>
    <w:tmpl w:val="6570F26C"/>
    <w:lvl w:ilvl="0" w:tplc="941EE6DA">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6A7A289E"/>
    <w:multiLevelType w:val="hybridMultilevel"/>
    <w:tmpl w:val="E542AA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41EE6DA">
      <w:start w:val="1"/>
      <w:numFmt w:val="lowerRoman"/>
      <w:lvlText w:val="%3."/>
      <w:lvlJc w:val="left"/>
      <w:pPr>
        <w:ind w:left="270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DF2B12"/>
    <w:multiLevelType w:val="hybridMultilevel"/>
    <w:tmpl w:val="06F4FA2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C227A3D"/>
    <w:multiLevelType w:val="hybridMultilevel"/>
    <w:tmpl w:val="6DB89910"/>
    <w:lvl w:ilvl="0" w:tplc="8CE6D184">
      <w:start w:val="1"/>
      <w:numFmt w:val="lowerRoman"/>
      <w:lvlText w:val="%1."/>
      <w:lvlJc w:val="left"/>
      <w:pPr>
        <w:ind w:left="4320" w:hanging="18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 w15:restartNumberingAfterBreak="0">
    <w:nsid w:val="7D1619C5"/>
    <w:multiLevelType w:val="hybridMultilevel"/>
    <w:tmpl w:val="819CC43C"/>
    <w:lvl w:ilvl="0" w:tplc="941EE6DA">
      <w:start w:val="1"/>
      <w:numFmt w:val="lowerRoman"/>
      <w:lvlText w:val="%1."/>
      <w:lvlJc w:val="left"/>
      <w:pPr>
        <w:ind w:left="4320" w:hanging="18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8" w15:restartNumberingAfterBreak="0">
    <w:nsid w:val="7DB02DAE"/>
    <w:multiLevelType w:val="hybridMultilevel"/>
    <w:tmpl w:val="469E90BC"/>
    <w:lvl w:ilvl="0" w:tplc="0409001B">
      <w:start w:val="1"/>
      <w:numFmt w:val="lowerRoman"/>
      <w:lvlText w:val="%1."/>
      <w:lvlJc w:val="right"/>
      <w:pPr>
        <w:ind w:left="2880" w:hanging="360"/>
      </w:pPr>
    </w:lvl>
    <w:lvl w:ilvl="1" w:tplc="0409001B">
      <w:start w:val="1"/>
      <w:numFmt w:val="lowerRoman"/>
      <w:lvlText w:val="%2."/>
      <w:lvlJc w:val="righ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34"/>
  </w:num>
  <w:num w:numId="2">
    <w:abstractNumId w:val="13"/>
  </w:num>
  <w:num w:numId="3">
    <w:abstractNumId w:val="14"/>
  </w:num>
  <w:num w:numId="4">
    <w:abstractNumId w:val="23"/>
  </w:num>
  <w:num w:numId="5">
    <w:abstractNumId w:val="27"/>
  </w:num>
  <w:num w:numId="6">
    <w:abstractNumId w:val="12"/>
  </w:num>
  <w:num w:numId="7">
    <w:abstractNumId w:val="24"/>
  </w:num>
  <w:num w:numId="8">
    <w:abstractNumId w:val="4"/>
  </w:num>
  <w:num w:numId="9">
    <w:abstractNumId w:val="11"/>
  </w:num>
  <w:num w:numId="10">
    <w:abstractNumId w:val="16"/>
  </w:num>
  <w:num w:numId="11">
    <w:abstractNumId w:val="8"/>
  </w:num>
  <w:num w:numId="12">
    <w:abstractNumId w:val="9"/>
  </w:num>
  <w:num w:numId="13">
    <w:abstractNumId w:val="31"/>
  </w:num>
  <w:num w:numId="14">
    <w:abstractNumId w:val="19"/>
  </w:num>
  <w:num w:numId="15">
    <w:abstractNumId w:val="15"/>
  </w:num>
  <w:num w:numId="16">
    <w:abstractNumId w:val="33"/>
  </w:num>
  <w:num w:numId="17">
    <w:abstractNumId w:val="25"/>
  </w:num>
  <w:num w:numId="18">
    <w:abstractNumId w:val="28"/>
  </w:num>
  <w:num w:numId="19">
    <w:abstractNumId w:val="32"/>
  </w:num>
  <w:num w:numId="20">
    <w:abstractNumId w:val="36"/>
  </w:num>
  <w:num w:numId="21">
    <w:abstractNumId w:val="2"/>
  </w:num>
  <w:num w:numId="22">
    <w:abstractNumId w:val="18"/>
  </w:num>
  <w:num w:numId="23">
    <w:abstractNumId w:val="37"/>
  </w:num>
  <w:num w:numId="24">
    <w:abstractNumId w:val="29"/>
  </w:num>
  <w:num w:numId="25">
    <w:abstractNumId w:val="7"/>
  </w:num>
  <w:num w:numId="26">
    <w:abstractNumId w:val="17"/>
  </w:num>
  <w:num w:numId="27">
    <w:abstractNumId w:val="30"/>
  </w:num>
  <w:num w:numId="28">
    <w:abstractNumId w:val="1"/>
  </w:num>
  <w:num w:numId="29">
    <w:abstractNumId w:val="21"/>
  </w:num>
  <w:num w:numId="30">
    <w:abstractNumId w:val="3"/>
  </w:num>
  <w:num w:numId="31">
    <w:abstractNumId w:val="35"/>
  </w:num>
  <w:num w:numId="32">
    <w:abstractNumId w:val="6"/>
  </w:num>
  <w:num w:numId="33">
    <w:abstractNumId w:val="26"/>
  </w:num>
  <w:num w:numId="34">
    <w:abstractNumId w:val="38"/>
  </w:num>
  <w:num w:numId="35">
    <w:abstractNumId w:val="10"/>
  </w:num>
  <w:num w:numId="36">
    <w:abstractNumId w:val="0"/>
  </w:num>
  <w:num w:numId="37">
    <w:abstractNumId w:val="5"/>
  </w:num>
  <w:num w:numId="38">
    <w:abstractNumId w:val="2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F58"/>
    <w:rsid w:val="0000155D"/>
    <w:rsid w:val="0002320E"/>
    <w:rsid w:val="0004657F"/>
    <w:rsid w:val="0005465E"/>
    <w:rsid w:val="0005536B"/>
    <w:rsid w:val="00057F99"/>
    <w:rsid w:val="00071A0B"/>
    <w:rsid w:val="000931C3"/>
    <w:rsid w:val="000E2375"/>
    <w:rsid w:val="000E7F58"/>
    <w:rsid w:val="000F149B"/>
    <w:rsid w:val="000F7244"/>
    <w:rsid w:val="001053B0"/>
    <w:rsid w:val="001139F4"/>
    <w:rsid w:val="001152D2"/>
    <w:rsid w:val="00147CD2"/>
    <w:rsid w:val="00167B29"/>
    <w:rsid w:val="00174FCD"/>
    <w:rsid w:val="00177115"/>
    <w:rsid w:val="00195EDE"/>
    <w:rsid w:val="001B55C2"/>
    <w:rsid w:val="001C29A0"/>
    <w:rsid w:val="001C5694"/>
    <w:rsid w:val="001E0F09"/>
    <w:rsid w:val="001F119D"/>
    <w:rsid w:val="001F1F53"/>
    <w:rsid w:val="001F65FC"/>
    <w:rsid w:val="002162FF"/>
    <w:rsid w:val="00227B47"/>
    <w:rsid w:val="00244F7E"/>
    <w:rsid w:val="002B3AC1"/>
    <w:rsid w:val="002B6D87"/>
    <w:rsid w:val="002B7272"/>
    <w:rsid w:val="002C02DC"/>
    <w:rsid w:val="002E3A31"/>
    <w:rsid w:val="002E6184"/>
    <w:rsid w:val="002F59D2"/>
    <w:rsid w:val="00304F6A"/>
    <w:rsid w:val="00314F4E"/>
    <w:rsid w:val="00321138"/>
    <w:rsid w:val="0032589E"/>
    <w:rsid w:val="0035555F"/>
    <w:rsid w:val="00362BF1"/>
    <w:rsid w:val="00367AD5"/>
    <w:rsid w:val="0037470E"/>
    <w:rsid w:val="00377A8B"/>
    <w:rsid w:val="0039032B"/>
    <w:rsid w:val="003A4340"/>
    <w:rsid w:val="003C7113"/>
    <w:rsid w:val="003D427E"/>
    <w:rsid w:val="003F7A70"/>
    <w:rsid w:val="0040793A"/>
    <w:rsid w:val="004119AC"/>
    <w:rsid w:val="0042513A"/>
    <w:rsid w:val="00431E51"/>
    <w:rsid w:val="0043622F"/>
    <w:rsid w:val="004642B8"/>
    <w:rsid w:val="00496DDC"/>
    <w:rsid w:val="004A0FA6"/>
    <w:rsid w:val="004A3252"/>
    <w:rsid w:val="004D267D"/>
    <w:rsid w:val="004E7831"/>
    <w:rsid w:val="0052265E"/>
    <w:rsid w:val="00527942"/>
    <w:rsid w:val="00534343"/>
    <w:rsid w:val="00537231"/>
    <w:rsid w:val="00550D9B"/>
    <w:rsid w:val="00563D2C"/>
    <w:rsid w:val="0058588A"/>
    <w:rsid w:val="005D33E6"/>
    <w:rsid w:val="005E0D9D"/>
    <w:rsid w:val="005E3901"/>
    <w:rsid w:val="005F667A"/>
    <w:rsid w:val="005F6B99"/>
    <w:rsid w:val="00621E4F"/>
    <w:rsid w:val="00636212"/>
    <w:rsid w:val="006426BE"/>
    <w:rsid w:val="006636A4"/>
    <w:rsid w:val="0066423C"/>
    <w:rsid w:val="00667F42"/>
    <w:rsid w:val="00675E1E"/>
    <w:rsid w:val="00677D00"/>
    <w:rsid w:val="00686F27"/>
    <w:rsid w:val="006A04C9"/>
    <w:rsid w:val="006C524A"/>
    <w:rsid w:val="006E31F2"/>
    <w:rsid w:val="006F49BC"/>
    <w:rsid w:val="00702AF2"/>
    <w:rsid w:val="00705727"/>
    <w:rsid w:val="00720A60"/>
    <w:rsid w:val="00744B6E"/>
    <w:rsid w:val="007512D1"/>
    <w:rsid w:val="0075150E"/>
    <w:rsid w:val="0079121C"/>
    <w:rsid w:val="007961C3"/>
    <w:rsid w:val="007A03F4"/>
    <w:rsid w:val="007A0C30"/>
    <w:rsid w:val="007C2B3E"/>
    <w:rsid w:val="007D0AF7"/>
    <w:rsid w:val="007D5413"/>
    <w:rsid w:val="00803920"/>
    <w:rsid w:val="0081391D"/>
    <w:rsid w:val="00816FF8"/>
    <w:rsid w:val="008353E3"/>
    <w:rsid w:val="00835B38"/>
    <w:rsid w:val="00846EC2"/>
    <w:rsid w:val="00885F6E"/>
    <w:rsid w:val="0088698A"/>
    <w:rsid w:val="0089177F"/>
    <w:rsid w:val="008C6C30"/>
    <w:rsid w:val="008D40AA"/>
    <w:rsid w:val="008E476A"/>
    <w:rsid w:val="0090227B"/>
    <w:rsid w:val="0092733A"/>
    <w:rsid w:val="0093587F"/>
    <w:rsid w:val="009517F8"/>
    <w:rsid w:val="00961811"/>
    <w:rsid w:val="00985AF4"/>
    <w:rsid w:val="009A039D"/>
    <w:rsid w:val="009A3DC8"/>
    <w:rsid w:val="009A4781"/>
    <w:rsid w:val="009A693A"/>
    <w:rsid w:val="009B6042"/>
    <w:rsid w:val="009C6D2D"/>
    <w:rsid w:val="009D3627"/>
    <w:rsid w:val="009D4E79"/>
    <w:rsid w:val="009F39DA"/>
    <w:rsid w:val="009F73D3"/>
    <w:rsid w:val="009F76AA"/>
    <w:rsid w:val="00A07FF5"/>
    <w:rsid w:val="00A12BF4"/>
    <w:rsid w:val="00A804D1"/>
    <w:rsid w:val="00A80953"/>
    <w:rsid w:val="00A83075"/>
    <w:rsid w:val="00A84F5D"/>
    <w:rsid w:val="00A921F6"/>
    <w:rsid w:val="00A97FE3"/>
    <w:rsid w:val="00AA79C9"/>
    <w:rsid w:val="00AC1111"/>
    <w:rsid w:val="00AC1324"/>
    <w:rsid w:val="00AC3F19"/>
    <w:rsid w:val="00AE2E49"/>
    <w:rsid w:val="00AE3568"/>
    <w:rsid w:val="00AF3C62"/>
    <w:rsid w:val="00B03B5C"/>
    <w:rsid w:val="00B315CB"/>
    <w:rsid w:val="00B513F3"/>
    <w:rsid w:val="00B52985"/>
    <w:rsid w:val="00B67EFD"/>
    <w:rsid w:val="00B75EB8"/>
    <w:rsid w:val="00B940DB"/>
    <w:rsid w:val="00BA0A02"/>
    <w:rsid w:val="00BA22F6"/>
    <w:rsid w:val="00BB483B"/>
    <w:rsid w:val="00BC19CE"/>
    <w:rsid w:val="00BD7018"/>
    <w:rsid w:val="00BE3E17"/>
    <w:rsid w:val="00BE7493"/>
    <w:rsid w:val="00BF5BA8"/>
    <w:rsid w:val="00C034D8"/>
    <w:rsid w:val="00C041F6"/>
    <w:rsid w:val="00C044D2"/>
    <w:rsid w:val="00C10E26"/>
    <w:rsid w:val="00C21D35"/>
    <w:rsid w:val="00C315CC"/>
    <w:rsid w:val="00C614B6"/>
    <w:rsid w:val="00C618CD"/>
    <w:rsid w:val="00C754DE"/>
    <w:rsid w:val="00C77A2D"/>
    <w:rsid w:val="00C812A1"/>
    <w:rsid w:val="00CB1906"/>
    <w:rsid w:val="00CB7589"/>
    <w:rsid w:val="00D05AC4"/>
    <w:rsid w:val="00D16BEF"/>
    <w:rsid w:val="00D2000E"/>
    <w:rsid w:val="00D261D6"/>
    <w:rsid w:val="00D26954"/>
    <w:rsid w:val="00D27DD9"/>
    <w:rsid w:val="00D33175"/>
    <w:rsid w:val="00D7763E"/>
    <w:rsid w:val="00D95346"/>
    <w:rsid w:val="00DA0740"/>
    <w:rsid w:val="00DE7E93"/>
    <w:rsid w:val="00DF0A65"/>
    <w:rsid w:val="00E05E0D"/>
    <w:rsid w:val="00E14151"/>
    <w:rsid w:val="00E20656"/>
    <w:rsid w:val="00E568EF"/>
    <w:rsid w:val="00E70FA3"/>
    <w:rsid w:val="00E767F9"/>
    <w:rsid w:val="00E97224"/>
    <w:rsid w:val="00E979AF"/>
    <w:rsid w:val="00EB647F"/>
    <w:rsid w:val="00EC0B1B"/>
    <w:rsid w:val="00EE1667"/>
    <w:rsid w:val="00EE43CC"/>
    <w:rsid w:val="00EF0522"/>
    <w:rsid w:val="00EF6A86"/>
    <w:rsid w:val="00EF7520"/>
    <w:rsid w:val="00F02622"/>
    <w:rsid w:val="00F03F9E"/>
    <w:rsid w:val="00F1686E"/>
    <w:rsid w:val="00F228A0"/>
    <w:rsid w:val="00F515B1"/>
    <w:rsid w:val="00F552E0"/>
    <w:rsid w:val="00F64CC1"/>
    <w:rsid w:val="00F654A1"/>
    <w:rsid w:val="00F67ED6"/>
    <w:rsid w:val="00F73B1A"/>
    <w:rsid w:val="00FC26E3"/>
    <w:rsid w:val="00FC6D61"/>
    <w:rsid w:val="00FD6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8CC023"/>
  <w15:docId w15:val="{B3383F9F-A3A6-432B-A4D4-57E63ACE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1D6"/>
    <w:rPr>
      <w:sz w:val="24"/>
      <w:szCs w:val="24"/>
    </w:rPr>
  </w:style>
  <w:style w:type="paragraph" w:styleId="Heading1">
    <w:name w:val="heading 1"/>
    <w:basedOn w:val="Normal"/>
    <w:next w:val="Normal"/>
    <w:qFormat/>
    <w:rsid w:val="00177115"/>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84F5D"/>
    <w:rPr>
      <w:color w:val="0000FF"/>
      <w:u w:val="single"/>
    </w:rPr>
  </w:style>
  <w:style w:type="paragraph" w:styleId="FootnoteText">
    <w:name w:val="footnote text"/>
    <w:basedOn w:val="Normal"/>
    <w:semiHidden/>
    <w:rsid w:val="00AE3568"/>
    <w:rPr>
      <w:rFonts w:ascii="Garamond" w:hAnsi="Garamond"/>
      <w:sz w:val="20"/>
      <w:szCs w:val="20"/>
    </w:rPr>
  </w:style>
  <w:style w:type="character" w:customStyle="1" w:styleId="documentbody1">
    <w:name w:val="documentbody1"/>
    <w:basedOn w:val="DefaultParagraphFont"/>
    <w:rsid w:val="00BF5BA8"/>
    <w:rPr>
      <w:rFonts w:ascii="Verdana" w:hAnsi="Verdana" w:hint="default"/>
      <w:sz w:val="19"/>
      <w:szCs w:val="19"/>
      <w:shd w:val="clear" w:color="auto" w:fill="FFFFFF"/>
    </w:rPr>
  </w:style>
  <w:style w:type="paragraph" w:styleId="BalloonText">
    <w:name w:val="Balloon Text"/>
    <w:basedOn w:val="Normal"/>
    <w:semiHidden/>
    <w:rsid w:val="00A83075"/>
    <w:rPr>
      <w:rFonts w:ascii="Tahoma" w:hAnsi="Tahoma" w:cs="Tahoma"/>
      <w:sz w:val="16"/>
      <w:szCs w:val="16"/>
    </w:rPr>
  </w:style>
  <w:style w:type="paragraph" w:styleId="ListParagraph">
    <w:name w:val="List Paragraph"/>
    <w:basedOn w:val="Normal"/>
    <w:uiPriority w:val="34"/>
    <w:qFormat/>
    <w:rsid w:val="00835B38"/>
    <w:pPr>
      <w:ind w:left="720"/>
    </w:pPr>
    <w:rPr>
      <w:rFonts w:ascii="Calibri" w:eastAsiaTheme="minorHAnsi" w:hAnsi="Calibri" w:cs="Calibri"/>
      <w:sz w:val="22"/>
      <w:szCs w:val="22"/>
    </w:rPr>
  </w:style>
  <w:style w:type="character" w:styleId="Emphasis">
    <w:name w:val="Emphasis"/>
    <w:basedOn w:val="DefaultParagraphFont"/>
    <w:uiPriority w:val="20"/>
    <w:qFormat/>
    <w:rsid w:val="0037470E"/>
    <w:rPr>
      <w:i/>
      <w:iCs/>
    </w:rPr>
  </w:style>
  <w:style w:type="paragraph" w:customStyle="1" w:styleId="Default">
    <w:name w:val="Default"/>
    <w:rsid w:val="00362BF1"/>
    <w:pPr>
      <w:autoSpaceDE w:val="0"/>
      <w:autoSpaceDN w:val="0"/>
      <w:adjustRightInd w:val="0"/>
    </w:pPr>
    <w:rPr>
      <w:color w:val="000000"/>
      <w:sz w:val="24"/>
      <w:szCs w:val="24"/>
    </w:rPr>
  </w:style>
  <w:style w:type="character" w:styleId="FollowedHyperlink">
    <w:name w:val="FollowedHyperlink"/>
    <w:basedOn w:val="DefaultParagraphFont"/>
    <w:semiHidden/>
    <w:unhideWhenUsed/>
    <w:rsid w:val="0005465E"/>
    <w:rPr>
      <w:color w:val="800080" w:themeColor="followedHyperlink"/>
      <w:u w:val="single"/>
    </w:rPr>
  </w:style>
  <w:style w:type="paragraph" w:styleId="PlainText">
    <w:name w:val="Plain Text"/>
    <w:basedOn w:val="Normal"/>
    <w:link w:val="PlainTextChar"/>
    <w:uiPriority w:val="99"/>
    <w:semiHidden/>
    <w:unhideWhenUsed/>
    <w:rsid w:val="0000155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0155D"/>
    <w:rPr>
      <w:rFonts w:ascii="Calibri" w:eastAsiaTheme="minorHAnsi" w:hAnsi="Calibri" w:cstheme="minorBidi"/>
      <w:sz w:val="22"/>
      <w:szCs w:val="21"/>
    </w:rPr>
  </w:style>
  <w:style w:type="paragraph" w:styleId="NormalWeb">
    <w:name w:val="Normal (Web)"/>
    <w:basedOn w:val="Normal"/>
    <w:uiPriority w:val="99"/>
    <w:semiHidden/>
    <w:unhideWhenUsed/>
    <w:rsid w:val="00431E51"/>
    <w:rPr>
      <w:rFonts w:eastAsiaTheme="minorHAnsi"/>
    </w:rPr>
  </w:style>
  <w:style w:type="character" w:styleId="CommentReference">
    <w:name w:val="annotation reference"/>
    <w:basedOn w:val="DefaultParagraphFont"/>
    <w:semiHidden/>
    <w:unhideWhenUsed/>
    <w:rsid w:val="00EC0B1B"/>
    <w:rPr>
      <w:sz w:val="18"/>
      <w:szCs w:val="18"/>
    </w:rPr>
  </w:style>
  <w:style w:type="paragraph" w:styleId="CommentText">
    <w:name w:val="annotation text"/>
    <w:basedOn w:val="Normal"/>
    <w:link w:val="CommentTextChar"/>
    <w:semiHidden/>
    <w:unhideWhenUsed/>
    <w:rsid w:val="00EC0B1B"/>
  </w:style>
  <w:style w:type="character" w:customStyle="1" w:styleId="CommentTextChar">
    <w:name w:val="Comment Text Char"/>
    <w:basedOn w:val="DefaultParagraphFont"/>
    <w:link w:val="CommentText"/>
    <w:semiHidden/>
    <w:rsid w:val="00EC0B1B"/>
    <w:rPr>
      <w:sz w:val="24"/>
      <w:szCs w:val="24"/>
    </w:rPr>
  </w:style>
  <w:style w:type="paragraph" w:styleId="CommentSubject">
    <w:name w:val="annotation subject"/>
    <w:basedOn w:val="CommentText"/>
    <w:next w:val="CommentText"/>
    <w:link w:val="CommentSubjectChar"/>
    <w:semiHidden/>
    <w:unhideWhenUsed/>
    <w:rsid w:val="00EC0B1B"/>
    <w:rPr>
      <w:b/>
      <w:bCs/>
      <w:sz w:val="20"/>
      <w:szCs w:val="20"/>
    </w:rPr>
  </w:style>
  <w:style w:type="character" w:customStyle="1" w:styleId="CommentSubjectChar">
    <w:name w:val="Comment Subject Char"/>
    <w:basedOn w:val="CommentTextChar"/>
    <w:link w:val="CommentSubject"/>
    <w:semiHidden/>
    <w:rsid w:val="00EC0B1B"/>
    <w:rPr>
      <w:b/>
      <w:bCs/>
      <w:sz w:val="24"/>
      <w:szCs w:val="24"/>
    </w:rPr>
  </w:style>
  <w:style w:type="character" w:customStyle="1" w:styleId="UnresolvedMention">
    <w:name w:val="Unresolved Mention"/>
    <w:basedOn w:val="DefaultParagraphFont"/>
    <w:uiPriority w:val="99"/>
    <w:semiHidden/>
    <w:unhideWhenUsed/>
    <w:rsid w:val="00057F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02191">
      <w:bodyDiv w:val="1"/>
      <w:marLeft w:val="0"/>
      <w:marRight w:val="0"/>
      <w:marTop w:val="0"/>
      <w:marBottom w:val="0"/>
      <w:divBdr>
        <w:top w:val="none" w:sz="0" w:space="0" w:color="auto"/>
        <w:left w:val="none" w:sz="0" w:space="0" w:color="auto"/>
        <w:bottom w:val="none" w:sz="0" w:space="0" w:color="auto"/>
        <w:right w:val="none" w:sz="0" w:space="0" w:color="auto"/>
      </w:divBdr>
    </w:div>
    <w:div w:id="137696406">
      <w:bodyDiv w:val="1"/>
      <w:marLeft w:val="0"/>
      <w:marRight w:val="0"/>
      <w:marTop w:val="0"/>
      <w:marBottom w:val="0"/>
      <w:divBdr>
        <w:top w:val="none" w:sz="0" w:space="0" w:color="auto"/>
        <w:left w:val="none" w:sz="0" w:space="0" w:color="auto"/>
        <w:bottom w:val="none" w:sz="0" w:space="0" w:color="auto"/>
        <w:right w:val="none" w:sz="0" w:space="0" w:color="auto"/>
      </w:divBdr>
    </w:div>
    <w:div w:id="179705761">
      <w:bodyDiv w:val="1"/>
      <w:marLeft w:val="0"/>
      <w:marRight w:val="0"/>
      <w:marTop w:val="0"/>
      <w:marBottom w:val="0"/>
      <w:divBdr>
        <w:top w:val="none" w:sz="0" w:space="0" w:color="auto"/>
        <w:left w:val="none" w:sz="0" w:space="0" w:color="auto"/>
        <w:bottom w:val="none" w:sz="0" w:space="0" w:color="auto"/>
        <w:right w:val="none" w:sz="0" w:space="0" w:color="auto"/>
      </w:divBdr>
    </w:div>
    <w:div w:id="528639925">
      <w:bodyDiv w:val="1"/>
      <w:marLeft w:val="0"/>
      <w:marRight w:val="0"/>
      <w:marTop w:val="0"/>
      <w:marBottom w:val="0"/>
      <w:divBdr>
        <w:top w:val="none" w:sz="0" w:space="0" w:color="auto"/>
        <w:left w:val="none" w:sz="0" w:space="0" w:color="auto"/>
        <w:bottom w:val="none" w:sz="0" w:space="0" w:color="auto"/>
        <w:right w:val="none" w:sz="0" w:space="0" w:color="auto"/>
      </w:divBdr>
    </w:div>
    <w:div w:id="611128960">
      <w:bodyDiv w:val="1"/>
      <w:marLeft w:val="0"/>
      <w:marRight w:val="0"/>
      <w:marTop w:val="0"/>
      <w:marBottom w:val="0"/>
      <w:divBdr>
        <w:top w:val="none" w:sz="0" w:space="0" w:color="auto"/>
        <w:left w:val="none" w:sz="0" w:space="0" w:color="auto"/>
        <w:bottom w:val="none" w:sz="0" w:space="0" w:color="auto"/>
        <w:right w:val="none" w:sz="0" w:space="0" w:color="auto"/>
      </w:divBdr>
    </w:div>
    <w:div w:id="615136895">
      <w:bodyDiv w:val="1"/>
      <w:marLeft w:val="0"/>
      <w:marRight w:val="0"/>
      <w:marTop w:val="0"/>
      <w:marBottom w:val="0"/>
      <w:divBdr>
        <w:top w:val="none" w:sz="0" w:space="0" w:color="auto"/>
        <w:left w:val="none" w:sz="0" w:space="0" w:color="auto"/>
        <w:bottom w:val="none" w:sz="0" w:space="0" w:color="auto"/>
        <w:right w:val="none" w:sz="0" w:space="0" w:color="auto"/>
      </w:divBdr>
    </w:div>
    <w:div w:id="726882778">
      <w:bodyDiv w:val="1"/>
      <w:marLeft w:val="0"/>
      <w:marRight w:val="0"/>
      <w:marTop w:val="0"/>
      <w:marBottom w:val="0"/>
      <w:divBdr>
        <w:top w:val="none" w:sz="0" w:space="0" w:color="auto"/>
        <w:left w:val="none" w:sz="0" w:space="0" w:color="auto"/>
        <w:bottom w:val="none" w:sz="0" w:space="0" w:color="auto"/>
        <w:right w:val="none" w:sz="0" w:space="0" w:color="auto"/>
      </w:divBdr>
    </w:div>
    <w:div w:id="792137414">
      <w:bodyDiv w:val="1"/>
      <w:marLeft w:val="0"/>
      <w:marRight w:val="0"/>
      <w:marTop w:val="0"/>
      <w:marBottom w:val="0"/>
      <w:divBdr>
        <w:top w:val="none" w:sz="0" w:space="0" w:color="auto"/>
        <w:left w:val="none" w:sz="0" w:space="0" w:color="auto"/>
        <w:bottom w:val="none" w:sz="0" w:space="0" w:color="auto"/>
        <w:right w:val="none" w:sz="0" w:space="0" w:color="auto"/>
      </w:divBdr>
    </w:div>
    <w:div w:id="939752896">
      <w:bodyDiv w:val="1"/>
      <w:marLeft w:val="0"/>
      <w:marRight w:val="0"/>
      <w:marTop w:val="0"/>
      <w:marBottom w:val="0"/>
      <w:divBdr>
        <w:top w:val="none" w:sz="0" w:space="0" w:color="auto"/>
        <w:left w:val="none" w:sz="0" w:space="0" w:color="auto"/>
        <w:bottom w:val="none" w:sz="0" w:space="0" w:color="auto"/>
        <w:right w:val="none" w:sz="0" w:space="0" w:color="auto"/>
      </w:divBdr>
    </w:div>
    <w:div w:id="1423603554">
      <w:bodyDiv w:val="1"/>
      <w:marLeft w:val="0"/>
      <w:marRight w:val="0"/>
      <w:marTop w:val="0"/>
      <w:marBottom w:val="0"/>
      <w:divBdr>
        <w:top w:val="none" w:sz="0" w:space="0" w:color="auto"/>
        <w:left w:val="none" w:sz="0" w:space="0" w:color="auto"/>
        <w:bottom w:val="none" w:sz="0" w:space="0" w:color="auto"/>
        <w:right w:val="none" w:sz="0" w:space="0" w:color="auto"/>
      </w:divBdr>
    </w:div>
    <w:div w:id="1763256455">
      <w:bodyDiv w:val="1"/>
      <w:marLeft w:val="0"/>
      <w:marRight w:val="0"/>
      <w:marTop w:val="0"/>
      <w:marBottom w:val="0"/>
      <w:divBdr>
        <w:top w:val="none" w:sz="0" w:space="0" w:color="auto"/>
        <w:left w:val="none" w:sz="0" w:space="0" w:color="auto"/>
        <w:bottom w:val="none" w:sz="0" w:space="0" w:color="auto"/>
        <w:right w:val="none" w:sz="0" w:space="0" w:color="auto"/>
      </w:divBdr>
    </w:div>
    <w:div w:id="2054380301">
      <w:bodyDiv w:val="1"/>
      <w:marLeft w:val="0"/>
      <w:marRight w:val="0"/>
      <w:marTop w:val="0"/>
      <w:marBottom w:val="0"/>
      <w:divBdr>
        <w:top w:val="none" w:sz="0" w:space="0" w:color="auto"/>
        <w:left w:val="none" w:sz="0" w:space="0" w:color="auto"/>
        <w:bottom w:val="none" w:sz="0" w:space="0" w:color="auto"/>
        <w:right w:val="none" w:sz="0" w:space="0" w:color="auto"/>
      </w:divBdr>
    </w:div>
    <w:div w:id="209952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o.ufl.edu/students.php" TargetMode="External"/><Relationship Id="rId13" Type="http://schemas.openxmlformats.org/officeDocument/2006/relationships/hyperlink" Target="http://www.dso.ufl.edu/students.php" TargetMode="External"/><Relationship Id="rId18" Type="http://schemas.openxmlformats.org/officeDocument/2006/relationships/hyperlink" Target="http://www.dso.ufl.edu/students.php" TargetMode="External"/><Relationship Id="rId26" Type="http://schemas.openxmlformats.org/officeDocument/2006/relationships/hyperlink" Target="http://www.acq.osd.mil/dsb/reports/CyberCloud.pdf" TargetMode="External"/><Relationship Id="rId3" Type="http://schemas.openxmlformats.org/officeDocument/2006/relationships/styles" Target="styles.xml"/><Relationship Id="rId21" Type="http://schemas.openxmlformats.org/officeDocument/2006/relationships/hyperlink" Target="http://www.aa.ufl.edu/Data/Sites/18/media/policies/syllabus-policy-current.pdf" TargetMode="External"/><Relationship Id="rId7" Type="http://schemas.openxmlformats.org/officeDocument/2006/relationships/hyperlink" Target="http://www.dso.ufl.edu/students.php" TargetMode="External"/><Relationship Id="rId12" Type="http://schemas.openxmlformats.org/officeDocument/2006/relationships/hyperlink" Target="http://www.dso.ufl.edu/students.php" TargetMode="External"/><Relationship Id="rId17" Type="http://schemas.openxmlformats.org/officeDocument/2006/relationships/hyperlink" Target="http://www.dso.ufl.edu/students.php" TargetMode="External"/><Relationship Id="rId25" Type="http://schemas.openxmlformats.org/officeDocument/2006/relationships/hyperlink" Target="https://www.teachprivacy.com/types-incidents-data-breach-hipaa-healthcareata-breaches/" TargetMode="External"/><Relationship Id="rId2" Type="http://schemas.openxmlformats.org/officeDocument/2006/relationships/numbering" Target="numbering.xml"/><Relationship Id="rId16" Type="http://schemas.openxmlformats.org/officeDocument/2006/relationships/hyperlink" Target="http://www.dso.ufl.edu/students.php" TargetMode="External"/><Relationship Id="rId20" Type="http://schemas.openxmlformats.org/officeDocument/2006/relationships/hyperlink" Target="https://www.law.cornell.edu/uscode/text/47/23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dso.ufl.edu/students.php" TargetMode="External"/><Relationship Id="rId11" Type="http://schemas.openxmlformats.org/officeDocument/2006/relationships/hyperlink" Target="http://www.dso.ufl.edu/students.php" TargetMode="External"/><Relationship Id="rId24" Type="http://schemas.openxmlformats.org/officeDocument/2006/relationships/hyperlink" Target="mailto:accessuf@dso.ufl.edu" TargetMode="External"/><Relationship Id="rId5" Type="http://schemas.openxmlformats.org/officeDocument/2006/relationships/webSettings" Target="webSettings.xml"/><Relationship Id="rId15" Type="http://schemas.openxmlformats.org/officeDocument/2006/relationships/hyperlink" Target="http://www.dso.ufl.edu/students.php" TargetMode="External"/><Relationship Id="rId23" Type="http://schemas.openxmlformats.org/officeDocument/2006/relationships/hyperlink" Target="https://www.dso.ufl.edu/drc/faculty/resources-for-instructors" TargetMode="External"/><Relationship Id="rId28" Type="http://schemas.openxmlformats.org/officeDocument/2006/relationships/fontTable" Target="fontTable.xml"/><Relationship Id="rId10" Type="http://schemas.openxmlformats.org/officeDocument/2006/relationships/hyperlink" Target="http://www.dso.ufl.edu/students.php" TargetMode="External"/><Relationship Id="rId19" Type="http://schemas.openxmlformats.org/officeDocument/2006/relationships/hyperlink" Target="https://1.next.westlaw.com/Document/Ia11cb135441611e698dc8b09b4f043e0/View/FullText.html?listSource=Search&amp;navigationPath=Search%2fv3%2fsearch%2fresults%2fnavigation%2fi0ad62af00000015a432b35690b0573dc%3fNav%3dANALYTICAL%26fragmentIdentifier%3dIa11cb135441611e698dc8b09b4f043e0%26startIndex%3d1%26contextData%3d%2528sc.Search%2529%26transitionType%3dSearchItem&amp;list=ANALYTICAL&amp;rank=1&amp;listPageSource=a1266783a0edc0be96c8998e0af8e262&amp;originationContext=docHeader&amp;contextData=(sc.Search)&amp;transitionType=Document&amp;needToInjectTerms=False&amp;enableBestPortion=True&amp;docSource=cba9e277e8194b3e8ce28f2108f2929c" TargetMode="External"/><Relationship Id="rId4" Type="http://schemas.openxmlformats.org/officeDocument/2006/relationships/settings" Target="settings.xml"/><Relationship Id="rId9" Type="http://schemas.openxmlformats.org/officeDocument/2006/relationships/hyperlink" Target="http://www.dso.ufl.edu/students.php" TargetMode="External"/><Relationship Id="rId14" Type="http://schemas.openxmlformats.org/officeDocument/2006/relationships/hyperlink" Target="http://www.dso.ufl.edu/students.php" TargetMode="External"/><Relationship Id="rId22" Type="http://schemas.openxmlformats.org/officeDocument/2006/relationships/hyperlink" Target="http://www.dso.ufl.edu/drc/" TargetMode="External"/><Relationship Id="rId27" Type="http://schemas.openxmlformats.org/officeDocument/2006/relationships/hyperlink" Target="https://cyber.law.harvard.edu/pubrelease/dont-panic/Dont_Panic_Making_Progress_on_Going_Dark_Deb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AF3AC-93DF-45D2-B62B-A0D700F27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1915</Words>
  <Characters>14987</Characters>
  <Application>Microsoft Office Word</Application>
  <DocSecurity>4</DocSecurity>
  <Lines>124</Lines>
  <Paragraphs>33</Paragraphs>
  <ScaleCrop>false</ScaleCrop>
  <HeadingPairs>
    <vt:vector size="2" baseType="variant">
      <vt:variant>
        <vt:lpstr>Title</vt:lpstr>
      </vt:variant>
      <vt:variant>
        <vt:i4>1</vt:i4>
      </vt:variant>
    </vt:vector>
  </HeadingPairs>
  <TitlesOfParts>
    <vt:vector size="1" baseType="lpstr">
      <vt:lpstr>Privacy Seminar</vt:lpstr>
    </vt:vector>
  </TitlesOfParts>
  <Company>JKP</Company>
  <LinksUpToDate>false</LinksUpToDate>
  <CharactersWithSpaces>16869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Seminar</dc:title>
  <dc:creator>JKP</dc:creator>
  <cp:lastModifiedBy>Fields,Krista</cp:lastModifiedBy>
  <cp:revision>2</cp:revision>
  <cp:lastPrinted>2016-02-01T16:02:00Z</cp:lastPrinted>
  <dcterms:created xsi:type="dcterms:W3CDTF">2017-12-20T14:26:00Z</dcterms:created>
  <dcterms:modified xsi:type="dcterms:W3CDTF">2017-12-20T14:26:00Z</dcterms:modified>
</cp:coreProperties>
</file>