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47" w:rsidRPr="006F33C0" w:rsidRDefault="00CA3947" w:rsidP="00320A91">
      <w:pPr>
        <w:rPr>
          <w:rFonts w:ascii="Garamond" w:hAnsi="Garamond"/>
          <w:sz w:val="24"/>
          <w:szCs w:val="24"/>
          <w:u w:val="single"/>
        </w:rPr>
      </w:pPr>
      <w:bookmarkStart w:id="0" w:name="_GoBack"/>
      <w:bookmarkEnd w:id="0"/>
      <w:r w:rsidRPr="00C51CC8">
        <w:rPr>
          <w:rFonts w:ascii="Garamond" w:hAnsi="Garamond"/>
          <w:b/>
          <w:smallCaps/>
          <w:sz w:val="28"/>
          <w:szCs w:val="28"/>
          <w:u w:val="single"/>
        </w:rPr>
        <w:t>Civil Procedure</w:t>
      </w:r>
      <w:r w:rsidR="001C585B" w:rsidRPr="006F33C0">
        <w:rPr>
          <w:rFonts w:ascii="Garamond" w:hAnsi="Garamond"/>
          <w:b/>
          <w:smallCaps/>
          <w:sz w:val="24"/>
          <w:szCs w:val="24"/>
          <w:u w:val="single"/>
        </w:rPr>
        <w:t xml:space="preserve"> </w:t>
      </w:r>
      <w:r w:rsidR="00C51CC8">
        <w:rPr>
          <w:rFonts w:ascii="Garamond" w:hAnsi="Garamond"/>
          <w:b/>
          <w:smallCaps/>
          <w:sz w:val="24"/>
          <w:szCs w:val="24"/>
          <w:u w:val="single"/>
        </w:rPr>
        <w:t xml:space="preserve">  </w:t>
      </w:r>
      <w:r w:rsidR="001C585B" w:rsidRPr="006F33C0">
        <w:rPr>
          <w:rFonts w:ascii="Garamond" w:hAnsi="Garamond"/>
          <w:smallCaps/>
          <w:sz w:val="24"/>
          <w:szCs w:val="24"/>
          <w:u w:val="single"/>
        </w:rPr>
        <w:t xml:space="preserve">§ </w:t>
      </w:r>
      <w:r w:rsidR="00320A91" w:rsidRPr="006F33C0">
        <w:rPr>
          <w:rFonts w:ascii="Garamond" w:hAnsi="Garamond"/>
          <w:smallCaps/>
          <w:sz w:val="24"/>
          <w:szCs w:val="24"/>
          <w:u w:val="single"/>
        </w:rPr>
        <w:t>3</w:t>
      </w:r>
      <w:r w:rsidR="00C51CC8">
        <w:rPr>
          <w:rFonts w:ascii="Garamond" w:hAnsi="Garamond"/>
          <w:smallCaps/>
          <w:sz w:val="24"/>
          <w:szCs w:val="24"/>
          <w:u w:val="single"/>
        </w:rPr>
        <w:t xml:space="preserve">  </w:t>
      </w:r>
      <w:r w:rsidR="0091455F">
        <w:rPr>
          <w:rFonts w:ascii="Garamond" w:hAnsi="Garamond"/>
          <w:smallCaps/>
          <w:sz w:val="24"/>
          <w:szCs w:val="24"/>
          <w:u w:val="single"/>
        </w:rPr>
        <w:t xml:space="preserve"> </w:t>
      </w:r>
      <w:r w:rsidR="0091455F" w:rsidRPr="006F33C0">
        <w:rPr>
          <w:rFonts w:ascii="Garamond" w:hAnsi="Garamond"/>
          <w:b/>
          <w:sz w:val="24"/>
          <w:szCs w:val="24"/>
          <w:u w:val="single"/>
        </w:rPr>
        <w:t>Spring 2018</w:t>
      </w:r>
    </w:p>
    <w:p w:rsidR="0091455F" w:rsidRPr="0091455F" w:rsidRDefault="0091455F" w:rsidP="00292532">
      <w:pPr>
        <w:spacing w:before="40"/>
        <w:jc w:val="both"/>
        <w:rPr>
          <w:rFonts w:ascii="Garamond" w:hAnsi="Garamond"/>
          <w:smallCaps/>
          <w:sz w:val="24"/>
          <w:szCs w:val="24"/>
        </w:rPr>
      </w:pPr>
      <w:r w:rsidRPr="0091455F">
        <w:rPr>
          <w:rFonts w:ascii="Garamond" w:hAnsi="Garamond"/>
          <w:sz w:val="24"/>
          <w:szCs w:val="24"/>
        </w:rPr>
        <w:t>Law</w:t>
      </w:r>
      <w:r w:rsidRPr="0091455F">
        <w:rPr>
          <w:rFonts w:ascii="Garamond" w:hAnsi="Garamond"/>
          <w:smallCaps/>
          <w:sz w:val="24"/>
          <w:szCs w:val="24"/>
        </w:rPr>
        <w:t xml:space="preserve"> 5301, §1303, 4</w:t>
      </w:r>
      <w:r w:rsidRPr="0091455F">
        <w:rPr>
          <w:rFonts w:ascii="Garamond" w:hAnsi="Garamond"/>
          <w:sz w:val="24"/>
          <w:szCs w:val="24"/>
        </w:rPr>
        <w:t xml:space="preserve"> credits</w:t>
      </w:r>
    </w:p>
    <w:p w:rsidR="0091455F" w:rsidRPr="0091455F" w:rsidRDefault="0091455F" w:rsidP="00292532">
      <w:pPr>
        <w:spacing w:before="40"/>
        <w:jc w:val="both"/>
        <w:rPr>
          <w:rFonts w:ascii="Garamond" w:hAnsi="Garamond"/>
          <w:sz w:val="24"/>
          <w:szCs w:val="24"/>
        </w:rPr>
      </w:pPr>
      <w:r w:rsidRPr="0091455F">
        <w:rPr>
          <w:rFonts w:ascii="Garamond" w:hAnsi="Garamond"/>
          <w:sz w:val="24"/>
          <w:szCs w:val="24"/>
        </w:rPr>
        <w:t>Room 285B MTW 9:30 AM</w:t>
      </w:r>
    </w:p>
    <w:p w:rsidR="0091455F" w:rsidRPr="0091455F" w:rsidRDefault="0091455F" w:rsidP="0091455F">
      <w:pPr>
        <w:spacing w:before="120"/>
        <w:jc w:val="both"/>
        <w:rPr>
          <w:rFonts w:ascii="Garamond" w:hAnsi="Garamond"/>
          <w:b/>
          <w:sz w:val="24"/>
          <w:szCs w:val="24"/>
        </w:rPr>
      </w:pPr>
      <w:r w:rsidRPr="0091455F">
        <w:rPr>
          <w:rFonts w:ascii="Garamond" w:hAnsi="Garamond"/>
          <w:b/>
          <w:sz w:val="24"/>
          <w:szCs w:val="24"/>
        </w:rPr>
        <w:t xml:space="preserve">Professor Page </w:t>
      </w:r>
    </w:p>
    <w:p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Office hours:  </w:t>
      </w:r>
      <w:r w:rsidR="0091455F">
        <w:rPr>
          <w:rFonts w:ascii="Garamond" w:hAnsi="Garamond"/>
          <w:sz w:val="24"/>
          <w:szCs w:val="24"/>
        </w:rPr>
        <w:t>R</w:t>
      </w:r>
      <w:r w:rsidR="0091455F" w:rsidRPr="006F33C0">
        <w:rPr>
          <w:rFonts w:ascii="Garamond" w:hAnsi="Garamond"/>
          <w:sz w:val="24"/>
          <w:szCs w:val="24"/>
        </w:rPr>
        <w:t>oom 312D</w:t>
      </w:r>
      <w:r w:rsidR="0091455F">
        <w:rPr>
          <w:rFonts w:ascii="Garamond" w:hAnsi="Garamond"/>
          <w:sz w:val="24"/>
          <w:szCs w:val="24"/>
        </w:rPr>
        <w:t>,</w:t>
      </w:r>
      <w:r w:rsidR="0091455F" w:rsidRPr="006F33C0">
        <w:rPr>
          <w:rFonts w:ascii="Garamond" w:hAnsi="Garamond"/>
          <w:sz w:val="24"/>
          <w:szCs w:val="24"/>
        </w:rPr>
        <w:t xml:space="preserve"> </w:t>
      </w:r>
      <w:r w:rsidR="00320A91" w:rsidRPr="006F33C0">
        <w:rPr>
          <w:rFonts w:ascii="Garamond" w:hAnsi="Garamond"/>
          <w:sz w:val="24"/>
          <w:szCs w:val="24"/>
        </w:rPr>
        <w:t xml:space="preserve">after class, </w:t>
      </w:r>
      <w:r w:rsidR="00292532" w:rsidRPr="006F33C0">
        <w:rPr>
          <w:rFonts w:ascii="Garamond" w:hAnsi="Garamond"/>
          <w:sz w:val="24"/>
          <w:szCs w:val="24"/>
        </w:rPr>
        <w:t xml:space="preserve">all day </w:t>
      </w:r>
      <w:r w:rsidR="00320A91" w:rsidRPr="006F33C0">
        <w:rPr>
          <w:rFonts w:ascii="Garamond" w:hAnsi="Garamond"/>
          <w:sz w:val="24"/>
          <w:szCs w:val="24"/>
        </w:rPr>
        <w:t>Thursday</w:t>
      </w:r>
      <w:r w:rsidR="00292532" w:rsidRPr="006F33C0">
        <w:rPr>
          <w:rFonts w:ascii="Garamond" w:hAnsi="Garamond"/>
          <w:sz w:val="24"/>
          <w:szCs w:val="24"/>
        </w:rPr>
        <w:t xml:space="preserve"> (usually)</w:t>
      </w:r>
      <w:r w:rsidR="00C3047A" w:rsidRPr="006F33C0">
        <w:rPr>
          <w:rFonts w:ascii="Garamond" w:hAnsi="Garamond"/>
          <w:sz w:val="24"/>
          <w:szCs w:val="24"/>
        </w:rPr>
        <w:t xml:space="preserve">, </w:t>
      </w:r>
      <w:r w:rsidRPr="006F33C0">
        <w:rPr>
          <w:rFonts w:ascii="Garamond" w:hAnsi="Garamond"/>
          <w:sz w:val="24"/>
          <w:szCs w:val="24"/>
        </w:rPr>
        <w:t>or by appointment.</w:t>
      </w:r>
      <w:r w:rsidR="00292532" w:rsidRPr="006F33C0">
        <w:rPr>
          <w:rFonts w:ascii="Garamond" w:hAnsi="Garamond"/>
          <w:sz w:val="24"/>
          <w:szCs w:val="24"/>
        </w:rPr>
        <w:t xml:space="preserve">   </w:t>
      </w:r>
    </w:p>
    <w:p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Email:  </w:t>
      </w:r>
      <w:hyperlink r:id="rId8" w:history="1">
        <w:r w:rsidR="00292532" w:rsidRPr="006F33C0">
          <w:rPr>
            <w:rStyle w:val="Hyperlink"/>
            <w:rFonts w:ascii="Garamond" w:hAnsi="Garamond"/>
            <w:sz w:val="24"/>
            <w:szCs w:val="24"/>
          </w:rPr>
          <w:t>page@law.ufl.edu</w:t>
        </w:r>
      </w:hyperlink>
      <w:r w:rsidRPr="006F33C0">
        <w:rPr>
          <w:rFonts w:ascii="Garamond" w:hAnsi="Garamond"/>
          <w:sz w:val="24"/>
          <w:szCs w:val="24"/>
        </w:rPr>
        <w:tab/>
      </w:r>
    </w:p>
    <w:p w:rsidR="00CA3947"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Telephone:  </w:t>
      </w:r>
      <w:r w:rsidR="006F6012" w:rsidRPr="006F33C0">
        <w:rPr>
          <w:rFonts w:ascii="Garamond" w:hAnsi="Garamond"/>
          <w:sz w:val="24"/>
          <w:szCs w:val="24"/>
        </w:rPr>
        <w:t>273-0</w:t>
      </w:r>
      <w:r w:rsidR="00C1137C" w:rsidRPr="006F33C0">
        <w:rPr>
          <w:rFonts w:ascii="Garamond" w:hAnsi="Garamond"/>
          <w:sz w:val="24"/>
          <w:szCs w:val="24"/>
        </w:rPr>
        <w:t>929</w:t>
      </w:r>
      <w:r w:rsidRPr="006F33C0">
        <w:rPr>
          <w:rFonts w:ascii="Garamond" w:hAnsi="Garamond"/>
          <w:sz w:val="24"/>
          <w:szCs w:val="24"/>
        </w:rPr>
        <w:t>.</w:t>
      </w:r>
    </w:p>
    <w:p w:rsidR="00705E97" w:rsidRPr="006F33C0" w:rsidRDefault="00705E97" w:rsidP="0091455F">
      <w:pPr>
        <w:numPr>
          <w:ilvl w:val="0"/>
          <w:numId w:val="1"/>
        </w:numPr>
        <w:spacing w:before="240"/>
        <w:ind w:left="0" w:firstLine="360"/>
        <w:jc w:val="both"/>
        <w:rPr>
          <w:rFonts w:ascii="Garamond" w:hAnsi="Garamond"/>
          <w:sz w:val="24"/>
          <w:szCs w:val="24"/>
        </w:rPr>
      </w:pPr>
      <w:r w:rsidRPr="006F33C0">
        <w:rPr>
          <w:rFonts w:ascii="Garamond" w:hAnsi="Garamond"/>
          <w:b/>
          <w:bCs/>
          <w:sz w:val="24"/>
          <w:szCs w:val="24"/>
        </w:rPr>
        <w:t>Course Description.</w:t>
      </w:r>
      <w:r w:rsidRPr="006F33C0">
        <w:rPr>
          <w:rFonts w:ascii="Garamond" w:hAnsi="Garamond"/>
          <w:sz w:val="24"/>
          <w:szCs w:val="24"/>
        </w:rPr>
        <w:t xml:space="preserve">  This course examines the rules, statutes, and constitutional provisions that govern how courts resolve civil claims.  We begin with the decision whether to sue in state or federal court, then (with a couple of exceptions) work through the stages of litigation until we reach the final judgment.</w:t>
      </w:r>
    </w:p>
    <w:p w:rsidR="00E80A58" w:rsidRPr="006F33C0" w:rsidRDefault="00705E97"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Purpose and Objectives of the Course.</w:t>
      </w:r>
      <w:r w:rsidRPr="006F33C0">
        <w:rPr>
          <w:rFonts w:ascii="Garamond" w:hAnsi="Garamond"/>
          <w:sz w:val="24"/>
          <w:szCs w:val="24"/>
        </w:rPr>
        <w:t xml:space="preserve">  </w:t>
      </w:r>
      <w:r w:rsidR="00E80A58" w:rsidRPr="006F33C0">
        <w:rPr>
          <w:rFonts w:ascii="Garamond" w:hAnsi="Garamond"/>
          <w:sz w:val="24"/>
          <w:szCs w:val="24"/>
        </w:rPr>
        <w:t xml:space="preserve"> </w:t>
      </w:r>
      <w:r w:rsidRPr="006F33C0">
        <w:rPr>
          <w:rFonts w:ascii="Garamond" w:hAnsi="Garamond"/>
          <w:sz w:val="24"/>
          <w:szCs w:val="24"/>
        </w:rPr>
        <w:t xml:space="preserve">At the end of the class you should be able to state and apply (a) the relevant statutory and constitutional requirements for personal and subject matter </w:t>
      </w:r>
      <w:r w:rsidR="00E80A58" w:rsidRPr="006F33C0">
        <w:rPr>
          <w:rFonts w:ascii="Garamond" w:hAnsi="Garamond"/>
          <w:sz w:val="24"/>
          <w:szCs w:val="24"/>
        </w:rPr>
        <w:t xml:space="preserve">jurisdiction; </w:t>
      </w:r>
      <w:r w:rsidRPr="006F33C0">
        <w:rPr>
          <w:rFonts w:ascii="Garamond" w:hAnsi="Garamond"/>
          <w:sz w:val="24"/>
          <w:szCs w:val="24"/>
        </w:rPr>
        <w:t>(b) the relevant Federal Rules of Civil Procedure governing pleading, joinder, discovery, motion practice, trial, and judgments</w:t>
      </w:r>
      <w:r w:rsidR="00E80A58" w:rsidRPr="006F33C0">
        <w:rPr>
          <w:rFonts w:ascii="Garamond" w:hAnsi="Garamond"/>
          <w:sz w:val="24"/>
          <w:szCs w:val="24"/>
        </w:rPr>
        <w:t>;</w:t>
      </w:r>
      <w:r w:rsidRPr="006F33C0">
        <w:rPr>
          <w:rFonts w:ascii="Garamond" w:hAnsi="Garamond"/>
          <w:sz w:val="24"/>
          <w:szCs w:val="24"/>
        </w:rPr>
        <w:t xml:space="preserve"> and (c) the law governing finality of judgments.</w:t>
      </w:r>
      <w:r w:rsidR="00E80A58" w:rsidRPr="006F33C0">
        <w:rPr>
          <w:rFonts w:ascii="Garamond" w:hAnsi="Garamond"/>
          <w:b/>
          <w:sz w:val="24"/>
          <w:szCs w:val="24"/>
        </w:rPr>
        <w:t xml:space="preserve"> </w:t>
      </w:r>
    </w:p>
    <w:p w:rsidR="00E80A58" w:rsidRPr="006F33C0" w:rsidRDefault="00E80A58" w:rsidP="00E80A58">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Required knowledge.  </w:t>
      </w:r>
      <w:r w:rsidRPr="006F33C0">
        <w:rPr>
          <w:rFonts w:ascii="Garamond" w:hAnsi="Garamond"/>
          <w:sz w:val="24"/>
          <w:szCs w:val="24"/>
        </w:rPr>
        <w:t>The only prerequisite to this class is the first semester of law school.</w:t>
      </w:r>
      <w:r w:rsidR="00705E97" w:rsidRPr="006F33C0">
        <w:rPr>
          <w:rFonts w:ascii="Garamond" w:hAnsi="Garamond"/>
          <w:sz w:val="24"/>
          <w:szCs w:val="24"/>
        </w:rPr>
        <w:t xml:space="preserve"> </w:t>
      </w:r>
    </w:p>
    <w:p w:rsidR="005E3E6F" w:rsidRPr="006F33C0" w:rsidRDefault="001B7923"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Assigned Texts. </w:t>
      </w:r>
      <w:r w:rsidRPr="006F33C0">
        <w:rPr>
          <w:rFonts w:ascii="Garamond" w:hAnsi="Garamond"/>
          <w:sz w:val="24"/>
          <w:szCs w:val="24"/>
        </w:rPr>
        <w:t xml:space="preserve"> The assignments are to </w:t>
      </w:r>
      <w:r w:rsidRPr="006F33C0">
        <w:rPr>
          <w:rFonts w:ascii="Garamond" w:hAnsi="Garamond"/>
          <w:smallCaps/>
          <w:sz w:val="24"/>
          <w:szCs w:val="24"/>
        </w:rPr>
        <w:t xml:space="preserve">Stephen C. Yeazell, Civil Procedure </w:t>
      </w:r>
      <w:r w:rsidR="00320A91" w:rsidRPr="006F33C0">
        <w:rPr>
          <w:rFonts w:ascii="Garamond" w:hAnsi="Garamond"/>
          <w:sz w:val="24"/>
          <w:szCs w:val="24"/>
        </w:rPr>
        <w:t>(9</w:t>
      </w:r>
      <w:r w:rsidRPr="006F33C0">
        <w:rPr>
          <w:rFonts w:ascii="Garamond" w:hAnsi="Garamond"/>
          <w:sz w:val="24"/>
          <w:szCs w:val="24"/>
        </w:rPr>
        <w:t>th ed. 20</w:t>
      </w:r>
      <w:r w:rsidR="00320A91" w:rsidRPr="006F33C0">
        <w:rPr>
          <w:rFonts w:ascii="Garamond" w:hAnsi="Garamond"/>
          <w:sz w:val="24"/>
          <w:szCs w:val="24"/>
        </w:rPr>
        <w:t>15</w:t>
      </w:r>
      <w:r w:rsidRPr="006F33C0">
        <w:rPr>
          <w:rFonts w:ascii="Garamond" w:hAnsi="Garamond"/>
          <w:sz w:val="24"/>
          <w:szCs w:val="24"/>
        </w:rPr>
        <w:t>) and to the 20</w:t>
      </w:r>
      <w:r w:rsidR="00705E97" w:rsidRPr="006F33C0">
        <w:rPr>
          <w:rFonts w:ascii="Garamond" w:hAnsi="Garamond"/>
          <w:sz w:val="24"/>
          <w:szCs w:val="24"/>
        </w:rPr>
        <w:t>17</w:t>
      </w:r>
      <w:r w:rsidR="00320A91" w:rsidRPr="006F33C0">
        <w:rPr>
          <w:rFonts w:ascii="Garamond" w:hAnsi="Garamond"/>
          <w:sz w:val="24"/>
          <w:szCs w:val="24"/>
        </w:rPr>
        <w:t xml:space="preserve"> </w:t>
      </w:r>
      <w:r w:rsidRPr="006F33C0">
        <w:rPr>
          <w:rFonts w:ascii="Garamond" w:hAnsi="Garamond"/>
          <w:sz w:val="24"/>
          <w:szCs w:val="24"/>
        </w:rPr>
        <w:t xml:space="preserve">supplement, which contains </w:t>
      </w:r>
      <w:r w:rsidR="008538AB" w:rsidRPr="006F33C0">
        <w:rPr>
          <w:rFonts w:ascii="Garamond" w:hAnsi="Garamond"/>
          <w:sz w:val="24"/>
          <w:szCs w:val="24"/>
        </w:rPr>
        <w:t>the Federal Rules of Civil Procedure</w:t>
      </w:r>
      <w:r w:rsidRPr="006F33C0">
        <w:rPr>
          <w:rFonts w:ascii="Garamond" w:hAnsi="Garamond"/>
          <w:sz w:val="24"/>
          <w:szCs w:val="24"/>
        </w:rPr>
        <w:t xml:space="preserve">, </w:t>
      </w:r>
      <w:r w:rsidR="008538AB" w:rsidRPr="006F33C0">
        <w:rPr>
          <w:rFonts w:ascii="Garamond" w:hAnsi="Garamond"/>
          <w:sz w:val="24"/>
          <w:szCs w:val="24"/>
        </w:rPr>
        <w:t xml:space="preserve">federal jurisdictional and procedural </w:t>
      </w:r>
      <w:r w:rsidRPr="006F33C0">
        <w:rPr>
          <w:rFonts w:ascii="Garamond" w:hAnsi="Garamond"/>
          <w:sz w:val="24"/>
          <w:szCs w:val="24"/>
        </w:rPr>
        <w:t xml:space="preserve">statutes, </w:t>
      </w:r>
      <w:r w:rsidR="006B79C8" w:rsidRPr="006F33C0">
        <w:rPr>
          <w:rFonts w:ascii="Garamond" w:hAnsi="Garamond"/>
          <w:sz w:val="24"/>
          <w:szCs w:val="24"/>
        </w:rPr>
        <w:t xml:space="preserve">and </w:t>
      </w:r>
      <w:r w:rsidR="008538AB" w:rsidRPr="006F33C0">
        <w:rPr>
          <w:rFonts w:ascii="Garamond" w:hAnsi="Garamond"/>
          <w:sz w:val="24"/>
          <w:szCs w:val="24"/>
        </w:rPr>
        <w:t xml:space="preserve">the </w:t>
      </w:r>
      <w:r w:rsidR="00292532" w:rsidRPr="006F33C0">
        <w:rPr>
          <w:rFonts w:ascii="Garamond" w:hAnsi="Garamond"/>
          <w:sz w:val="24"/>
          <w:szCs w:val="24"/>
        </w:rPr>
        <w:t xml:space="preserve">U.S. </w:t>
      </w:r>
      <w:r w:rsidR="008538AB" w:rsidRPr="006F33C0">
        <w:rPr>
          <w:rFonts w:ascii="Garamond" w:hAnsi="Garamond"/>
          <w:sz w:val="24"/>
          <w:szCs w:val="24"/>
        </w:rPr>
        <w:t>Constitution</w:t>
      </w:r>
      <w:r w:rsidRPr="006F33C0">
        <w:rPr>
          <w:rFonts w:ascii="Garamond" w:hAnsi="Garamond"/>
          <w:sz w:val="24"/>
          <w:szCs w:val="24"/>
        </w:rPr>
        <w:t>.</w:t>
      </w:r>
    </w:p>
    <w:p w:rsidR="001B7923" w:rsidRPr="006F33C0" w:rsidRDefault="005E3E6F"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Instructional Methods.</w:t>
      </w:r>
      <w:r w:rsidRPr="006F33C0">
        <w:rPr>
          <w:rFonts w:ascii="Garamond" w:hAnsi="Garamond"/>
          <w:sz w:val="24"/>
          <w:szCs w:val="24"/>
        </w:rPr>
        <w:t xml:space="preserve">  I use a modified version of the Socratic method, with some lecture and review. Everyone is always on call, although I encourage voluteers.</w:t>
      </w:r>
      <w:r w:rsidR="001B7923" w:rsidRPr="006F33C0">
        <w:rPr>
          <w:rFonts w:ascii="Garamond" w:hAnsi="Garamond"/>
          <w:sz w:val="24"/>
          <w:szCs w:val="24"/>
        </w:rPr>
        <w:t xml:space="preserve"> </w:t>
      </w:r>
    </w:p>
    <w:p w:rsidR="005E3E6F" w:rsidRPr="006F33C0" w:rsidRDefault="005E3E6F"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t>Class Preparation</w:t>
      </w:r>
      <w:r w:rsidRPr="006F33C0">
        <w:rPr>
          <w:rFonts w:ascii="Garamond" w:hAnsi="Garamond"/>
          <w:sz w:val="24"/>
          <w:szCs w:val="24"/>
        </w:rPr>
        <w:t xml:space="preserve">.  You must be prepared for class. </w:t>
      </w:r>
      <w:r w:rsidR="00605090" w:rsidRPr="006F33C0">
        <w:rPr>
          <w:rFonts w:ascii="Garamond" w:hAnsi="Garamond"/>
          <w:sz w:val="24"/>
          <w:szCs w:val="24"/>
        </w:rPr>
        <w:t>You should expect to spend an average of about 2 hours preparing for each hour of class</w:t>
      </w:r>
      <w:r w:rsidR="0075008C" w:rsidRPr="006F33C0">
        <w:rPr>
          <w:rFonts w:ascii="Garamond" w:hAnsi="Garamond"/>
          <w:sz w:val="24"/>
          <w:szCs w:val="24"/>
        </w:rPr>
        <w:t>—both reading the assigned pages in the casebook and studying the relevant rules and statutes</w:t>
      </w:r>
      <w:r w:rsidR="00605090" w:rsidRPr="006F33C0">
        <w:rPr>
          <w:rFonts w:ascii="Garamond" w:hAnsi="Garamond"/>
          <w:sz w:val="24"/>
          <w:szCs w:val="24"/>
        </w:rPr>
        <w:t xml:space="preserve">.  </w:t>
      </w:r>
      <w:r w:rsidRPr="006F33C0">
        <w:rPr>
          <w:rFonts w:ascii="Garamond" w:hAnsi="Garamond"/>
          <w:sz w:val="24"/>
          <w:szCs w:val="24"/>
        </w:rPr>
        <w:t>If I call on you and you are not prepared, I will reduce your numerical score on the final exam by one point.  If you have a legitimate reason not to be prepared, let me know before class and I won’t call on you that day.</w:t>
      </w:r>
    </w:p>
    <w:p w:rsidR="00CA3947" w:rsidRPr="006F33C0" w:rsidRDefault="00CA3947"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lastRenderedPageBreak/>
        <w:t>Outside Reading.</w:t>
      </w:r>
      <w:r w:rsidRPr="006F33C0">
        <w:rPr>
          <w:rFonts w:ascii="Garamond" w:hAnsi="Garamond"/>
          <w:sz w:val="24"/>
          <w:szCs w:val="24"/>
        </w:rPr>
        <w:t xml:space="preserve">  There are many </w:t>
      </w:r>
      <w:r w:rsidR="00C62A1B" w:rsidRPr="006F33C0">
        <w:rPr>
          <w:rFonts w:ascii="Garamond" w:hAnsi="Garamond"/>
          <w:sz w:val="24"/>
          <w:szCs w:val="24"/>
        </w:rPr>
        <w:t>study aids</w:t>
      </w:r>
      <w:r w:rsidRPr="006F33C0">
        <w:rPr>
          <w:rFonts w:ascii="Garamond" w:hAnsi="Garamond"/>
          <w:sz w:val="24"/>
          <w:szCs w:val="24"/>
        </w:rPr>
        <w:t xml:space="preserve"> for this subject, but I especially recommend</w:t>
      </w:r>
      <w:r w:rsidR="006B79C8" w:rsidRPr="006F33C0">
        <w:rPr>
          <w:rFonts w:ascii="Garamond" w:hAnsi="Garamond"/>
          <w:sz w:val="24"/>
          <w:szCs w:val="24"/>
        </w:rPr>
        <w:t xml:space="preserve"> the most recent edition of</w:t>
      </w:r>
      <w:r w:rsidR="006B79C8" w:rsidRPr="006F33C0">
        <w:rPr>
          <w:rFonts w:ascii="Garamond" w:hAnsi="Garamond"/>
          <w:smallCaps/>
          <w:sz w:val="24"/>
          <w:szCs w:val="24"/>
        </w:rPr>
        <w:t xml:space="preserve"> </w:t>
      </w:r>
      <w:r w:rsidRPr="006F33C0">
        <w:rPr>
          <w:rFonts w:ascii="Garamond" w:hAnsi="Garamond"/>
          <w:smallCaps/>
          <w:sz w:val="24"/>
          <w:szCs w:val="24"/>
        </w:rPr>
        <w:t>Joseph W. Glannon, Civil Procedure:  Examples &amp; Explanations (</w:t>
      </w:r>
      <w:r w:rsidR="00FC1465" w:rsidRPr="006F33C0">
        <w:rPr>
          <w:rFonts w:ascii="Garamond" w:hAnsi="Garamond"/>
          <w:smallCaps/>
          <w:sz w:val="24"/>
          <w:szCs w:val="24"/>
        </w:rPr>
        <w:t>Aspen</w:t>
      </w:r>
      <w:r w:rsidRPr="006F33C0">
        <w:rPr>
          <w:rFonts w:ascii="Garamond" w:hAnsi="Garamond"/>
          <w:sz w:val="24"/>
          <w:szCs w:val="24"/>
        </w:rPr>
        <w:t>).</w:t>
      </w:r>
      <w:r w:rsidR="00257E8B" w:rsidRPr="006F33C0">
        <w:rPr>
          <w:rFonts w:ascii="Garamond" w:hAnsi="Garamond"/>
          <w:sz w:val="24"/>
          <w:szCs w:val="24"/>
        </w:rPr>
        <w:t xml:space="preserve">  </w:t>
      </w:r>
    </w:p>
    <w:p w:rsidR="005E3E6F" w:rsidRPr="006F33C0" w:rsidRDefault="00CA3947" w:rsidP="00D04488">
      <w:pPr>
        <w:pStyle w:val="ListParagraph"/>
        <w:numPr>
          <w:ilvl w:val="0"/>
          <w:numId w:val="1"/>
        </w:numPr>
        <w:spacing w:before="120"/>
        <w:ind w:left="0" w:firstLine="360"/>
        <w:jc w:val="both"/>
        <w:rPr>
          <w:rFonts w:ascii="Garamond" w:hAnsi="Garamond"/>
          <w:bCs/>
          <w:sz w:val="24"/>
          <w:szCs w:val="24"/>
        </w:rPr>
      </w:pPr>
      <w:r w:rsidRPr="006F33C0">
        <w:rPr>
          <w:rFonts w:ascii="Garamond" w:hAnsi="Garamond"/>
          <w:b/>
          <w:bCs/>
          <w:sz w:val="24"/>
          <w:szCs w:val="24"/>
        </w:rPr>
        <w:t>Syllabus.</w:t>
      </w:r>
      <w:r w:rsidR="00257E8B" w:rsidRPr="006F33C0">
        <w:rPr>
          <w:rFonts w:ascii="Garamond" w:hAnsi="Garamond"/>
          <w:sz w:val="24"/>
          <w:szCs w:val="24"/>
        </w:rPr>
        <w:t xml:space="preserve">  </w:t>
      </w:r>
      <w:r w:rsidR="005E3E6F" w:rsidRPr="006F33C0">
        <w:rPr>
          <w:rFonts w:ascii="Garamond" w:hAnsi="Garamond"/>
          <w:sz w:val="24"/>
          <w:szCs w:val="24"/>
        </w:rPr>
        <w:t xml:space="preserve">This syllabus has assigned readings for each subject we cover.  </w:t>
      </w:r>
      <w:r w:rsidR="00257E8B" w:rsidRPr="006F33C0">
        <w:rPr>
          <w:rFonts w:ascii="Garamond" w:hAnsi="Garamond"/>
          <w:sz w:val="24"/>
          <w:szCs w:val="24"/>
        </w:rPr>
        <w:t>I know from experience that w</w:t>
      </w:r>
      <w:r w:rsidRPr="006F33C0">
        <w:rPr>
          <w:rFonts w:ascii="Garamond" w:hAnsi="Garamond"/>
          <w:sz w:val="24"/>
          <w:szCs w:val="24"/>
        </w:rPr>
        <w:t>e will</w:t>
      </w:r>
      <w:r w:rsidR="001A5874" w:rsidRPr="006F33C0">
        <w:rPr>
          <w:rFonts w:ascii="Garamond" w:hAnsi="Garamond"/>
          <w:sz w:val="24"/>
          <w:szCs w:val="24"/>
        </w:rPr>
        <w:t>, at some point,</w:t>
      </w:r>
      <w:r w:rsidRPr="006F33C0">
        <w:rPr>
          <w:rFonts w:ascii="Garamond" w:hAnsi="Garamond"/>
          <w:sz w:val="24"/>
          <w:szCs w:val="24"/>
        </w:rPr>
        <w:t xml:space="preserve"> fall behind the assigned readings in class.  When this occurs, </w:t>
      </w:r>
      <w:r w:rsidRPr="006F33C0">
        <w:rPr>
          <w:rFonts w:ascii="Garamond" w:hAnsi="Garamond"/>
          <w:i/>
          <w:sz w:val="24"/>
          <w:szCs w:val="24"/>
        </w:rPr>
        <w:t xml:space="preserve">please </w:t>
      </w:r>
      <w:r w:rsidR="00C94D4A" w:rsidRPr="006F33C0">
        <w:rPr>
          <w:rFonts w:ascii="Garamond" w:hAnsi="Garamond"/>
          <w:i/>
          <w:sz w:val="24"/>
          <w:szCs w:val="24"/>
        </w:rPr>
        <w:t>read</w:t>
      </w:r>
      <w:r w:rsidRPr="006F33C0">
        <w:rPr>
          <w:rFonts w:ascii="Garamond" w:hAnsi="Garamond"/>
          <w:i/>
          <w:sz w:val="24"/>
          <w:szCs w:val="24"/>
        </w:rPr>
        <w:t xml:space="preserve"> at least 2 assignments ahead of wherever we stop, and be prepared to discuss that material</w:t>
      </w:r>
      <w:r w:rsidRPr="006F33C0">
        <w:rPr>
          <w:rFonts w:ascii="Garamond" w:hAnsi="Garamond"/>
          <w:sz w:val="24"/>
          <w:szCs w:val="24"/>
        </w:rPr>
        <w:t>.  I’ve left a number of class periods at the end to complete the syllabus.  I will amend the syllabus if it becomes obvious we won’t cover it all.</w:t>
      </w:r>
    </w:p>
    <w:p w:rsidR="00CA3947" w:rsidRPr="006F33C0" w:rsidRDefault="00CA3947" w:rsidP="00D04488">
      <w:pPr>
        <w:numPr>
          <w:ilvl w:val="0"/>
          <w:numId w:val="1"/>
        </w:numPr>
        <w:spacing w:before="120"/>
        <w:ind w:left="0" w:firstLine="360"/>
        <w:jc w:val="both"/>
        <w:rPr>
          <w:rFonts w:ascii="Garamond" w:hAnsi="Garamond"/>
          <w:b/>
          <w:bCs/>
          <w:sz w:val="24"/>
          <w:szCs w:val="24"/>
        </w:rPr>
      </w:pPr>
      <w:r w:rsidRPr="006F33C0">
        <w:rPr>
          <w:rFonts w:ascii="Garamond" w:hAnsi="Garamond"/>
          <w:b/>
          <w:bCs/>
          <w:sz w:val="24"/>
          <w:szCs w:val="24"/>
        </w:rPr>
        <w:t xml:space="preserve">Final Exam and Grade.  </w:t>
      </w:r>
    </w:p>
    <w:p w:rsidR="00045809"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t xml:space="preserve">a.  </w:t>
      </w:r>
      <w:r w:rsidRPr="006F33C0">
        <w:rPr>
          <w:rFonts w:ascii="Garamond" w:hAnsi="Garamond"/>
          <w:i/>
          <w:iCs/>
          <w:sz w:val="24"/>
          <w:szCs w:val="24"/>
        </w:rPr>
        <w:t>Timing and Coverage</w:t>
      </w:r>
      <w:r w:rsidRPr="006F33C0">
        <w:rPr>
          <w:rFonts w:ascii="Garamond" w:hAnsi="Garamond"/>
          <w:sz w:val="24"/>
          <w:szCs w:val="24"/>
        </w:rPr>
        <w:t>.  The grade will be based on a final exam</w:t>
      </w:r>
      <w:r w:rsidR="00E24563" w:rsidRPr="006F33C0">
        <w:rPr>
          <w:rFonts w:ascii="Garamond" w:hAnsi="Garamond"/>
          <w:sz w:val="24"/>
          <w:szCs w:val="24"/>
        </w:rPr>
        <w:t xml:space="preserve">, which is scheduled for </w:t>
      </w:r>
      <w:r w:rsidR="005E3E6F" w:rsidRPr="006F33C0">
        <w:rPr>
          <w:rFonts w:ascii="Garamond" w:hAnsi="Garamond"/>
          <w:sz w:val="24"/>
          <w:szCs w:val="24"/>
        </w:rPr>
        <w:t>Tuesday</w:t>
      </w:r>
      <w:r w:rsidR="00292532" w:rsidRPr="006F33C0">
        <w:rPr>
          <w:rFonts w:ascii="Garamond" w:hAnsi="Garamond"/>
          <w:sz w:val="24"/>
          <w:szCs w:val="24"/>
        </w:rPr>
        <w:t xml:space="preserve">, May </w:t>
      </w:r>
      <w:r w:rsidR="005E3E6F" w:rsidRPr="006F33C0">
        <w:rPr>
          <w:rFonts w:ascii="Garamond" w:hAnsi="Garamond"/>
          <w:sz w:val="24"/>
          <w:szCs w:val="24"/>
        </w:rPr>
        <w:t>8</w:t>
      </w:r>
      <w:r w:rsidR="00E24563" w:rsidRPr="006F33C0">
        <w:rPr>
          <w:rFonts w:ascii="Garamond" w:hAnsi="Garamond"/>
          <w:sz w:val="24"/>
          <w:szCs w:val="24"/>
        </w:rPr>
        <w:t xml:space="preserve"> at </w:t>
      </w:r>
      <w:r w:rsidR="006B79C8" w:rsidRPr="006F33C0">
        <w:rPr>
          <w:rFonts w:ascii="Garamond" w:hAnsi="Garamond"/>
          <w:sz w:val="24"/>
          <w:szCs w:val="24"/>
        </w:rPr>
        <w:t>8:30 AM</w:t>
      </w:r>
      <w:r w:rsidR="00F13DDF" w:rsidRPr="006F33C0">
        <w:rPr>
          <w:rFonts w:ascii="Garamond" w:hAnsi="Garamond"/>
          <w:sz w:val="24"/>
          <w:szCs w:val="24"/>
        </w:rPr>
        <w:t>.</w:t>
      </w:r>
      <w:r w:rsidRPr="006F33C0">
        <w:rPr>
          <w:rFonts w:ascii="Garamond" w:hAnsi="Garamond"/>
          <w:sz w:val="24"/>
          <w:szCs w:val="24"/>
        </w:rPr>
        <w:t xml:space="preserve">  </w:t>
      </w:r>
      <w:r w:rsidR="00605090" w:rsidRPr="006F33C0">
        <w:rPr>
          <w:rFonts w:ascii="Garamond" w:hAnsi="Garamond"/>
          <w:sz w:val="24"/>
          <w:szCs w:val="24"/>
        </w:rPr>
        <w:t xml:space="preserve">The exam includes both objective and essay questions, </w:t>
      </w:r>
      <w:r w:rsidRPr="006F33C0">
        <w:rPr>
          <w:rFonts w:ascii="Garamond" w:hAnsi="Garamond"/>
          <w:sz w:val="24"/>
          <w:szCs w:val="24"/>
        </w:rPr>
        <w:t xml:space="preserve"> will be three hours, and will test only </w:t>
      </w:r>
      <w:r w:rsidR="00E24563" w:rsidRPr="006F33C0">
        <w:rPr>
          <w:rFonts w:ascii="Garamond" w:hAnsi="Garamond"/>
          <w:sz w:val="24"/>
          <w:szCs w:val="24"/>
        </w:rPr>
        <w:t>topics</w:t>
      </w:r>
      <w:r w:rsidRPr="006F33C0">
        <w:rPr>
          <w:rFonts w:ascii="Garamond" w:hAnsi="Garamond"/>
          <w:sz w:val="24"/>
          <w:szCs w:val="24"/>
        </w:rPr>
        <w:t xml:space="preserve"> on the syllabus, as amended.  </w:t>
      </w:r>
      <w:r w:rsidR="00045809" w:rsidRPr="006F33C0">
        <w:rPr>
          <w:rFonts w:ascii="Garamond" w:hAnsi="Garamond"/>
          <w:sz w:val="24"/>
          <w:szCs w:val="24"/>
        </w:rPr>
        <w:t xml:space="preserve">If you need an accommodation (e.g., a delay or extra time), you must fill out the appropriate paperwork in </w:t>
      </w:r>
      <w:r w:rsidR="00C62A1B" w:rsidRPr="006F33C0">
        <w:rPr>
          <w:rFonts w:ascii="Garamond" w:hAnsi="Garamond"/>
          <w:sz w:val="24"/>
          <w:szCs w:val="24"/>
        </w:rPr>
        <w:t xml:space="preserve">the </w:t>
      </w:r>
      <w:r w:rsidR="00045809" w:rsidRPr="006F33C0">
        <w:rPr>
          <w:rFonts w:ascii="Garamond" w:hAnsi="Garamond"/>
          <w:sz w:val="24"/>
          <w:szCs w:val="24"/>
        </w:rPr>
        <w:t xml:space="preserve">Student Affairs </w:t>
      </w:r>
      <w:r w:rsidR="00C62A1B" w:rsidRPr="006F33C0">
        <w:rPr>
          <w:rFonts w:ascii="Garamond" w:hAnsi="Garamond"/>
          <w:sz w:val="24"/>
          <w:szCs w:val="24"/>
        </w:rPr>
        <w:t xml:space="preserve">office </w:t>
      </w:r>
      <w:r w:rsidR="00045809" w:rsidRPr="006F33C0">
        <w:rPr>
          <w:rFonts w:ascii="Garamond" w:hAnsi="Garamond"/>
          <w:sz w:val="24"/>
          <w:szCs w:val="24"/>
        </w:rPr>
        <w:t xml:space="preserve">ahead of time.  </w:t>
      </w:r>
    </w:p>
    <w:p w:rsidR="00CA3947"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t xml:space="preserve">The exam is graded </w:t>
      </w:r>
      <w:r w:rsidR="00E24563" w:rsidRPr="006F33C0">
        <w:rPr>
          <w:rFonts w:ascii="Garamond" w:hAnsi="Garamond"/>
          <w:sz w:val="24"/>
          <w:szCs w:val="24"/>
        </w:rPr>
        <w:t xml:space="preserve">subject to </w:t>
      </w:r>
      <w:r w:rsidRPr="006F33C0">
        <w:rPr>
          <w:rFonts w:ascii="Garamond" w:hAnsi="Garamond"/>
          <w:sz w:val="24"/>
          <w:szCs w:val="24"/>
        </w:rPr>
        <w:t xml:space="preserve">a mandatory </w:t>
      </w:r>
      <w:r w:rsidR="00991B66" w:rsidRPr="006F33C0">
        <w:rPr>
          <w:rFonts w:ascii="Garamond" w:hAnsi="Garamond"/>
          <w:sz w:val="24"/>
          <w:szCs w:val="24"/>
        </w:rPr>
        <w:t xml:space="preserve">class </w:t>
      </w:r>
      <w:r w:rsidR="00A677E7" w:rsidRPr="006F33C0">
        <w:rPr>
          <w:rFonts w:ascii="Garamond" w:hAnsi="Garamond"/>
          <w:sz w:val="24"/>
          <w:szCs w:val="24"/>
        </w:rPr>
        <w:t>mean</w:t>
      </w:r>
      <w:r w:rsidR="00292532" w:rsidRPr="006F33C0">
        <w:rPr>
          <w:rFonts w:ascii="Garamond" w:hAnsi="Garamond"/>
          <w:sz w:val="24"/>
          <w:szCs w:val="24"/>
        </w:rPr>
        <w:t xml:space="preserve"> and distribution</w:t>
      </w:r>
      <w:r w:rsidRPr="006F33C0">
        <w:rPr>
          <w:rFonts w:ascii="Garamond" w:hAnsi="Garamond"/>
          <w:sz w:val="24"/>
          <w:szCs w:val="24"/>
        </w:rPr>
        <w:t xml:space="preserve"> established by the faculty. </w:t>
      </w:r>
      <w:r w:rsidR="00A677E7" w:rsidRPr="006F33C0">
        <w:rPr>
          <w:rFonts w:ascii="Garamond" w:hAnsi="Garamond"/>
          <w:sz w:val="24"/>
          <w:szCs w:val="24"/>
        </w:rPr>
        <w:t xml:space="preserve"> Grades will follow the University grade scale, which includes </w:t>
      </w:r>
      <w:r w:rsidR="00525318" w:rsidRPr="006F33C0">
        <w:rPr>
          <w:rFonts w:ascii="Garamond" w:hAnsi="Garamond"/>
          <w:sz w:val="24"/>
          <w:szCs w:val="24"/>
        </w:rPr>
        <w:t xml:space="preserve">plus and </w:t>
      </w:r>
      <w:r w:rsidR="00A677E7" w:rsidRPr="006F33C0">
        <w:rPr>
          <w:rFonts w:ascii="Garamond" w:hAnsi="Garamond"/>
          <w:sz w:val="24"/>
          <w:szCs w:val="24"/>
        </w:rPr>
        <w:t xml:space="preserve">minus grades.  </w:t>
      </w:r>
      <w:r w:rsidRPr="006F33C0">
        <w:rPr>
          <w:rFonts w:ascii="Garamond" w:hAnsi="Garamond"/>
          <w:sz w:val="24"/>
          <w:szCs w:val="24"/>
        </w:rPr>
        <w:t>I</w:t>
      </w:r>
      <w:r w:rsidR="00A677E7" w:rsidRPr="006F33C0">
        <w:rPr>
          <w:rFonts w:ascii="Garamond" w:hAnsi="Garamond"/>
          <w:sz w:val="24"/>
          <w:szCs w:val="24"/>
        </w:rPr>
        <w:t xml:space="preserve"> </w:t>
      </w:r>
      <w:r w:rsidRPr="006F33C0">
        <w:rPr>
          <w:rFonts w:ascii="Garamond" w:hAnsi="Garamond"/>
          <w:sz w:val="24"/>
          <w:szCs w:val="24"/>
        </w:rPr>
        <w:t xml:space="preserve">may increase exam grades based upon </w:t>
      </w:r>
      <w:r w:rsidRPr="006F33C0">
        <w:rPr>
          <w:rFonts w:ascii="Garamond" w:hAnsi="Garamond"/>
          <w:i/>
          <w:iCs/>
          <w:sz w:val="24"/>
          <w:szCs w:val="24"/>
        </w:rPr>
        <w:t>active and informed</w:t>
      </w:r>
      <w:r w:rsidRPr="006F33C0">
        <w:rPr>
          <w:rFonts w:ascii="Garamond" w:hAnsi="Garamond"/>
          <w:sz w:val="24"/>
          <w:szCs w:val="24"/>
        </w:rPr>
        <w:t xml:space="preserve"> </w:t>
      </w:r>
      <w:r w:rsidR="001C585B" w:rsidRPr="006F33C0">
        <w:rPr>
          <w:rFonts w:ascii="Garamond" w:hAnsi="Garamond"/>
          <w:sz w:val="24"/>
          <w:szCs w:val="24"/>
        </w:rPr>
        <w:t xml:space="preserve">class </w:t>
      </w:r>
      <w:r w:rsidRPr="006F33C0">
        <w:rPr>
          <w:rFonts w:ascii="Garamond" w:hAnsi="Garamond"/>
          <w:sz w:val="24"/>
          <w:szCs w:val="24"/>
        </w:rPr>
        <w:t>participation.</w:t>
      </w:r>
    </w:p>
    <w:p w:rsidR="00605090" w:rsidRPr="006F33C0" w:rsidRDefault="00605090" w:rsidP="00D04488">
      <w:pPr>
        <w:spacing w:before="120"/>
        <w:ind w:firstLine="547"/>
        <w:jc w:val="both"/>
        <w:rPr>
          <w:rFonts w:ascii="Garamond" w:hAnsi="Garamond"/>
          <w:sz w:val="24"/>
          <w:szCs w:val="24"/>
        </w:rPr>
      </w:pPr>
      <w:r w:rsidRPr="00605090">
        <w:rPr>
          <w:rFonts w:ascii="Garamond" w:hAnsi="Garamond"/>
          <w:sz w:val="24"/>
          <w:szCs w:val="24"/>
        </w:rPr>
        <w:t xml:space="preserve">The law school grading policy and mandatory mean and distributions are available a </w:t>
      </w:r>
      <w:hyperlink r:id="rId9" w:anchor="9" w:history="1">
        <w:r w:rsidRPr="006F33C0">
          <w:rPr>
            <w:rFonts w:ascii="Garamond" w:hAnsi="Garamond"/>
            <w:color w:val="0000FF"/>
            <w:sz w:val="24"/>
            <w:szCs w:val="24"/>
            <w:u w:val="single"/>
          </w:rPr>
          <w:t>http://www.law.ufl.edu/student-affairs/current-students/academic-policies#9</w:t>
        </w:r>
      </w:hyperlink>
      <w:r w:rsidRPr="00605090">
        <w:rPr>
          <w:rFonts w:ascii="Garamond" w:hAnsi="Garamond"/>
          <w:sz w:val="24"/>
          <w:szCs w:val="24"/>
        </w:rPr>
        <w:t xml:space="preserve"> This class adheres to those standards and the following grades and grade point equivalents: </w:t>
      </w:r>
    </w:p>
    <w:p w:rsidR="00D04488" w:rsidRPr="00605090" w:rsidRDefault="00D04488" w:rsidP="00605090">
      <w:pPr>
        <w:spacing w:before="120" w:after="120"/>
        <w:ind w:firstLine="547"/>
        <w:jc w:val="both"/>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605090" w:rsidRPr="00605090" w:rsidTr="004B0B87">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b/>
                <w:bCs/>
                <w:sz w:val="24"/>
                <w:szCs w:val="24"/>
              </w:rPr>
            </w:pPr>
            <w:r w:rsidRPr="00605090">
              <w:rPr>
                <w:rFonts w:ascii="Garamond" w:hAnsi="Garamond"/>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b/>
                <w:bCs/>
                <w:sz w:val="24"/>
                <w:szCs w:val="24"/>
              </w:rPr>
            </w:pPr>
            <w:r w:rsidRPr="00605090">
              <w:rPr>
                <w:rFonts w:ascii="Garamond" w:hAnsi="Garamond"/>
                <w:b/>
                <w:bCs/>
                <w:sz w:val="24"/>
                <w:szCs w:val="24"/>
              </w:rPr>
              <w:t>Point Equivalent</w:t>
            </w:r>
          </w:p>
        </w:tc>
      </w:tr>
      <w:tr w:rsidR="00605090" w:rsidRPr="00605090" w:rsidTr="004B0B87">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4.0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0.67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 xml:space="preserve">0.0 </w:t>
            </w:r>
          </w:p>
        </w:tc>
      </w:tr>
    </w:tbl>
    <w:p w:rsidR="00605090" w:rsidRPr="006F33C0" w:rsidRDefault="00605090" w:rsidP="00FC1465">
      <w:pPr>
        <w:spacing w:before="60"/>
        <w:ind w:firstLine="540"/>
        <w:jc w:val="both"/>
        <w:rPr>
          <w:rFonts w:ascii="Garamond" w:hAnsi="Garamond"/>
          <w:sz w:val="24"/>
          <w:szCs w:val="24"/>
        </w:rPr>
      </w:pPr>
    </w:p>
    <w:p w:rsidR="00CA3947" w:rsidRPr="006F33C0"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b.  </w:t>
      </w:r>
      <w:r w:rsidRPr="006F33C0">
        <w:rPr>
          <w:rFonts w:ascii="Garamond" w:hAnsi="Garamond"/>
          <w:i/>
          <w:iCs/>
          <w:sz w:val="24"/>
          <w:szCs w:val="24"/>
        </w:rPr>
        <w:t>Writing the Exam</w:t>
      </w:r>
      <w:r w:rsidRPr="006F33C0">
        <w:rPr>
          <w:rFonts w:ascii="Garamond" w:hAnsi="Garamond"/>
          <w:sz w:val="24"/>
          <w:szCs w:val="24"/>
        </w:rPr>
        <w:t xml:space="preserve">.  You may take the exam either by </w:t>
      </w:r>
      <w:r w:rsidR="00AB49F1" w:rsidRPr="006F33C0">
        <w:rPr>
          <w:rFonts w:ascii="Garamond" w:hAnsi="Garamond"/>
          <w:sz w:val="24"/>
          <w:szCs w:val="24"/>
        </w:rPr>
        <w:t xml:space="preserve">ExamSoft or by </w:t>
      </w:r>
      <w:r w:rsidRPr="006F33C0">
        <w:rPr>
          <w:rFonts w:ascii="Garamond" w:hAnsi="Garamond"/>
          <w:sz w:val="24"/>
          <w:szCs w:val="24"/>
        </w:rPr>
        <w:t>writing your answers in blue books.</w:t>
      </w:r>
      <w:r w:rsidR="00045809" w:rsidRPr="006F33C0">
        <w:rPr>
          <w:rFonts w:ascii="Garamond" w:hAnsi="Garamond"/>
          <w:sz w:val="24"/>
          <w:szCs w:val="24"/>
        </w:rPr>
        <w:t xml:space="preserve">  </w:t>
      </w:r>
    </w:p>
    <w:p w:rsidR="00CA3947" w:rsidRPr="006F33C0"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c.  </w:t>
      </w:r>
      <w:r w:rsidRPr="006F33C0">
        <w:rPr>
          <w:rFonts w:ascii="Garamond" w:hAnsi="Garamond"/>
          <w:i/>
          <w:iCs/>
          <w:sz w:val="24"/>
          <w:szCs w:val="24"/>
        </w:rPr>
        <w:t>Materials Allowed.</w:t>
      </w:r>
      <w:r w:rsidRPr="006F33C0">
        <w:rPr>
          <w:rFonts w:ascii="Garamond" w:hAnsi="Garamond"/>
          <w:sz w:val="24"/>
          <w:szCs w:val="24"/>
        </w:rPr>
        <w:t xml:space="preserve">  The only materials you will be allowed to br</w:t>
      </w:r>
      <w:r w:rsidR="00D732E9" w:rsidRPr="006F33C0">
        <w:rPr>
          <w:rFonts w:ascii="Garamond" w:hAnsi="Garamond"/>
          <w:sz w:val="24"/>
          <w:szCs w:val="24"/>
        </w:rPr>
        <w:t>ing to t</w:t>
      </w:r>
      <w:r w:rsidR="00F71565" w:rsidRPr="006F33C0">
        <w:rPr>
          <w:rFonts w:ascii="Garamond" w:hAnsi="Garamond"/>
          <w:sz w:val="24"/>
          <w:szCs w:val="24"/>
        </w:rPr>
        <w:t>he exam will be the 20</w:t>
      </w:r>
      <w:r w:rsidR="001A5874" w:rsidRPr="006F33C0">
        <w:rPr>
          <w:rFonts w:ascii="Garamond" w:hAnsi="Garamond"/>
          <w:sz w:val="24"/>
          <w:szCs w:val="24"/>
        </w:rPr>
        <w:t>1</w:t>
      </w:r>
      <w:r w:rsidR="006B79C8" w:rsidRPr="006F33C0">
        <w:rPr>
          <w:rFonts w:ascii="Garamond" w:hAnsi="Garamond"/>
          <w:sz w:val="24"/>
          <w:szCs w:val="24"/>
        </w:rPr>
        <w:t>6</w:t>
      </w:r>
      <w:r w:rsidRPr="006F33C0">
        <w:rPr>
          <w:rFonts w:ascii="Garamond" w:hAnsi="Garamond"/>
          <w:sz w:val="24"/>
          <w:szCs w:val="24"/>
        </w:rPr>
        <w:t xml:space="preserve"> supplement and any </w:t>
      </w:r>
      <w:r w:rsidRPr="0091455F">
        <w:rPr>
          <w:rFonts w:ascii="Garamond" w:hAnsi="Garamond"/>
          <w:b/>
          <w:sz w:val="24"/>
          <w:szCs w:val="24"/>
        </w:rPr>
        <w:t>marginal</w:t>
      </w:r>
      <w:r w:rsidRPr="006F33C0">
        <w:rPr>
          <w:rFonts w:ascii="Garamond" w:hAnsi="Garamond"/>
          <w:sz w:val="24"/>
          <w:szCs w:val="24"/>
        </w:rPr>
        <w:t xml:space="preserve"> annotations or tabs you have added to it.  I encourage you to make annotations, cross-references, </w:t>
      </w:r>
      <w:r w:rsidR="00E24563" w:rsidRPr="006F33C0">
        <w:rPr>
          <w:rFonts w:ascii="Garamond" w:hAnsi="Garamond"/>
          <w:sz w:val="24"/>
          <w:szCs w:val="24"/>
        </w:rPr>
        <w:t xml:space="preserve">tabs, </w:t>
      </w:r>
      <w:r w:rsidRPr="006F33C0">
        <w:rPr>
          <w:rFonts w:ascii="Garamond" w:hAnsi="Garamond"/>
          <w:sz w:val="24"/>
          <w:szCs w:val="24"/>
        </w:rPr>
        <w:t xml:space="preserve">etc., in the supplement, but </w:t>
      </w:r>
      <w:r w:rsidRPr="0091455F">
        <w:rPr>
          <w:rFonts w:ascii="Garamond" w:hAnsi="Garamond"/>
          <w:b/>
          <w:sz w:val="24"/>
          <w:szCs w:val="24"/>
        </w:rPr>
        <w:t>they must be handwritten and relevant to material on the page on which they appear.</w:t>
      </w:r>
      <w:r w:rsidRPr="006F33C0">
        <w:rPr>
          <w:rFonts w:ascii="Garamond" w:hAnsi="Garamond"/>
          <w:sz w:val="24"/>
          <w:szCs w:val="24"/>
        </w:rPr>
        <w:t xml:space="preserve">  </w:t>
      </w:r>
      <w:r w:rsidR="00E24563" w:rsidRPr="006F33C0">
        <w:rPr>
          <w:rFonts w:ascii="Garamond" w:hAnsi="Garamond"/>
          <w:sz w:val="24"/>
          <w:szCs w:val="24"/>
        </w:rPr>
        <w:t>You may</w:t>
      </w:r>
      <w:r w:rsidRPr="006F33C0">
        <w:rPr>
          <w:rFonts w:ascii="Garamond" w:hAnsi="Garamond"/>
          <w:sz w:val="24"/>
          <w:szCs w:val="24"/>
        </w:rPr>
        <w:t xml:space="preserve"> not insert new pages, white out any printed text, or write on blank pages.  </w:t>
      </w:r>
    </w:p>
    <w:p w:rsidR="00CA3947" w:rsidRPr="006F33C0" w:rsidRDefault="00E91838" w:rsidP="00FC1465">
      <w:pPr>
        <w:numPr>
          <w:ilvl w:val="0"/>
          <w:numId w:val="1"/>
        </w:numPr>
        <w:spacing w:before="60"/>
        <w:ind w:left="0" w:firstLine="360"/>
        <w:jc w:val="both"/>
        <w:rPr>
          <w:rFonts w:ascii="Garamond" w:hAnsi="Garamond"/>
          <w:sz w:val="24"/>
          <w:szCs w:val="24"/>
        </w:rPr>
      </w:pPr>
      <w:r w:rsidRPr="006F33C0">
        <w:rPr>
          <w:rFonts w:ascii="Garamond" w:hAnsi="Garamond"/>
          <w:b/>
          <w:sz w:val="24"/>
          <w:szCs w:val="24"/>
        </w:rPr>
        <w:t>Class Attendance.</w:t>
      </w:r>
      <w:r w:rsidRPr="006F33C0">
        <w:rPr>
          <w:rFonts w:ascii="Garamond" w:hAnsi="Garamond"/>
          <w:sz w:val="24"/>
          <w:szCs w:val="24"/>
        </w:rPr>
        <w:t xml:space="preserve">  </w:t>
      </w:r>
      <w:r w:rsidR="00605090" w:rsidRPr="006F33C0">
        <w:rPr>
          <w:rFonts w:ascii="Garamond" w:hAnsi="Garamond"/>
          <w:sz w:val="24"/>
          <w:szCs w:val="24"/>
        </w:rPr>
        <w:t xml:space="preserve">I will take roll.  You can miss up to 3 classes without an excuse.  </w:t>
      </w:r>
      <w:r w:rsidR="00CA3947" w:rsidRPr="006F33C0">
        <w:rPr>
          <w:rFonts w:ascii="Garamond" w:hAnsi="Garamond"/>
          <w:sz w:val="24"/>
          <w:szCs w:val="24"/>
        </w:rPr>
        <w:t xml:space="preserve">If you’re going to be absent, let me know ahead of time by email.  </w:t>
      </w:r>
      <w:r w:rsidR="00E24563" w:rsidRPr="006F33C0">
        <w:rPr>
          <w:rFonts w:ascii="Garamond" w:hAnsi="Garamond"/>
          <w:sz w:val="24"/>
          <w:szCs w:val="24"/>
        </w:rPr>
        <w:t xml:space="preserve">  If you have m</w:t>
      </w:r>
      <w:r w:rsidR="0063533A" w:rsidRPr="006F33C0">
        <w:rPr>
          <w:rFonts w:ascii="Garamond" w:hAnsi="Garamond"/>
          <w:sz w:val="24"/>
          <w:szCs w:val="24"/>
        </w:rPr>
        <w:t>ore than 4</w:t>
      </w:r>
      <w:r w:rsidR="000210F3" w:rsidRPr="006F33C0">
        <w:rPr>
          <w:rFonts w:ascii="Garamond" w:hAnsi="Garamond"/>
          <w:sz w:val="24"/>
          <w:szCs w:val="24"/>
        </w:rPr>
        <w:t xml:space="preserve"> unexcused absences, your grade may suffer</w:t>
      </w:r>
      <w:r w:rsidR="00C5151B" w:rsidRPr="006F33C0">
        <w:rPr>
          <w:rFonts w:ascii="Garamond" w:hAnsi="Garamond"/>
          <w:sz w:val="24"/>
          <w:szCs w:val="24"/>
        </w:rPr>
        <w:t xml:space="preserve">.  </w:t>
      </w:r>
    </w:p>
    <w:p w:rsidR="00CA3947" w:rsidRPr="006F33C0" w:rsidRDefault="00CA3947" w:rsidP="00FC1465">
      <w:pPr>
        <w:numPr>
          <w:ilvl w:val="0"/>
          <w:numId w:val="1"/>
        </w:numPr>
        <w:spacing w:before="60"/>
        <w:ind w:left="0" w:firstLine="360"/>
        <w:jc w:val="both"/>
        <w:rPr>
          <w:rFonts w:ascii="Garamond" w:hAnsi="Garamond"/>
          <w:b/>
          <w:bCs/>
          <w:sz w:val="24"/>
          <w:szCs w:val="24"/>
        </w:rPr>
      </w:pPr>
      <w:r w:rsidRPr="006F33C0">
        <w:rPr>
          <w:rFonts w:ascii="Garamond" w:hAnsi="Garamond"/>
          <w:b/>
          <w:bCs/>
          <w:sz w:val="24"/>
          <w:szCs w:val="24"/>
        </w:rPr>
        <w:t xml:space="preserve">Classroom Civility.  </w:t>
      </w:r>
      <w:r w:rsidR="00E91838" w:rsidRPr="006F33C0">
        <w:rPr>
          <w:rFonts w:ascii="Garamond" w:hAnsi="Garamond"/>
          <w:bCs/>
          <w:sz w:val="24"/>
          <w:szCs w:val="24"/>
        </w:rPr>
        <w:t>Silence</w:t>
      </w:r>
      <w:r w:rsidR="006B79C8" w:rsidRPr="006F33C0">
        <w:rPr>
          <w:rFonts w:ascii="Garamond" w:hAnsi="Garamond"/>
          <w:bCs/>
          <w:sz w:val="24"/>
          <w:szCs w:val="24"/>
        </w:rPr>
        <w:t xml:space="preserve"> and put away your phones during class.  </w:t>
      </w:r>
      <w:r w:rsidR="00E91838" w:rsidRPr="006F33C0">
        <w:rPr>
          <w:rFonts w:ascii="Garamond" w:hAnsi="Garamond"/>
          <w:sz w:val="24"/>
          <w:szCs w:val="24"/>
        </w:rPr>
        <w:t>Also</w:t>
      </w:r>
      <w:r w:rsidRPr="006F33C0">
        <w:rPr>
          <w:rFonts w:ascii="Garamond" w:hAnsi="Garamond"/>
          <w:sz w:val="24"/>
          <w:szCs w:val="24"/>
        </w:rPr>
        <w:t xml:space="preserve"> </w:t>
      </w:r>
      <w:r w:rsidR="00AB49F1" w:rsidRPr="006F33C0">
        <w:rPr>
          <w:rFonts w:ascii="Garamond" w:hAnsi="Garamond"/>
          <w:sz w:val="24"/>
          <w:szCs w:val="24"/>
        </w:rPr>
        <w:t xml:space="preserve">do not use your </w:t>
      </w:r>
      <w:r w:rsidR="00E91838" w:rsidRPr="006F33C0">
        <w:rPr>
          <w:rFonts w:ascii="Garamond" w:hAnsi="Garamond"/>
          <w:sz w:val="24"/>
          <w:szCs w:val="24"/>
        </w:rPr>
        <w:t>computers for anything other than note taking</w:t>
      </w:r>
      <w:r w:rsidRPr="006F33C0">
        <w:rPr>
          <w:rFonts w:ascii="Garamond" w:hAnsi="Garamond"/>
          <w:sz w:val="24"/>
          <w:szCs w:val="24"/>
        </w:rPr>
        <w:t xml:space="preserve">.  </w:t>
      </w:r>
      <w:r w:rsidRPr="006F33C0">
        <w:rPr>
          <w:rFonts w:ascii="Garamond" w:hAnsi="Garamond"/>
          <w:bCs/>
          <w:sz w:val="24"/>
          <w:szCs w:val="24"/>
        </w:rPr>
        <w:t xml:space="preserve">   </w:t>
      </w:r>
    </w:p>
    <w:p w:rsidR="00CA3947" w:rsidRPr="006F33C0" w:rsidRDefault="00C62A1B" w:rsidP="00FC1465">
      <w:pPr>
        <w:pStyle w:val="BodyTextIndent"/>
        <w:numPr>
          <w:ilvl w:val="0"/>
          <w:numId w:val="1"/>
        </w:numPr>
        <w:spacing w:before="60"/>
        <w:ind w:left="0" w:firstLine="360"/>
        <w:rPr>
          <w:rFonts w:ascii="Garamond" w:hAnsi="Garamond"/>
          <w:szCs w:val="24"/>
        </w:rPr>
      </w:pPr>
      <w:r w:rsidRPr="006F33C0">
        <w:rPr>
          <w:rFonts w:ascii="Garamond" w:hAnsi="Garamond"/>
          <w:b/>
          <w:bCs/>
          <w:szCs w:val="24"/>
        </w:rPr>
        <w:t>TWEN</w:t>
      </w:r>
      <w:r w:rsidR="00CA3947" w:rsidRPr="006F33C0">
        <w:rPr>
          <w:rFonts w:ascii="Garamond" w:hAnsi="Garamond"/>
          <w:b/>
          <w:bCs/>
          <w:szCs w:val="24"/>
        </w:rPr>
        <w:t xml:space="preserve"> Site. </w:t>
      </w:r>
      <w:r w:rsidR="00CA3947" w:rsidRPr="006F33C0">
        <w:rPr>
          <w:rFonts w:ascii="Garamond" w:hAnsi="Garamond"/>
          <w:szCs w:val="24"/>
        </w:rPr>
        <w:t xml:space="preserve"> There is a course web page at http://lawschool.westlaw.com/twen/, which you can access with your Westlaw password.  </w:t>
      </w:r>
      <w:r w:rsidR="00CA3947" w:rsidRPr="006F33C0">
        <w:rPr>
          <w:rFonts w:ascii="Garamond" w:hAnsi="Garamond"/>
          <w:i/>
          <w:iCs/>
          <w:szCs w:val="24"/>
        </w:rPr>
        <w:t xml:space="preserve">Please sign onto the site soon, because it allows me to communicate with the entire class about schedule and assignment changes, etc. </w:t>
      </w:r>
      <w:r w:rsidR="00CA3947" w:rsidRPr="006F33C0">
        <w:rPr>
          <w:rFonts w:ascii="Garamond" w:hAnsi="Garamond"/>
          <w:szCs w:val="24"/>
        </w:rPr>
        <w:t xml:space="preserve"> The site also has some useful links</w:t>
      </w:r>
      <w:r w:rsidR="00AB49F1" w:rsidRPr="006F33C0">
        <w:rPr>
          <w:rFonts w:ascii="Garamond" w:hAnsi="Garamond"/>
          <w:szCs w:val="24"/>
        </w:rPr>
        <w:t xml:space="preserve"> </w:t>
      </w:r>
      <w:r w:rsidR="00CA3947" w:rsidRPr="006F33C0">
        <w:rPr>
          <w:rFonts w:ascii="Garamond" w:hAnsi="Garamond"/>
          <w:szCs w:val="24"/>
        </w:rPr>
        <w:t>and some important course materials like old exams.  It also has a forum in which you can post questions or comments on materia</w:t>
      </w:r>
      <w:r w:rsidR="00600F92" w:rsidRPr="006F33C0">
        <w:rPr>
          <w:rFonts w:ascii="Garamond" w:hAnsi="Garamond"/>
          <w:szCs w:val="24"/>
        </w:rPr>
        <w:t xml:space="preserve">l we cover in class. </w:t>
      </w:r>
    </w:p>
    <w:p w:rsidR="00605090" w:rsidRPr="006F33C0"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Accommodation.  </w:t>
      </w:r>
      <w:r w:rsidRPr="006F33C0">
        <w:rPr>
          <w:rFonts w:ascii="Garamond" w:hAnsi="Garamond"/>
          <w:bCs/>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CA3947" w:rsidRPr="006F33C0"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Honor Code.  </w:t>
      </w:r>
      <w:r w:rsidRPr="006F33C0">
        <w:rPr>
          <w:rFonts w:ascii="Garamond" w:hAnsi="Garamond"/>
          <w:bCs/>
          <w:szCs w:val="24"/>
        </w:rPr>
        <w:t xml:space="preserve">Please review the College honor code:  </w:t>
      </w:r>
      <w:hyperlink r:id="rId10" w:history="1">
        <w:r w:rsidRPr="006F33C0">
          <w:rPr>
            <w:rStyle w:val="Hyperlink"/>
            <w:rFonts w:ascii="Garamond" w:hAnsi="Garamond"/>
            <w:bCs/>
            <w:szCs w:val="24"/>
          </w:rPr>
          <w:t>https://www.law.ufl.edu/life-at-uf-law/office-of-student-affairs/additional-information/honor-code-and-committee/honor-code</w:t>
        </w:r>
      </w:hyperlink>
      <w:r w:rsidRPr="006F33C0">
        <w:rPr>
          <w:rFonts w:ascii="Garamond" w:hAnsi="Garamond"/>
          <w:bCs/>
          <w:szCs w:val="24"/>
        </w:rPr>
        <w:t xml:space="preserve"> </w:t>
      </w:r>
    </w:p>
    <w:p w:rsidR="00605090" w:rsidRPr="006F33C0" w:rsidRDefault="00605090" w:rsidP="00605090">
      <w:pPr>
        <w:pStyle w:val="BodyTextIndent"/>
        <w:spacing w:before="60"/>
        <w:ind w:firstLine="0"/>
        <w:rPr>
          <w:rFonts w:ascii="Garamond" w:hAnsi="Garamond"/>
          <w:bCs/>
          <w:szCs w:val="24"/>
        </w:rPr>
      </w:pPr>
    </w:p>
    <w:tbl>
      <w:tblPr>
        <w:tblW w:w="88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778"/>
        <w:gridCol w:w="3690"/>
        <w:gridCol w:w="3960"/>
      </w:tblGrid>
      <w:tr w:rsidR="00605090" w:rsidRPr="006F33C0" w:rsidTr="00605090">
        <w:trPr>
          <w:cantSplit/>
        </w:trPr>
        <w:tc>
          <w:tcPr>
            <w:tcW w:w="1237" w:type="dxa"/>
            <w:gridSpan w:val="2"/>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sz w:val="24"/>
                <w:szCs w:val="24"/>
              </w:rPr>
              <w:br w:type="page"/>
            </w:r>
            <w:r w:rsidRPr="006F33C0">
              <w:rPr>
                <w:rFonts w:ascii="Garamond" w:hAnsi="Garamond"/>
                <w:b/>
                <w:bCs/>
                <w:i/>
                <w:sz w:val="24"/>
                <w:szCs w:val="24"/>
              </w:rPr>
              <w:t>Class</w:t>
            </w:r>
          </w:p>
        </w:tc>
        <w:tc>
          <w:tcPr>
            <w:tcW w:w="3690" w:type="dxa"/>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b/>
                <w:bCs/>
                <w:i/>
                <w:sz w:val="24"/>
                <w:szCs w:val="24"/>
              </w:rPr>
              <w:t>Topic</w:t>
            </w:r>
          </w:p>
        </w:tc>
        <w:tc>
          <w:tcPr>
            <w:tcW w:w="3960" w:type="dxa"/>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b/>
                <w:bCs/>
                <w:i/>
                <w:sz w:val="24"/>
                <w:szCs w:val="24"/>
              </w:rPr>
              <w:t>Assignment</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1</w:t>
            </w:r>
          </w:p>
        </w:tc>
        <w:tc>
          <w:tcPr>
            <w:tcW w:w="778" w:type="dxa"/>
            <w:tcBorders>
              <w:bottom w:val="single" w:sz="4" w:space="0" w:color="auto"/>
            </w:tcBorders>
            <w:shd w:val="clear" w:color="auto" w:fill="auto"/>
            <w:vAlign w:val="center"/>
          </w:tcPr>
          <w:p w:rsidR="00605090" w:rsidRPr="006F33C0" w:rsidRDefault="00605090" w:rsidP="00991B66">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8</w:t>
            </w:r>
          </w:p>
        </w:tc>
        <w:tc>
          <w:tcPr>
            <w:tcW w:w="3690" w:type="dxa"/>
            <w:tcBorders>
              <w:bottom w:val="single" w:sz="4" w:space="0" w:color="auto"/>
            </w:tcBorders>
            <w:shd w:val="clear" w:color="auto" w:fill="auto"/>
            <w:vAlign w:val="center"/>
          </w:tcPr>
          <w:p w:rsidR="00605090" w:rsidRPr="006F33C0" w:rsidRDefault="00605090" w:rsidP="000210F3">
            <w:pPr>
              <w:rPr>
                <w:rFonts w:ascii="Garamond" w:hAnsi="Garamond"/>
                <w:sz w:val="24"/>
                <w:szCs w:val="24"/>
              </w:rPr>
            </w:pPr>
            <w:r w:rsidRPr="006F33C0">
              <w:rPr>
                <w:rFonts w:ascii="Garamond" w:hAnsi="Garamond"/>
                <w:b/>
                <w:sz w:val="24"/>
                <w:szCs w:val="24"/>
              </w:rPr>
              <w:t>Overview</w:t>
            </w:r>
            <w:r w:rsidRPr="006F33C0">
              <w:rPr>
                <w:rFonts w:ascii="Garamond" w:hAnsi="Garamond"/>
                <w:sz w:val="24"/>
                <w:szCs w:val="24"/>
              </w:rPr>
              <w:t>:  Jurisdiction, Venue, and Service of Process</w:t>
            </w:r>
          </w:p>
        </w:tc>
        <w:tc>
          <w:tcPr>
            <w:tcW w:w="3960" w:type="dxa"/>
            <w:tcBorders>
              <w:bottom w:val="single" w:sz="4" w:space="0" w:color="auto"/>
            </w:tcBorders>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mallCaps/>
                <w:sz w:val="24"/>
                <w:szCs w:val="24"/>
              </w:rPr>
              <w:t xml:space="preserve">Yeazell </w:t>
            </w:r>
            <w:r w:rsidRPr="006F33C0">
              <w:rPr>
                <w:rFonts w:ascii="Garamond" w:hAnsi="Garamond"/>
                <w:sz w:val="24"/>
                <w:szCs w:val="24"/>
              </w:rPr>
              <w:t>Pages 1-14; U.S. Const. Art. III; 28 U.S.C. §§1331 &amp; 1332</w:t>
            </w:r>
          </w:p>
        </w:tc>
      </w:tr>
      <w:tr w:rsidR="00605090" w:rsidRPr="006F33C0" w:rsidTr="00605090">
        <w:trPr>
          <w:cantSplit/>
          <w:trHeight w:val="269"/>
        </w:trPr>
        <w:tc>
          <w:tcPr>
            <w:tcW w:w="459"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2</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9</w:t>
            </w:r>
          </w:p>
        </w:tc>
        <w:tc>
          <w:tcPr>
            <w:tcW w:w="3690"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Pleading &amp; Joinder</w:t>
            </w:r>
          </w:p>
        </w:tc>
        <w:tc>
          <w:tcPr>
            <w:tcW w:w="3960" w:type="dxa"/>
            <w:shd w:val="clear" w:color="auto" w:fill="auto"/>
            <w:vAlign w:val="center"/>
          </w:tcPr>
          <w:p w:rsidR="00605090" w:rsidRPr="006F33C0" w:rsidRDefault="00605090" w:rsidP="00A7378D">
            <w:pPr>
              <w:rPr>
                <w:rFonts w:ascii="Garamond" w:hAnsi="Garamond"/>
                <w:sz w:val="24"/>
                <w:szCs w:val="24"/>
              </w:rPr>
            </w:pPr>
            <w:r w:rsidRPr="006F33C0">
              <w:rPr>
                <w:rFonts w:ascii="Garamond" w:hAnsi="Garamond"/>
                <w:sz w:val="24"/>
                <w:szCs w:val="24"/>
              </w:rPr>
              <w:t xml:space="preserve">14-32; skim </w:t>
            </w:r>
            <w:r w:rsidRPr="006F33C0">
              <w:rPr>
                <w:rFonts w:ascii="Garamond" w:hAnsi="Garamond"/>
                <w:smallCaps/>
                <w:sz w:val="24"/>
                <w:szCs w:val="24"/>
              </w:rPr>
              <w:t>Fed. R. Civ</w:t>
            </w:r>
            <w:r w:rsidRPr="006F33C0">
              <w:rPr>
                <w:rFonts w:ascii="Garamond" w:hAnsi="Garamond"/>
                <w:sz w:val="24"/>
                <w:szCs w:val="24"/>
              </w:rPr>
              <w:t>. P. 7-15 &amp; 18-24</w:t>
            </w:r>
          </w:p>
        </w:tc>
      </w:tr>
      <w:tr w:rsidR="00605090" w:rsidRPr="006F33C0" w:rsidTr="00605090">
        <w:trPr>
          <w:cantSplit/>
        </w:trPr>
        <w:tc>
          <w:tcPr>
            <w:tcW w:w="459"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3</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10</w:t>
            </w:r>
          </w:p>
        </w:tc>
        <w:tc>
          <w:tcPr>
            <w:tcW w:w="3690"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Discovery</w:t>
            </w:r>
          </w:p>
        </w:tc>
        <w:tc>
          <w:tcPr>
            <w:tcW w:w="3960" w:type="dxa"/>
            <w:shd w:val="clear" w:color="auto" w:fill="auto"/>
            <w:vAlign w:val="center"/>
          </w:tcPr>
          <w:p w:rsidR="00605090" w:rsidRPr="006F33C0" w:rsidRDefault="00605090" w:rsidP="00A7378D">
            <w:pPr>
              <w:rPr>
                <w:rFonts w:ascii="Garamond" w:hAnsi="Garamond"/>
                <w:sz w:val="24"/>
                <w:szCs w:val="24"/>
              </w:rPr>
            </w:pPr>
            <w:r w:rsidRPr="006F33C0">
              <w:rPr>
                <w:rFonts w:ascii="Garamond" w:hAnsi="Garamond"/>
                <w:sz w:val="24"/>
                <w:szCs w:val="24"/>
              </w:rPr>
              <w:t>32-38; skim FRCP 26-37</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16</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Summary Judgment and Trial</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38-49; skim FRCP 56, 38, 50</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1/1</w:t>
            </w:r>
            <w:r w:rsidR="0068534C" w:rsidRPr="006F33C0">
              <w:rPr>
                <w:rFonts w:ascii="Garamond" w:hAnsi="Garamond"/>
                <w:sz w:val="24"/>
                <w:szCs w:val="24"/>
              </w:rPr>
              <w:t>7</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Judgments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49-52; skim FRCP 54, 55, 58, 60</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lastRenderedPageBreak/>
              <w:t>6</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22</w:t>
            </w:r>
          </w:p>
        </w:tc>
        <w:tc>
          <w:tcPr>
            <w:tcW w:w="3690" w:type="dxa"/>
            <w:shd w:val="clear" w:color="auto" w:fill="auto"/>
            <w:vAlign w:val="center"/>
          </w:tcPr>
          <w:p w:rsidR="00605090" w:rsidRPr="006F33C0" w:rsidRDefault="00605090" w:rsidP="00292532">
            <w:pPr>
              <w:rPr>
                <w:rFonts w:ascii="Garamond" w:hAnsi="Garamond"/>
                <w:bCs/>
                <w:sz w:val="24"/>
                <w:szCs w:val="24"/>
              </w:rPr>
            </w:pPr>
            <w:r w:rsidRPr="006F33C0">
              <w:rPr>
                <w:rFonts w:ascii="Garamond" w:hAnsi="Garamond"/>
                <w:bCs/>
                <w:sz w:val="24"/>
                <w:szCs w:val="24"/>
              </w:rPr>
              <w:t>Appeals</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52-58; 28 U.S.C. §§ 1291 &amp; 1292(b)</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7</w:t>
            </w:r>
          </w:p>
        </w:tc>
        <w:tc>
          <w:tcPr>
            <w:tcW w:w="778" w:type="dxa"/>
            <w:shd w:val="clear" w:color="auto" w:fill="auto"/>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1/2</w:t>
            </w:r>
            <w:r w:rsidR="0068534C" w:rsidRPr="006F33C0">
              <w:rPr>
                <w:rFonts w:ascii="Garamond" w:hAnsi="Garamond"/>
                <w:bCs/>
                <w:sz w:val="24"/>
                <w:szCs w:val="24"/>
              </w:rPr>
              <w:t>3</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Personal Jurisdiction</w:t>
            </w:r>
            <w:r w:rsidRPr="006F33C0">
              <w:rPr>
                <w:rFonts w:ascii="Garamond" w:hAnsi="Garamond"/>
                <w:sz w:val="24"/>
                <w:szCs w:val="24"/>
              </w:rPr>
              <w:t xml:space="preserve">: </w:t>
            </w:r>
            <w:r w:rsidRPr="006F33C0">
              <w:rPr>
                <w:rFonts w:ascii="Garamond" w:hAnsi="Garamond"/>
                <w:i/>
                <w:sz w:val="24"/>
                <w:szCs w:val="24"/>
              </w:rPr>
              <w:t>Pennoyer</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63-79</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w:t>
            </w:r>
          </w:p>
        </w:tc>
        <w:tc>
          <w:tcPr>
            <w:tcW w:w="778" w:type="dxa"/>
            <w:shd w:val="clear" w:color="auto" w:fill="auto"/>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1/2</w:t>
            </w:r>
            <w:r w:rsidR="0068534C" w:rsidRPr="006F33C0">
              <w:rPr>
                <w:rFonts w:ascii="Garamond" w:hAnsi="Garamond"/>
                <w:bCs/>
                <w:sz w:val="24"/>
                <w:szCs w:val="24"/>
              </w:rPr>
              <w:t>4</w:t>
            </w:r>
          </w:p>
        </w:tc>
        <w:tc>
          <w:tcPr>
            <w:tcW w:w="3690" w:type="dxa"/>
            <w:shd w:val="clear" w:color="auto" w:fill="auto"/>
            <w:vAlign w:val="center"/>
          </w:tcPr>
          <w:p w:rsidR="00605090" w:rsidRPr="006F33C0" w:rsidRDefault="00605090" w:rsidP="00292532">
            <w:pPr>
              <w:pStyle w:val="Heading2"/>
              <w:rPr>
                <w:rFonts w:ascii="Garamond" w:hAnsi="Garamond"/>
                <w:sz w:val="24"/>
                <w:szCs w:val="24"/>
              </w:rPr>
            </w:pPr>
            <w:r w:rsidRPr="006F33C0">
              <w:rPr>
                <w:rFonts w:ascii="Garamond" w:hAnsi="Garamond"/>
                <w:sz w:val="24"/>
                <w:szCs w:val="24"/>
              </w:rPr>
              <w:t xml:space="preserve">International Shoe </w:t>
            </w:r>
            <w:r w:rsidRPr="006F33C0">
              <w:rPr>
                <w:rFonts w:ascii="Garamond" w:hAnsi="Garamond"/>
                <w:i w:val="0"/>
                <w:sz w:val="24"/>
                <w:szCs w:val="24"/>
              </w:rPr>
              <w:t>&amp; Long-Arm Statutes</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80-89 &amp; 176-80</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9</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29</w:t>
            </w:r>
          </w:p>
        </w:tc>
        <w:tc>
          <w:tcPr>
            <w:tcW w:w="3690" w:type="dxa"/>
            <w:shd w:val="clear" w:color="auto" w:fill="F2F2F2" w:themeFill="background1" w:themeFillShade="F2"/>
            <w:vAlign w:val="center"/>
          </w:tcPr>
          <w:p w:rsidR="00605090" w:rsidRPr="006F33C0" w:rsidRDefault="00605090" w:rsidP="00292532">
            <w:pPr>
              <w:pStyle w:val="Heading2"/>
              <w:rPr>
                <w:rFonts w:ascii="Garamond" w:hAnsi="Garamond"/>
                <w:sz w:val="24"/>
                <w:szCs w:val="24"/>
              </w:rPr>
            </w:pPr>
            <w:r w:rsidRPr="006F33C0">
              <w:rPr>
                <w:rFonts w:ascii="Garamond" w:hAnsi="Garamond"/>
                <w:sz w:val="24"/>
                <w:szCs w:val="24"/>
              </w:rPr>
              <w:t>McGee, Hanson, Shaffer, World-Wide Volkswagen</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89-114</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10</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1/3</w:t>
            </w:r>
            <w:r w:rsidR="0068534C" w:rsidRPr="006F33C0">
              <w:rPr>
                <w:rFonts w:ascii="Garamond" w:hAnsi="Garamond"/>
                <w:sz w:val="24"/>
                <w:szCs w:val="24"/>
              </w:rPr>
              <w:t>0</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i/>
                <w:sz w:val="24"/>
                <w:szCs w:val="24"/>
              </w:rPr>
            </w:pPr>
            <w:r w:rsidRPr="006F33C0">
              <w:rPr>
                <w:rFonts w:ascii="Garamond" w:hAnsi="Garamond"/>
                <w:i/>
                <w:sz w:val="24"/>
                <w:szCs w:val="24"/>
              </w:rPr>
              <w:t xml:space="preserve">McIntyre, Abdouch </w:t>
            </w:r>
            <w:r w:rsidRPr="006F33C0">
              <w:rPr>
                <w:rFonts w:ascii="Garamond" w:hAnsi="Garamond"/>
                <w:i/>
                <w:iCs/>
                <w:sz w:val="24"/>
                <w:szCs w:val="24"/>
              </w:rPr>
              <w:t xml:space="preserve"> </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114-32</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11</w:t>
            </w:r>
          </w:p>
        </w:tc>
        <w:tc>
          <w:tcPr>
            <w:tcW w:w="778" w:type="dxa"/>
            <w:tcBorders>
              <w:bottom w:val="single" w:sz="4" w:space="0" w:color="auto"/>
            </w:tcBorders>
            <w:shd w:val="clear" w:color="auto" w:fill="F2F2F2" w:themeFill="background1" w:themeFillShade="F2"/>
            <w:vAlign w:val="center"/>
          </w:tcPr>
          <w:p w:rsidR="00605090" w:rsidRPr="006F33C0" w:rsidRDefault="0068534C" w:rsidP="00292532">
            <w:pPr>
              <w:spacing w:before="20"/>
              <w:rPr>
                <w:rFonts w:ascii="Garamond" w:hAnsi="Garamond"/>
                <w:sz w:val="24"/>
                <w:szCs w:val="24"/>
              </w:rPr>
            </w:pPr>
            <w:r w:rsidRPr="006F33C0">
              <w:rPr>
                <w:rFonts w:ascii="Garamond" w:hAnsi="Garamond"/>
                <w:sz w:val="24"/>
                <w:szCs w:val="24"/>
              </w:rPr>
              <w:t>1/31</w:t>
            </w:r>
          </w:p>
        </w:tc>
        <w:tc>
          <w:tcPr>
            <w:tcW w:w="3690" w:type="dxa"/>
            <w:shd w:val="clear" w:color="auto" w:fill="F2F2F2" w:themeFill="background1" w:themeFillShade="F2"/>
            <w:vAlign w:val="center"/>
          </w:tcPr>
          <w:p w:rsidR="00605090" w:rsidRPr="006F33C0" w:rsidRDefault="00605090" w:rsidP="00292532">
            <w:pPr>
              <w:rPr>
                <w:rFonts w:ascii="Garamond" w:hAnsi="Garamond"/>
                <w:i/>
                <w:iCs/>
                <w:sz w:val="24"/>
                <w:szCs w:val="24"/>
              </w:rPr>
            </w:pPr>
            <w:r w:rsidRPr="006F33C0">
              <w:rPr>
                <w:rFonts w:ascii="Garamond" w:hAnsi="Garamond"/>
                <w:i/>
                <w:iCs/>
                <w:sz w:val="24"/>
                <w:szCs w:val="24"/>
              </w:rPr>
              <w:t>Goodyear, Daimler, Burnham, Carnival</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132-60</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12</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w:t>
            </w:r>
            <w:r w:rsidR="0068534C" w:rsidRPr="006F33C0">
              <w:rPr>
                <w:rFonts w:ascii="Garamond" w:hAnsi="Garamond"/>
                <w:sz w:val="24"/>
                <w:szCs w:val="24"/>
              </w:rPr>
              <w:t>5</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Notice and Service of Process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160-75; FRCP 4</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13</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w:t>
            </w:r>
            <w:r w:rsidR="0068534C" w:rsidRPr="006F33C0">
              <w:rPr>
                <w:rFonts w:ascii="Garamond" w:hAnsi="Garamond"/>
                <w:sz w:val="24"/>
                <w:szCs w:val="24"/>
              </w:rPr>
              <w:t>6</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 xml:space="preserve">Venue, Transfer, Forum Non </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180-99; 28 U.S.C. §§ 1391 &amp; 1404</w:t>
            </w:r>
          </w:p>
        </w:tc>
      </w:tr>
      <w:tr w:rsidR="00605090" w:rsidRPr="006F33C0" w:rsidTr="00605090">
        <w:trPr>
          <w:cantSplit/>
          <w:trHeight w:val="206"/>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14</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2/</w:t>
            </w:r>
            <w:r w:rsidR="0068534C" w:rsidRPr="006F33C0">
              <w:rPr>
                <w:rFonts w:ascii="Garamond" w:hAnsi="Garamond"/>
                <w:bCs/>
                <w:sz w:val="24"/>
                <w:szCs w:val="24"/>
              </w:rPr>
              <w:t>7</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Subject Matter Jurisdiction</w:t>
            </w:r>
            <w:r w:rsidRPr="006F33C0">
              <w:rPr>
                <w:rFonts w:ascii="Garamond" w:hAnsi="Garamond"/>
                <w:sz w:val="24"/>
                <w:szCs w:val="24"/>
              </w:rPr>
              <w:t>:</w:t>
            </w:r>
          </w:p>
          <w:p w:rsidR="00605090" w:rsidRPr="006F33C0" w:rsidRDefault="00605090" w:rsidP="00292532">
            <w:pPr>
              <w:rPr>
                <w:rFonts w:ascii="Garamond" w:hAnsi="Garamond"/>
                <w:sz w:val="24"/>
                <w:szCs w:val="24"/>
              </w:rPr>
            </w:pPr>
            <w:r w:rsidRPr="006F33C0">
              <w:rPr>
                <w:rFonts w:ascii="Garamond" w:hAnsi="Garamond"/>
                <w:sz w:val="24"/>
                <w:szCs w:val="24"/>
              </w:rPr>
              <w:t>Federal Question Jurisdiction</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205-20; 28 U.S.C. § 1331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15</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2/</w:t>
            </w:r>
            <w:r w:rsidR="0068534C" w:rsidRPr="006F33C0">
              <w:rPr>
                <w:rFonts w:ascii="Garamond" w:hAnsi="Garamond"/>
                <w:bCs/>
                <w:sz w:val="24"/>
                <w:szCs w:val="24"/>
              </w:rPr>
              <w:t>12</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Diversity Jurisdiction &amp; Supplemental Jurisdiction</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220-42; 28 U.S.C. § 1332 &amp; §1337</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16</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2/1</w:t>
            </w:r>
            <w:r w:rsidR="0068534C" w:rsidRPr="006F33C0">
              <w:rPr>
                <w:rFonts w:ascii="Garamond" w:hAnsi="Garamond"/>
                <w:sz w:val="24"/>
                <w:szCs w:val="24"/>
              </w:rPr>
              <w:t>3</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Removal</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242-51; 28 U.S.C. 1441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17</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2/1</w:t>
            </w:r>
            <w:r w:rsidR="0068534C" w:rsidRPr="006F33C0">
              <w:rPr>
                <w:rFonts w:ascii="Garamond" w:hAnsi="Garamond"/>
                <w:sz w:val="24"/>
                <w:szCs w:val="24"/>
              </w:rPr>
              <w:t>4</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 xml:space="preserve">The </w:t>
            </w:r>
            <w:r w:rsidRPr="006F33C0">
              <w:rPr>
                <w:rFonts w:ascii="Garamond" w:hAnsi="Garamond"/>
                <w:i/>
                <w:sz w:val="24"/>
                <w:szCs w:val="24"/>
              </w:rPr>
              <w:t>Erie</w:t>
            </w:r>
            <w:r w:rsidRPr="006F33C0">
              <w:rPr>
                <w:rFonts w:ascii="Garamond" w:hAnsi="Garamond"/>
                <w:sz w:val="24"/>
                <w:szCs w:val="24"/>
              </w:rPr>
              <w:t xml:space="preserve"> Doctrine</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255-82; Handout</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18</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w:t>
            </w:r>
            <w:r w:rsidR="0068534C" w:rsidRPr="006F33C0">
              <w:rPr>
                <w:rFonts w:ascii="Garamond" w:hAnsi="Garamond"/>
                <w:sz w:val="24"/>
                <w:szCs w:val="24"/>
              </w:rPr>
              <w:t>19</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bCs/>
                <w:sz w:val="24"/>
                <w:szCs w:val="24"/>
              </w:rPr>
              <w:t>Remedies</w:t>
            </w:r>
            <w:r w:rsidRPr="006F33C0">
              <w:rPr>
                <w:rFonts w:ascii="Garamond" w:hAnsi="Garamond"/>
                <w:sz w:val="24"/>
                <w:szCs w:val="24"/>
              </w:rPr>
              <w:t>:  Damages, Injunctions &amp; Declaratory Judgments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299-330 FRCP 65</w:t>
            </w:r>
          </w:p>
        </w:tc>
      </w:tr>
      <w:tr w:rsidR="00605090" w:rsidRPr="006F33C0" w:rsidTr="00605090">
        <w:trPr>
          <w:cantSplit/>
          <w:trHeight w:val="242"/>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19</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2/2</w:t>
            </w:r>
            <w:r w:rsidR="0068534C" w:rsidRPr="006F33C0">
              <w:rPr>
                <w:rFonts w:ascii="Garamond" w:hAnsi="Garamond"/>
                <w:sz w:val="24"/>
                <w:szCs w:val="24"/>
              </w:rPr>
              <w:t>0</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Pleading</w:t>
            </w:r>
            <w:r w:rsidRPr="006F33C0">
              <w:rPr>
                <w:rFonts w:ascii="Garamond" w:hAnsi="Garamond"/>
                <w:sz w:val="24"/>
                <w:szCs w:val="24"/>
              </w:rPr>
              <w:t>:  Functions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367-403; FRCP 8 &amp; 12</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20</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2/2</w:t>
            </w:r>
            <w:r w:rsidR="0068534C" w:rsidRPr="006F33C0">
              <w:rPr>
                <w:rFonts w:ascii="Garamond" w:hAnsi="Garamond"/>
                <w:bCs/>
                <w:sz w:val="24"/>
                <w:szCs w:val="24"/>
              </w:rPr>
              <w:t>1</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Special Claims; Allocating Elements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403-16</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21</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2/2</w:t>
            </w:r>
            <w:r w:rsidR="0068534C" w:rsidRPr="006F33C0">
              <w:rPr>
                <w:rFonts w:ascii="Garamond" w:hAnsi="Garamond"/>
                <w:sz w:val="24"/>
                <w:szCs w:val="24"/>
              </w:rPr>
              <w:t>6</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Ethical Limitations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416-29; FRCP 11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22</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2/2</w:t>
            </w:r>
            <w:r w:rsidR="0068534C" w:rsidRPr="006F33C0">
              <w:rPr>
                <w:rFonts w:ascii="Garamond" w:hAnsi="Garamond"/>
                <w:sz w:val="24"/>
                <w:szCs w:val="24"/>
              </w:rPr>
              <w:t>7</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Responding to the Complaint: Default, Motions &amp; Answers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429-45; FRCP 12</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23</w:t>
            </w:r>
          </w:p>
        </w:tc>
        <w:tc>
          <w:tcPr>
            <w:tcW w:w="778" w:type="dxa"/>
            <w:tcBorders>
              <w:bottom w:val="single" w:sz="4" w:space="0" w:color="auto"/>
            </w:tcBorders>
            <w:shd w:val="clear" w:color="auto" w:fill="F2F2F2" w:themeFill="background1" w:themeFillShade="F2"/>
            <w:vAlign w:val="center"/>
          </w:tcPr>
          <w:p w:rsidR="00605090" w:rsidRPr="006F33C0" w:rsidRDefault="0068534C" w:rsidP="00292532">
            <w:pPr>
              <w:spacing w:before="20"/>
              <w:rPr>
                <w:rFonts w:ascii="Garamond" w:hAnsi="Garamond"/>
                <w:sz w:val="24"/>
                <w:szCs w:val="24"/>
              </w:rPr>
            </w:pPr>
            <w:r w:rsidRPr="006F33C0">
              <w:rPr>
                <w:rFonts w:ascii="Garamond" w:hAnsi="Garamond"/>
                <w:sz w:val="24"/>
                <w:szCs w:val="24"/>
              </w:rPr>
              <w:t>2/28</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Amendments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445-58; FRCP 15</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24</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3/1</w:t>
            </w:r>
            <w:r w:rsidR="0068534C" w:rsidRPr="006F33C0">
              <w:rPr>
                <w:rFonts w:ascii="Garamond" w:hAnsi="Garamond"/>
                <w:sz w:val="24"/>
                <w:szCs w:val="24"/>
              </w:rPr>
              <w:t>2</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Discovery &amp; Disclosure</w:t>
            </w:r>
            <w:r w:rsidRPr="006F33C0">
              <w:rPr>
                <w:rFonts w:ascii="Garamond" w:hAnsi="Garamond"/>
                <w:sz w:val="24"/>
                <w:szCs w:val="24"/>
              </w:rPr>
              <w:t>:  Methods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463-81, FRCP 26, 16, 30-36</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25</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3/1</w:t>
            </w:r>
            <w:r w:rsidR="0068534C" w:rsidRPr="006F33C0">
              <w:rPr>
                <w:rFonts w:ascii="Garamond" w:hAnsi="Garamond"/>
                <w:sz w:val="24"/>
                <w:szCs w:val="24"/>
              </w:rPr>
              <w:t>3</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Scope</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481-93  FRCP 26</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26</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3/1</w:t>
            </w:r>
            <w:r w:rsidR="0068534C" w:rsidRPr="006F33C0">
              <w:rPr>
                <w:rFonts w:ascii="Garamond" w:hAnsi="Garamond"/>
                <w:sz w:val="24"/>
                <w:szCs w:val="24"/>
              </w:rPr>
              <w:t>4</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Electronic Discovery</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Handout</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27</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w:t>
            </w:r>
            <w:r w:rsidR="0068534C" w:rsidRPr="006F33C0">
              <w:rPr>
                <w:rFonts w:ascii="Garamond" w:hAnsi="Garamond"/>
                <w:sz w:val="24"/>
                <w:szCs w:val="24"/>
              </w:rPr>
              <w:t>19</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Privilege, Work Product, Experts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493-508</w:t>
            </w:r>
          </w:p>
        </w:tc>
      </w:tr>
      <w:tr w:rsidR="00605090" w:rsidRPr="006F33C0" w:rsidTr="00605090">
        <w:trPr>
          <w:cantSplit/>
          <w:trHeight w:val="269"/>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28</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3/2</w:t>
            </w:r>
            <w:r w:rsidR="0068534C" w:rsidRPr="006F33C0">
              <w:rPr>
                <w:rFonts w:ascii="Garamond" w:hAnsi="Garamond"/>
                <w:sz w:val="24"/>
                <w:szCs w:val="24"/>
              </w:rPr>
              <w:t>0</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bCs/>
                <w:sz w:val="24"/>
                <w:szCs w:val="24"/>
              </w:rPr>
            </w:pPr>
            <w:r w:rsidRPr="006F33C0">
              <w:rPr>
                <w:rFonts w:ascii="Garamond" w:hAnsi="Garamond"/>
                <w:bCs/>
                <w:sz w:val="24"/>
                <w:szCs w:val="24"/>
              </w:rPr>
              <w:t>Sanctions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508-23, FRCP 37</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27</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3/2</w:t>
            </w:r>
            <w:r w:rsidR="0068534C" w:rsidRPr="006F33C0">
              <w:rPr>
                <w:rFonts w:ascii="Garamond" w:hAnsi="Garamond"/>
                <w:sz w:val="24"/>
                <w:szCs w:val="24"/>
              </w:rPr>
              <w:t>1</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Dispositions:</w:t>
            </w:r>
            <w:r w:rsidRPr="006F33C0">
              <w:rPr>
                <w:rFonts w:ascii="Garamond" w:hAnsi="Garamond"/>
                <w:sz w:val="24"/>
                <w:szCs w:val="24"/>
              </w:rPr>
              <w:t xml:space="preserve">  Default &amp; Dismissals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527-36; FRCP 41-55</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30</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3/2</w:t>
            </w:r>
            <w:r w:rsidR="0068534C" w:rsidRPr="006F33C0">
              <w:rPr>
                <w:rFonts w:ascii="Garamond" w:hAnsi="Garamond"/>
                <w:sz w:val="24"/>
                <w:szCs w:val="24"/>
              </w:rPr>
              <w:t>6</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Summary Judgment</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578-98; FRCP 56</w:t>
            </w:r>
          </w:p>
        </w:tc>
      </w:tr>
      <w:tr w:rsidR="00605090" w:rsidRPr="006F33C0" w:rsidTr="00605090">
        <w:trPr>
          <w:cantSplit/>
          <w:trHeight w:val="278"/>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31</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3/2</w:t>
            </w:r>
            <w:r w:rsidR="0068534C" w:rsidRPr="006F33C0">
              <w:rPr>
                <w:rFonts w:ascii="Garamond" w:hAnsi="Garamond"/>
                <w:sz w:val="24"/>
                <w:szCs w:val="24"/>
              </w:rPr>
              <w:t>7</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Right to Jury Trial</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615-22; FRCP 38</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32</w:t>
            </w:r>
          </w:p>
        </w:tc>
        <w:tc>
          <w:tcPr>
            <w:tcW w:w="778" w:type="dxa"/>
            <w:shd w:val="clear" w:color="auto" w:fill="auto"/>
            <w:vAlign w:val="center"/>
          </w:tcPr>
          <w:p w:rsidR="00605090" w:rsidRPr="006F33C0" w:rsidRDefault="00605090" w:rsidP="0068534C">
            <w:pPr>
              <w:spacing w:before="20"/>
              <w:rPr>
                <w:rFonts w:ascii="Garamond" w:hAnsi="Garamond"/>
                <w:bCs/>
                <w:sz w:val="24"/>
                <w:szCs w:val="24"/>
              </w:rPr>
            </w:pPr>
            <w:r w:rsidRPr="006F33C0">
              <w:rPr>
                <w:rFonts w:ascii="Garamond" w:hAnsi="Garamond"/>
                <w:bCs/>
                <w:sz w:val="24"/>
                <w:szCs w:val="24"/>
              </w:rPr>
              <w:t>3/2</w:t>
            </w:r>
            <w:r w:rsidR="0068534C" w:rsidRPr="006F33C0">
              <w:rPr>
                <w:rFonts w:ascii="Garamond" w:hAnsi="Garamond"/>
                <w:bCs/>
                <w:sz w:val="24"/>
                <w:szCs w:val="24"/>
              </w:rPr>
              <w:t>8</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Judgment as a Matter of Law &amp; New Trials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636-59; FRCP 50 &amp; 59</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33</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w:t>
            </w:r>
            <w:r w:rsidR="0068534C" w:rsidRPr="006F33C0">
              <w:rPr>
                <w:rFonts w:ascii="Garamond" w:hAnsi="Garamond"/>
                <w:sz w:val="24"/>
                <w:szCs w:val="24"/>
              </w:rPr>
              <w:t>/2</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Preclusion</w:t>
            </w:r>
            <w:r w:rsidRPr="006F33C0">
              <w:rPr>
                <w:rFonts w:ascii="Garamond" w:hAnsi="Garamond"/>
                <w:sz w:val="24"/>
                <w:szCs w:val="24"/>
              </w:rPr>
              <w:t>:  Res Judicata</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715-44</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lastRenderedPageBreak/>
              <w:t>34</w:t>
            </w:r>
          </w:p>
        </w:tc>
        <w:tc>
          <w:tcPr>
            <w:tcW w:w="778" w:type="dxa"/>
            <w:tcBorders>
              <w:bottom w:val="single" w:sz="4" w:space="0" w:color="auto"/>
            </w:tcBorders>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w:t>
            </w:r>
            <w:r w:rsidR="0068534C" w:rsidRPr="006F33C0">
              <w:rPr>
                <w:rFonts w:ascii="Garamond" w:hAnsi="Garamond"/>
                <w:sz w:val="24"/>
                <w:szCs w:val="24"/>
              </w:rPr>
              <w:t>3</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Collateral Estoppel</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744-65</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35</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w:t>
            </w:r>
            <w:r w:rsidR="0068534C" w:rsidRPr="006F33C0">
              <w:rPr>
                <w:rFonts w:ascii="Garamond" w:hAnsi="Garamond"/>
                <w:sz w:val="24"/>
                <w:szCs w:val="24"/>
              </w:rPr>
              <w:t>4</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Joinder</w:t>
            </w:r>
            <w:r w:rsidRPr="006F33C0">
              <w:rPr>
                <w:rFonts w:ascii="Garamond" w:hAnsi="Garamond"/>
                <w:sz w:val="24"/>
                <w:szCs w:val="24"/>
              </w:rPr>
              <w:t>: Joinder of Claims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785-98; 28 U.S.C. § 1367; FRCP 18 &amp; 13</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36</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w:t>
            </w:r>
            <w:r w:rsidR="0068534C" w:rsidRPr="006F33C0">
              <w:rPr>
                <w:rFonts w:ascii="Garamond" w:hAnsi="Garamond"/>
                <w:sz w:val="24"/>
                <w:szCs w:val="24"/>
              </w:rPr>
              <w:t>9</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Permissive Joinder of Parties &amp; 3d Party Claims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798-812; FRCP 20 &amp; 14</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37</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4/1</w:t>
            </w:r>
            <w:r w:rsidR="0068534C" w:rsidRPr="006F33C0">
              <w:rPr>
                <w:rFonts w:ascii="Garamond" w:hAnsi="Garamond"/>
                <w:sz w:val="24"/>
                <w:szCs w:val="24"/>
              </w:rPr>
              <w:t>0</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Compulsory Joinder</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812-23; FRCP 19</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38</w:t>
            </w:r>
          </w:p>
        </w:tc>
        <w:tc>
          <w:tcPr>
            <w:tcW w:w="778" w:type="dxa"/>
            <w:tcBorders>
              <w:bottom w:val="single" w:sz="4" w:space="0" w:color="auto"/>
            </w:tcBorders>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4/1</w:t>
            </w:r>
            <w:r w:rsidR="0068534C" w:rsidRPr="006F33C0">
              <w:rPr>
                <w:rFonts w:ascii="Garamond" w:hAnsi="Garamond"/>
                <w:sz w:val="24"/>
                <w:szCs w:val="24"/>
              </w:rPr>
              <w:t>1</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Intervention</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823-36 FRCP 24</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39</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4/1</w:t>
            </w:r>
            <w:r w:rsidR="0068534C" w:rsidRPr="006F33C0">
              <w:rPr>
                <w:rFonts w:ascii="Garamond" w:hAnsi="Garamond"/>
                <w:sz w:val="24"/>
                <w:szCs w:val="24"/>
              </w:rPr>
              <w:t>6</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Class Actions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FRCP 23</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40</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4/1</w:t>
            </w:r>
            <w:r w:rsidR="0068534C" w:rsidRPr="006F33C0">
              <w:rPr>
                <w:rFonts w:ascii="Garamond" w:hAnsi="Garamond"/>
                <w:sz w:val="24"/>
                <w:szCs w:val="24"/>
              </w:rPr>
              <w:t>7</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41</w:t>
            </w:r>
          </w:p>
        </w:tc>
        <w:tc>
          <w:tcPr>
            <w:tcW w:w="778" w:type="dxa"/>
            <w:shd w:val="clear" w:color="auto" w:fill="F2F2F2" w:themeFill="background1" w:themeFillShade="F2"/>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4/1</w:t>
            </w:r>
            <w:r w:rsidR="0068534C" w:rsidRPr="006F33C0">
              <w:rPr>
                <w:rFonts w:ascii="Garamond" w:hAnsi="Garamond"/>
                <w:sz w:val="24"/>
                <w:szCs w:val="24"/>
              </w:rPr>
              <w:t>8</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p>
        </w:tc>
      </w:tr>
      <w:tr w:rsidR="00605090" w:rsidRPr="006F33C0" w:rsidTr="00605090">
        <w:trPr>
          <w:cantSplit/>
          <w:trHeight w:val="323"/>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42</w:t>
            </w:r>
          </w:p>
        </w:tc>
        <w:tc>
          <w:tcPr>
            <w:tcW w:w="778" w:type="dxa"/>
            <w:shd w:val="clear" w:color="auto" w:fill="auto"/>
            <w:vAlign w:val="center"/>
          </w:tcPr>
          <w:p w:rsidR="00605090" w:rsidRPr="006F33C0" w:rsidRDefault="00605090" w:rsidP="0068534C">
            <w:pPr>
              <w:spacing w:before="20"/>
              <w:rPr>
                <w:rFonts w:ascii="Garamond" w:hAnsi="Garamond"/>
                <w:sz w:val="24"/>
                <w:szCs w:val="24"/>
              </w:rPr>
            </w:pPr>
            <w:r w:rsidRPr="006F33C0">
              <w:rPr>
                <w:rFonts w:ascii="Garamond" w:hAnsi="Garamond"/>
                <w:sz w:val="24"/>
                <w:szCs w:val="24"/>
              </w:rPr>
              <w:t>4/2</w:t>
            </w:r>
            <w:r w:rsidR="0068534C" w:rsidRPr="006F33C0">
              <w:rPr>
                <w:rFonts w:ascii="Garamond" w:hAnsi="Garamond"/>
                <w:sz w:val="24"/>
                <w:szCs w:val="24"/>
              </w:rPr>
              <w:t>3</w:t>
            </w:r>
          </w:p>
        </w:tc>
        <w:tc>
          <w:tcPr>
            <w:tcW w:w="3690" w:type="dxa"/>
            <w:shd w:val="clear" w:color="auto" w:fill="auto"/>
            <w:vAlign w:val="center"/>
          </w:tcPr>
          <w:p w:rsidR="00605090" w:rsidRPr="006F33C0" w:rsidRDefault="00605090" w:rsidP="00292532">
            <w:pPr>
              <w:rPr>
                <w:rFonts w:ascii="Garamond" w:hAnsi="Garamond"/>
                <w:sz w:val="24"/>
                <w:szCs w:val="24"/>
              </w:rPr>
            </w:pPr>
          </w:p>
        </w:tc>
        <w:tc>
          <w:tcPr>
            <w:tcW w:w="3960" w:type="dxa"/>
            <w:shd w:val="clear" w:color="auto" w:fill="auto"/>
            <w:vAlign w:val="center"/>
          </w:tcPr>
          <w:p w:rsidR="00605090" w:rsidRPr="006F33C0" w:rsidRDefault="00605090" w:rsidP="00292532">
            <w:pPr>
              <w:rPr>
                <w:rFonts w:ascii="Garamond" w:hAnsi="Garamond"/>
                <w:sz w:val="24"/>
                <w:szCs w:val="24"/>
              </w:rPr>
            </w:pPr>
          </w:p>
        </w:tc>
      </w:tr>
    </w:tbl>
    <w:p w:rsidR="00CA3947" w:rsidRPr="006F33C0" w:rsidRDefault="00CA3947">
      <w:pPr>
        <w:rPr>
          <w:rFonts w:ascii="Garamond" w:hAnsi="Garamond"/>
          <w:sz w:val="24"/>
          <w:szCs w:val="24"/>
        </w:rPr>
      </w:pPr>
    </w:p>
    <w:sectPr w:rsidR="00CA3947" w:rsidRPr="006F33C0">
      <w:footerReference w:type="even" r:id="rId11"/>
      <w:footerReference w:type="default" r:id="rId12"/>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28" w:rsidRDefault="006E3A28">
      <w:r>
        <w:separator/>
      </w:r>
    </w:p>
  </w:endnote>
  <w:endnote w:type="continuationSeparator" w:id="0">
    <w:p w:rsidR="006E3A28" w:rsidRDefault="006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F70" w:rsidRDefault="00DA7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494">
      <w:rPr>
        <w:rStyle w:val="PageNumber"/>
        <w:noProof/>
      </w:rPr>
      <w:t>2</w:t>
    </w:r>
    <w:r>
      <w:rPr>
        <w:rStyle w:val="PageNumber"/>
      </w:rPr>
      <w:fldChar w:fldCharType="end"/>
    </w:r>
  </w:p>
  <w:p w:rsidR="00DA7F70" w:rsidRDefault="00DA7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28" w:rsidRDefault="006E3A28">
      <w:r>
        <w:separator/>
      </w:r>
    </w:p>
  </w:footnote>
  <w:footnote w:type="continuationSeparator" w:id="0">
    <w:p w:rsidR="006E3A28" w:rsidRDefault="006E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0793B"/>
    <w:multiLevelType w:val="hybridMultilevel"/>
    <w:tmpl w:val="9F2AA036"/>
    <w:lvl w:ilvl="0" w:tplc="FD6A7A7E">
      <w:start w:val="1"/>
      <w:numFmt w:val="decimal"/>
      <w:lvlText w:val="%1."/>
      <w:lvlJc w:val="left"/>
      <w:pPr>
        <w:tabs>
          <w:tab w:val="num" w:pos="1008"/>
        </w:tabs>
        <w:ind w:left="1008" w:hanging="360"/>
      </w:pPr>
      <w:rPr>
        <w:rFonts w:hint="default"/>
        <w:b/>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CF127C"/>
    <w:rsid w:val="000210F3"/>
    <w:rsid w:val="00042BF9"/>
    <w:rsid w:val="00045809"/>
    <w:rsid w:val="0008447D"/>
    <w:rsid w:val="000A0476"/>
    <w:rsid w:val="000C45B3"/>
    <w:rsid w:val="000D0A52"/>
    <w:rsid w:val="000D2CF8"/>
    <w:rsid w:val="000D5EBC"/>
    <w:rsid w:val="000E1F48"/>
    <w:rsid w:val="00105B6E"/>
    <w:rsid w:val="00107AA5"/>
    <w:rsid w:val="00171415"/>
    <w:rsid w:val="001A02CF"/>
    <w:rsid w:val="001A5874"/>
    <w:rsid w:val="001B65DF"/>
    <w:rsid w:val="001B7923"/>
    <w:rsid w:val="001C2D9C"/>
    <w:rsid w:val="001C3494"/>
    <w:rsid w:val="001C43D5"/>
    <w:rsid w:val="001C585B"/>
    <w:rsid w:val="00216A81"/>
    <w:rsid w:val="002272BD"/>
    <w:rsid w:val="00257E8B"/>
    <w:rsid w:val="0026476C"/>
    <w:rsid w:val="0027456F"/>
    <w:rsid w:val="00292532"/>
    <w:rsid w:val="002E541E"/>
    <w:rsid w:val="002F1FE3"/>
    <w:rsid w:val="00313BA6"/>
    <w:rsid w:val="00320A91"/>
    <w:rsid w:val="00322E9E"/>
    <w:rsid w:val="00335454"/>
    <w:rsid w:val="003A3C25"/>
    <w:rsid w:val="00422659"/>
    <w:rsid w:val="00493073"/>
    <w:rsid w:val="004C0BD1"/>
    <w:rsid w:val="004E0A84"/>
    <w:rsid w:val="00516CFB"/>
    <w:rsid w:val="00525318"/>
    <w:rsid w:val="00530BFF"/>
    <w:rsid w:val="005D0B53"/>
    <w:rsid w:val="005D40F4"/>
    <w:rsid w:val="005E3E6F"/>
    <w:rsid w:val="00600F92"/>
    <w:rsid w:val="00602E5C"/>
    <w:rsid w:val="00605090"/>
    <w:rsid w:val="006102ED"/>
    <w:rsid w:val="006241B2"/>
    <w:rsid w:val="0063533A"/>
    <w:rsid w:val="00646044"/>
    <w:rsid w:val="00652A1D"/>
    <w:rsid w:val="00671464"/>
    <w:rsid w:val="0068534C"/>
    <w:rsid w:val="00693627"/>
    <w:rsid w:val="006B79C8"/>
    <w:rsid w:val="006C2C36"/>
    <w:rsid w:val="006E3A28"/>
    <w:rsid w:val="006F33C0"/>
    <w:rsid w:val="006F6012"/>
    <w:rsid w:val="00705E97"/>
    <w:rsid w:val="0075008C"/>
    <w:rsid w:val="007E397A"/>
    <w:rsid w:val="007E5F74"/>
    <w:rsid w:val="00853386"/>
    <w:rsid w:val="008538AB"/>
    <w:rsid w:val="008706B2"/>
    <w:rsid w:val="008B5A24"/>
    <w:rsid w:val="008C2906"/>
    <w:rsid w:val="008D46BE"/>
    <w:rsid w:val="0091455F"/>
    <w:rsid w:val="0095513F"/>
    <w:rsid w:val="00991B66"/>
    <w:rsid w:val="009A5040"/>
    <w:rsid w:val="009A569E"/>
    <w:rsid w:val="009B03BD"/>
    <w:rsid w:val="009F0F49"/>
    <w:rsid w:val="00A07DF1"/>
    <w:rsid w:val="00A37875"/>
    <w:rsid w:val="00A4242E"/>
    <w:rsid w:val="00A5161E"/>
    <w:rsid w:val="00A53121"/>
    <w:rsid w:val="00A57DE8"/>
    <w:rsid w:val="00A677E7"/>
    <w:rsid w:val="00A7378D"/>
    <w:rsid w:val="00A959A0"/>
    <w:rsid w:val="00AB49F1"/>
    <w:rsid w:val="00AC5C5B"/>
    <w:rsid w:val="00B218C0"/>
    <w:rsid w:val="00B4314B"/>
    <w:rsid w:val="00B54CF4"/>
    <w:rsid w:val="00B71B66"/>
    <w:rsid w:val="00B73128"/>
    <w:rsid w:val="00B76753"/>
    <w:rsid w:val="00B936C2"/>
    <w:rsid w:val="00BC03B9"/>
    <w:rsid w:val="00C1137C"/>
    <w:rsid w:val="00C3047A"/>
    <w:rsid w:val="00C5151B"/>
    <w:rsid w:val="00C51CC8"/>
    <w:rsid w:val="00C53E3B"/>
    <w:rsid w:val="00C62A1B"/>
    <w:rsid w:val="00C94D4A"/>
    <w:rsid w:val="00C965A6"/>
    <w:rsid w:val="00CA3947"/>
    <w:rsid w:val="00CB6D2E"/>
    <w:rsid w:val="00CD4363"/>
    <w:rsid w:val="00CF127C"/>
    <w:rsid w:val="00D04488"/>
    <w:rsid w:val="00D43319"/>
    <w:rsid w:val="00D732E9"/>
    <w:rsid w:val="00DA0F57"/>
    <w:rsid w:val="00DA3EDC"/>
    <w:rsid w:val="00DA7F70"/>
    <w:rsid w:val="00DB0C1C"/>
    <w:rsid w:val="00DB60B4"/>
    <w:rsid w:val="00DE2A18"/>
    <w:rsid w:val="00E24563"/>
    <w:rsid w:val="00E4755D"/>
    <w:rsid w:val="00E67DFE"/>
    <w:rsid w:val="00E80A58"/>
    <w:rsid w:val="00E91838"/>
    <w:rsid w:val="00EA4620"/>
    <w:rsid w:val="00EB040C"/>
    <w:rsid w:val="00EB35E7"/>
    <w:rsid w:val="00EC46E8"/>
    <w:rsid w:val="00EC6926"/>
    <w:rsid w:val="00EF3499"/>
    <w:rsid w:val="00F13DDF"/>
    <w:rsid w:val="00F26A72"/>
    <w:rsid w:val="00F520CB"/>
    <w:rsid w:val="00F556C0"/>
    <w:rsid w:val="00F71565"/>
    <w:rsid w:val="00FC1465"/>
    <w:rsid w:val="00FC5F60"/>
    <w:rsid w:val="00FC6977"/>
    <w:rsid w:val="00FD7EB6"/>
    <w:rsid w:val="00FE3147"/>
    <w:rsid w:val="00FE456E"/>
    <w:rsid w:val="00FF266A"/>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A3E58-980B-4816-A7E3-BFF1BCFE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288"/>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24563"/>
    <w:rPr>
      <w:color w:val="0000FF"/>
      <w:u w:val="single"/>
    </w:rPr>
  </w:style>
  <w:style w:type="paragraph" w:styleId="ListParagraph">
    <w:name w:val="List Paragraph"/>
    <w:basedOn w:val="Normal"/>
    <w:uiPriority w:val="34"/>
    <w:qFormat/>
    <w:rsid w:val="005E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e@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8D04-C8B5-4C48-8DD1-BF284930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Civil Procedure I</vt:lpstr>
    </vt:vector>
  </TitlesOfParts>
  <Company>UF College of Law</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I</dc:title>
  <dc:subject/>
  <dc:creator>Legal Information Center</dc:creator>
  <cp:keywords/>
  <cp:lastModifiedBy>Fields,Krista</cp:lastModifiedBy>
  <cp:revision>2</cp:revision>
  <cp:lastPrinted>2009-12-24T15:44:00Z</cp:lastPrinted>
  <dcterms:created xsi:type="dcterms:W3CDTF">2017-12-08T16:29:00Z</dcterms:created>
  <dcterms:modified xsi:type="dcterms:W3CDTF">2017-12-08T16:29:00Z</dcterms:modified>
</cp:coreProperties>
</file>