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B93C" w14:textId="77777777" w:rsidR="00D56FA3" w:rsidRPr="00E2458F" w:rsidRDefault="00D56FA3" w:rsidP="00D56FA3">
      <w:pPr>
        <w:spacing w:line="259" w:lineRule="auto"/>
        <w:ind w:left="-90"/>
        <w:jc w:val="center"/>
        <w:rPr>
          <w:bCs/>
        </w:rPr>
      </w:pPr>
      <w:r>
        <w:rPr>
          <w:b/>
        </w:rPr>
        <w:t>ESTATE PLANNING</w:t>
      </w:r>
    </w:p>
    <w:p w14:paraId="5F8A1B52" w14:textId="77777777" w:rsidR="00D56FA3" w:rsidRPr="00F335E2" w:rsidRDefault="00D56FA3" w:rsidP="00D56FA3">
      <w:pPr>
        <w:spacing w:after="8" w:line="265" w:lineRule="auto"/>
        <w:ind w:left="1791" w:right="1718"/>
        <w:jc w:val="center"/>
        <w:rPr>
          <w:b/>
          <w:sz w:val="22"/>
          <w:szCs w:val="22"/>
        </w:rPr>
      </w:pPr>
      <w:r w:rsidRPr="00F335E2">
        <w:rPr>
          <w:b/>
          <w:sz w:val="22"/>
          <w:szCs w:val="22"/>
        </w:rPr>
        <w:t xml:space="preserve">UNIVERSITY OF FLORIDA LEVIN COLLEGE OF LAW </w:t>
      </w:r>
    </w:p>
    <w:p w14:paraId="5047018A" w14:textId="77777777" w:rsidR="00D56FA3" w:rsidRDefault="00D56FA3" w:rsidP="00D56FA3">
      <w:pPr>
        <w:spacing w:after="8" w:line="265" w:lineRule="auto"/>
        <w:ind w:left="1791" w:right="1718"/>
        <w:jc w:val="center"/>
        <w:rPr>
          <w:b/>
          <w:smallCaps/>
          <w:sz w:val="22"/>
          <w:szCs w:val="22"/>
        </w:rPr>
      </w:pPr>
      <w:r>
        <w:rPr>
          <w:b/>
          <w:smallCaps/>
          <w:sz w:val="22"/>
          <w:szCs w:val="22"/>
        </w:rPr>
        <w:t xml:space="preserve">SPRING SEMESTER </w:t>
      </w:r>
    </w:p>
    <w:p w14:paraId="4F12E26C" w14:textId="77777777" w:rsidR="00D56FA3" w:rsidRPr="00F335E2" w:rsidRDefault="00D56FA3" w:rsidP="00D56FA3">
      <w:pPr>
        <w:spacing w:after="8" w:line="265" w:lineRule="auto"/>
        <w:ind w:left="1791" w:right="1718"/>
        <w:jc w:val="center"/>
        <w:rPr>
          <w:b/>
          <w:smallCaps/>
          <w:sz w:val="22"/>
          <w:szCs w:val="22"/>
        </w:rPr>
      </w:pPr>
      <w:r w:rsidRPr="00F335E2">
        <w:rPr>
          <w:b/>
          <w:smallCaps/>
          <w:sz w:val="22"/>
          <w:szCs w:val="22"/>
        </w:rPr>
        <w:t xml:space="preserve">SYLLABUS – LAW </w:t>
      </w:r>
      <w:r w:rsidRPr="00E2458F">
        <w:rPr>
          <w:b/>
          <w:smallCaps/>
          <w:sz w:val="22"/>
          <w:szCs w:val="22"/>
        </w:rPr>
        <w:t xml:space="preserve">7626 </w:t>
      </w:r>
      <w:r w:rsidRPr="00F335E2">
        <w:rPr>
          <w:b/>
          <w:smallCaps/>
          <w:sz w:val="22"/>
          <w:szCs w:val="22"/>
        </w:rPr>
        <w:t xml:space="preserve">– </w:t>
      </w:r>
      <w:r>
        <w:rPr>
          <w:b/>
          <w:smallCaps/>
          <w:sz w:val="22"/>
          <w:szCs w:val="22"/>
        </w:rPr>
        <w:t>2</w:t>
      </w:r>
      <w:r w:rsidRPr="00F335E2">
        <w:rPr>
          <w:b/>
          <w:smallCaps/>
          <w:sz w:val="22"/>
          <w:szCs w:val="22"/>
        </w:rPr>
        <w:t xml:space="preserve"> CREDITS </w:t>
      </w:r>
    </w:p>
    <w:p w14:paraId="6A1B78BB" w14:textId="77777777" w:rsidR="0044543F" w:rsidRPr="00F335E2" w:rsidRDefault="0044543F" w:rsidP="0044543F">
      <w:pPr>
        <w:spacing w:after="8" w:line="265" w:lineRule="auto"/>
        <w:ind w:left="1791" w:right="1718"/>
        <w:jc w:val="center"/>
        <w:rPr>
          <w:b/>
          <w:sz w:val="22"/>
          <w:szCs w:val="22"/>
        </w:rPr>
      </w:pPr>
    </w:p>
    <w:p w14:paraId="279F3E97" w14:textId="77777777" w:rsidR="00D56FA3" w:rsidRPr="00E2458F" w:rsidRDefault="00D56FA3" w:rsidP="00D56FA3">
      <w:pPr>
        <w:rPr>
          <w:sz w:val="22"/>
          <w:szCs w:val="22"/>
        </w:rPr>
      </w:pPr>
      <w:r>
        <w:rPr>
          <w:sz w:val="22"/>
          <w:szCs w:val="22"/>
        </w:rPr>
        <w:t xml:space="preserve">Professor Andrew J. </w:t>
      </w:r>
      <w:proofErr w:type="spellStart"/>
      <w:r>
        <w:rPr>
          <w:sz w:val="22"/>
          <w:szCs w:val="22"/>
        </w:rPr>
        <w:t>Buddemeyer</w:t>
      </w:r>
      <w:proofErr w:type="spellEnd"/>
    </w:p>
    <w:p w14:paraId="2330F05D" w14:textId="77777777" w:rsidR="00D56FA3" w:rsidRPr="00F335E2" w:rsidRDefault="00D56FA3" w:rsidP="00D56FA3">
      <w:pPr>
        <w:rPr>
          <w:sz w:val="22"/>
          <w:szCs w:val="22"/>
        </w:rPr>
      </w:pPr>
      <w:r>
        <w:rPr>
          <w:sz w:val="22"/>
          <w:szCs w:val="22"/>
        </w:rPr>
        <w:t>Office Phone: (813) 204-6426</w:t>
      </w:r>
    </w:p>
    <w:p w14:paraId="2781DA88" w14:textId="77777777" w:rsidR="00D56FA3" w:rsidRPr="00E2458F" w:rsidRDefault="00D56FA3" w:rsidP="00D56FA3">
      <w:pPr>
        <w:rPr>
          <w:sz w:val="22"/>
          <w:szCs w:val="22"/>
        </w:rPr>
      </w:pPr>
      <w:r w:rsidRPr="00F335E2">
        <w:rPr>
          <w:sz w:val="22"/>
          <w:szCs w:val="22"/>
        </w:rPr>
        <w:t xml:space="preserve">Email: </w:t>
      </w:r>
      <w:hyperlink r:id="rId8" w:history="1">
        <w:r w:rsidRPr="001904BC">
          <w:rPr>
            <w:rStyle w:val="Hyperlink"/>
            <w:sz w:val="22"/>
            <w:szCs w:val="22"/>
            <w:lang w:eastAsia="zh-CN"/>
          </w:rPr>
          <w:t>abuddemeyer@bushross.com</w:t>
        </w:r>
      </w:hyperlink>
      <w:r>
        <w:rPr>
          <w:sz w:val="22"/>
          <w:szCs w:val="22"/>
          <w:lang w:eastAsia="zh-CN"/>
        </w:rPr>
        <w:t xml:space="preserve"> </w:t>
      </w:r>
    </w:p>
    <w:p w14:paraId="3BA95678" w14:textId="77777777" w:rsidR="00D56FA3" w:rsidRPr="00E2458F" w:rsidRDefault="00D56FA3" w:rsidP="00D56FA3">
      <w:pPr>
        <w:rPr>
          <w:sz w:val="22"/>
          <w:szCs w:val="22"/>
          <w:lang w:eastAsia="zh-CN"/>
        </w:rPr>
      </w:pPr>
      <w:r w:rsidRPr="00F335E2">
        <w:rPr>
          <w:sz w:val="22"/>
          <w:szCs w:val="22"/>
        </w:rPr>
        <w:t xml:space="preserve">Office Hours: </w:t>
      </w:r>
      <w:r>
        <w:rPr>
          <w:sz w:val="22"/>
          <w:szCs w:val="22"/>
          <w:lang w:eastAsia="zh-CN"/>
        </w:rPr>
        <w:t xml:space="preserve">Mondays 5:30 pm – 6:30 pm (for in person classes, one person per class).  I am also happy to make appointments to speak by telephone or </w:t>
      </w:r>
      <w:proofErr w:type="gramStart"/>
      <w:r>
        <w:rPr>
          <w:sz w:val="22"/>
          <w:szCs w:val="22"/>
          <w:lang w:eastAsia="zh-CN"/>
        </w:rPr>
        <w:t>Zoom</w:t>
      </w:r>
      <w:proofErr w:type="gramEnd"/>
      <w:r>
        <w:rPr>
          <w:sz w:val="22"/>
          <w:szCs w:val="22"/>
          <w:lang w:eastAsia="zh-CN"/>
        </w:rPr>
        <w:t xml:space="preserve"> at mutually agreeable times.  </w:t>
      </w:r>
    </w:p>
    <w:p w14:paraId="37EEE19B" w14:textId="77777777" w:rsidR="00D56FA3" w:rsidRDefault="00D56FA3" w:rsidP="00242088">
      <w:pPr>
        <w:shd w:val="clear" w:color="auto" w:fill="FFFFFF"/>
        <w:rPr>
          <w:b/>
          <w:sz w:val="22"/>
          <w:szCs w:val="22"/>
          <w:u w:val="single"/>
        </w:rPr>
      </w:pPr>
    </w:p>
    <w:p w14:paraId="329582A2" w14:textId="63B9EF04" w:rsidR="00242088" w:rsidRPr="00166AAB" w:rsidRDefault="006A5D34" w:rsidP="00242088">
      <w:pPr>
        <w:shd w:val="clear" w:color="auto" w:fill="FFFFFF"/>
        <w:rPr>
          <w:color w:val="C00000"/>
          <w:sz w:val="22"/>
          <w:szCs w:val="22"/>
          <w:lang w:eastAsia="zh-CN"/>
        </w:rPr>
      </w:pPr>
      <w:r w:rsidRPr="00F335E2">
        <w:rPr>
          <w:b/>
          <w:sz w:val="22"/>
          <w:szCs w:val="22"/>
          <w:u w:val="single"/>
        </w:rPr>
        <w:t>MEETING TIME</w:t>
      </w:r>
      <w:r w:rsidR="00242088" w:rsidRPr="00F335E2">
        <w:rPr>
          <w:b/>
          <w:sz w:val="22"/>
          <w:szCs w:val="22"/>
          <w:u w:val="single"/>
        </w:rPr>
        <w:t>:</w:t>
      </w:r>
      <w:r w:rsidR="00242088" w:rsidRPr="00D56FA3">
        <w:rPr>
          <w:b/>
          <w:sz w:val="22"/>
          <w:szCs w:val="22"/>
        </w:rPr>
        <w:t xml:space="preserve"> </w:t>
      </w:r>
      <w:r w:rsidR="00D56FA3">
        <w:rPr>
          <w:sz w:val="22"/>
          <w:szCs w:val="22"/>
        </w:rPr>
        <w:t>Friday 1:15 pm – 4:30 pm</w:t>
      </w:r>
      <w:r w:rsidR="00D56FA3" w:rsidRPr="00166AAB">
        <w:rPr>
          <w:sz w:val="22"/>
          <w:szCs w:val="22"/>
        </w:rPr>
        <w:t xml:space="preserve"> (Class Dates: January 20; January 27; February 17; February 24; March 3; March 31; April 7; and April 21)</w:t>
      </w:r>
    </w:p>
    <w:p w14:paraId="154C7CCF" w14:textId="60A0383A" w:rsidR="006A5D34" w:rsidRDefault="006A5D34" w:rsidP="006A5D34">
      <w:pPr>
        <w:rPr>
          <w:sz w:val="22"/>
          <w:szCs w:val="22"/>
        </w:rPr>
      </w:pPr>
      <w:r w:rsidRPr="00F335E2">
        <w:rPr>
          <w:b/>
          <w:sz w:val="22"/>
          <w:szCs w:val="22"/>
          <w:u w:val="single"/>
        </w:rPr>
        <w:t>LOCATION</w:t>
      </w:r>
      <w:r w:rsidR="00242088" w:rsidRPr="00F335E2">
        <w:rPr>
          <w:b/>
          <w:sz w:val="22"/>
          <w:szCs w:val="22"/>
          <w:u w:val="single"/>
        </w:rPr>
        <w:t>:</w:t>
      </w:r>
      <w:r w:rsidR="00D56FA3">
        <w:rPr>
          <w:sz w:val="22"/>
          <w:szCs w:val="22"/>
        </w:rPr>
        <w:t xml:space="preserve"> HH 359</w:t>
      </w:r>
    </w:p>
    <w:p w14:paraId="7D9A00BB" w14:textId="77777777" w:rsidR="00D56FA3" w:rsidRPr="00F335E2" w:rsidRDefault="00D56FA3" w:rsidP="006A5D34">
      <w:pPr>
        <w:rPr>
          <w:sz w:val="22"/>
          <w:szCs w:val="22"/>
        </w:rPr>
      </w:pPr>
    </w:p>
    <w:p w14:paraId="5373273B" w14:textId="5D669376" w:rsidR="00B47272" w:rsidRPr="00F335E2" w:rsidRDefault="006A5D34" w:rsidP="00B47272">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628AED36" w14:textId="77777777" w:rsidR="00D56FA3" w:rsidRPr="00FF71F0" w:rsidRDefault="00D56FA3" w:rsidP="00D56FA3">
      <w:pPr>
        <w:jc w:val="both"/>
        <w:rPr>
          <w:sz w:val="22"/>
          <w:szCs w:val="22"/>
        </w:rPr>
      </w:pPr>
      <w:r>
        <w:rPr>
          <w:sz w:val="22"/>
          <w:szCs w:val="22"/>
        </w:rPr>
        <w:t xml:space="preserve">The course is intended to prepare students to understand and apply estate planning techniques to common legal needs of estate planning clients.  The course will focus on federal tax considerations (including income tax, estate tax, gift tax, and the generation skipping tax) relation to and impact on the estate planning process. In addition to the relevant tax laws, the course will familiarize students with state law related to trust and wills, insurance law, real and personal property, marital property, and business organizations, and their impact on the estate planning process. </w:t>
      </w:r>
    </w:p>
    <w:p w14:paraId="0DB79B1F" w14:textId="77777777" w:rsidR="00D56FA3" w:rsidRDefault="00D56FA3" w:rsidP="006A5D34">
      <w:pPr>
        <w:rPr>
          <w:b/>
          <w:sz w:val="22"/>
          <w:szCs w:val="22"/>
          <w:u w:val="single"/>
        </w:rPr>
      </w:pPr>
    </w:p>
    <w:p w14:paraId="69B96114" w14:textId="4725BC5A" w:rsidR="006A5D34" w:rsidRPr="00F335E2" w:rsidRDefault="006A5D34" w:rsidP="006A5D34">
      <w:pPr>
        <w:rPr>
          <w:b/>
          <w:sz w:val="22"/>
          <w:szCs w:val="22"/>
          <w:u w:val="single"/>
        </w:rPr>
      </w:pPr>
      <w:r w:rsidRPr="00F335E2">
        <w:rPr>
          <w:b/>
          <w:sz w:val="22"/>
          <w:szCs w:val="22"/>
          <w:u w:val="single"/>
        </w:rPr>
        <w:t>STUDENT LEARNING OUTCOMES</w:t>
      </w:r>
      <w:r w:rsidR="00242088" w:rsidRPr="00F335E2">
        <w:rPr>
          <w:b/>
          <w:sz w:val="22"/>
          <w:szCs w:val="22"/>
          <w:u w:val="single"/>
        </w:rPr>
        <w:t>:</w:t>
      </w:r>
    </w:p>
    <w:p w14:paraId="3109D29E" w14:textId="3C37B092" w:rsidR="006A5D34" w:rsidRPr="00F335E2" w:rsidRDefault="006A5D34" w:rsidP="006A5D34">
      <w:pPr>
        <w:rPr>
          <w:b/>
          <w:sz w:val="22"/>
          <w:szCs w:val="22"/>
          <w:u w:val="single"/>
        </w:rPr>
      </w:pPr>
    </w:p>
    <w:p w14:paraId="1D4479AA" w14:textId="77777777" w:rsidR="00D56FA3" w:rsidRPr="00F335E2" w:rsidRDefault="00D56FA3" w:rsidP="00D56FA3">
      <w:pPr>
        <w:autoSpaceDE w:val="0"/>
        <w:autoSpaceDN w:val="0"/>
        <w:adjustRightInd w:val="0"/>
        <w:rPr>
          <w:b/>
          <w:bCs/>
          <w:sz w:val="22"/>
          <w:szCs w:val="22"/>
        </w:rPr>
      </w:pPr>
      <w:r w:rsidRPr="00F335E2">
        <w:rPr>
          <w:bCs/>
          <w:sz w:val="22"/>
          <w:szCs w:val="22"/>
        </w:rPr>
        <w:t>At the end of this course, students should be able to:</w:t>
      </w:r>
    </w:p>
    <w:p w14:paraId="66FC2D79" w14:textId="77777777" w:rsidR="00D56FA3" w:rsidRDefault="00D56FA3" w:rsidP="00D56FA3">
      <w:pPr>
        <w:numPr>
          <w:ilvl w:val="0"/>
          <w:numId w:val="3"/>
        </w:numPr>
        <w:rPr>
          <w:sz w:val="22"/>
          <w:szCs w:val="22"/>
        </w:rPr>
      </w:pPr>
      <w:r>
        <w:rPr>
          <w:sz w:val="22"/>
          <w:szCs w:val="22"/>
        </w:rPr>
        <w:t>Understand the basic federal transfer tax rules and federal income tax rules relevant to gift and estate gratuitous transfers</w:t>
      </w:r>
    </w:p>
    <w:p w14:paraId="73695611" w14:textId="77777777" w:rsidR="00D56FA3" w:rsidRDefault="00D56FA3" w:rsidP="00D56FA3">
      <w:pPr>
        <w:numPr>
          <w:ilvl w:val="0"/>
          <w:numId w:val="3"/>
        </w:numPr>
        <w:rPr>
          <w:sz w:val="22"/>
          <w:szCs w:val="22"/>
        </w:rPr>
      </w:pPr>
      <w:r>
        <w:rPr>
          <w:sz w:val="22"/>
          <w:szCs w:val="22"/>
        </w:rPr>
        <w:t>Read, interpret, and analyze case, statutory, and regulatory material</w:t>
      </w:r>
    </w:p>
    <w:p w14:paraId="2B17C596" w14:textId="77777777" w:rsidR="00D56FA3" w:rsidRDefault="00D56FA3" w:rsidP="00D56FA3">
      <w:pPr>
        <w:numPr>
          <w:ilvl w:val="0"/>
          <w:numId w:val="3"/>
        </w:numPr>
        <w:rPr>
          <w:sz w:val="22"/>
          <w:szCs w:val="22"/>
        </w:rPr>
      </w:pPr>
      <w:r>
        <w:rPr>
          <w:sz w:val="22"/>
          <w:szCs w:val="22"/>
        </w:rPr>
        <w:t>Identify relevant problems associated with estate planning</w:t>
      </w:r>
    </w:p>
    <w:p w14:paraId="4A03C543" w14:textId="77777777" w:rsidR="00D56FA3" w:rsidRDefault="00D56FA3" w:rsidP="00D56FA3">
      <w:pPr>
        <w:numPr>
          <w:ilvl w:val="0"/>
          <w:numId w:val="3"/>
        </w:numPr>
        <w:rPr>
          <w:sz w:val="22"/>
          <w:szCs w:val="22"/>
        </w:rPr>
      </w:pPr>
      <w:r>
        <w:rPr>
          <w:sz w:val="22"/>
          <w:szCs w:val="22"/>
        </w:rPr>
        <w:t>Apply relevant state law and tax law in critically analyzing estate planning problems</w:t>
      </w:r>
    </w:p>
    <w:p w14:paraId="0DB376E8" w14:textId="4F00D768" w:rsidR="00D56FA3" w:rsidRDefault="00D56FA3" w:rsidP="00D56FA3">
      <w:pPr>
        <w:numPr>
          <w:ilvl w:val="0"/>
          <w:numId w:val="3"/>
        </w:numPr>
        <w:rPr>
          <w:sz w:val="22"/>
          <w:szCs w:val="22"/>
        </w:rPr>
      </w:pPr>
      <w:r>
        <w:rPr>
          <w:sz w:val="22"/>
          <w:szCs w:val="22"/>
        </w:rPr>
        <w:t>Understand the intersection between federal income tax and federal transfer tax</w:t>
      </w:r>
    </w:p>
    <w:p w14:paraId="38E55469" w14:textId="51FA77F4" w:rsidR="00D56FA3" w:rsidRPr="005B3E31" w:rsidRDefault="00D56FA3" w:rsidP="00D56FA3">
      <w:pPr>
        <w:numPr>
          <w:ilvl w:val="0"/>
          <w:numId w:val="3"/>
        </w:numPr>
        <w:rPr>
          <w:sz w:val="22"/>
          <w:szCs w:val="22"/>
        </w:rPr>
      </w:pPr>
      <w:r>
        <w:rPr>
          <w:sz w:val="22"/>
          <w:szCs w:val="22"/>
        </w:rPr>
        <w:t>Identify and apply appropriate estate planning techniques to estate planning problems</w:t>
      </w:r>
    </w:p>
    <w:p w14:paraId="50E4077A" w14:textId="77777777" w:rsidR="00D56FA3" w:rsidRPr="00F335E2" w:rsidRDefault="00D56FA3">
      <w:pPr>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3B796D7F" w14:textId="6913341D" w:rsidR="005F76A2" w:rsidRDefault="005F76A2" w:rsidP="00B942A3">
      <w:pPr>
        <w:autoSpaceDE w:val="0"/>
        <w:autoSpaceDN w:val="0"/>
        <w:adjustRightInd w:val="0"/>
        <w:rPr>
          <w:color w:val="C00000"/>
          <w:sz w:val="22"/>
          <w:szCs w:val="22"/>
        </w:rPr>
      </w:pPr>
    </w:p>
    <w:p w14:paraId="2F2F1698" w14:textId="6182366E" w:rsidR="005F76A2" w:rsidRPr="005F76A2" w:rsidRDefault="005F76A2" w:rsidP="005F76A2">
      <w:pPr>
        <w:autoSpaceDE w:val="0"/>
        <w:autoSpaceDN w:val="0"/>
        <w:adjustRightInd w:val="0"/>
        <w:rPr>
          <w:sz w:val="22"/>
          <w:szCs w:val="22"/>
        </w:rPr>
      </w:pPr>
      <w:r w:rsidRPr="005F76A2">
        <w:rPr>
          <w:sz w:val="22"/>
          <w:szCs w:val="22"/>
        </w:rPr>
        <w:t xml:space="preserve">The required text is Ray D. Madoff, Cornelia R. </w:t>
      </w:r>
      <w:proofErr w:type="spellStart"/>
      <w:r w:rsidRPr="005F76A2">
        <w:rPr>
          <w:sz w:val="22"/>
          <w:szCs w:val="22"/>
        </w:rPr>
        <w:t>Tenney</w:t>
      </w:r>
      <w:proofErr w:type="spellEnd"/>
      <w:r w:rsidRPr="005F76A2">
        <w:rPr>
          <w:sz w:val="22"/>
          <w:szCs w:val="22"/>
        </w:rPr>
        <w:t xml:space="preserve"> and Martin A. Hall, </w:t>
      </w:r>
      <w:r w:rsidRPr="005F76A2">
        <w:rPr>
          <w:b/>
          <w:i/>
          <w:sz w:val="22"/>
          <w:szCs w:val="22"/>
          <w:u w:val="single"/>
        </w:rPr>
        <w:t>Practical Guide to Estate Planning</w:t>
      </w:r>
      <w:r w:rsidRPr="005F76A2">
        <w:rPr>
          <w:sz w:val="22"/>
          <w:szCs w:val="22"/>
        </w:rPr>
        <w:t>.</w:t>
      </w:r>
      <w:r>
        <w:rPr>
          <w:sz w:val="22"/>
          <w:szCs w:val="22"/>
        </w:rPr>
        <w:t xml:space="preserve">  Access to the Internal Revenue Code and the Treasury Regulations are required. </w:t>
      </w:r>
    </w:p>
    <w:p w14:paraId="3C829DB6" w14:textId="77777777" w:rsidR="005F76A2" w:rsidRPr="005F76A2" w:rsidRDefault="005F76A2" w:rsidP="005F76A2">
      <w:pPr>
        <w:autoSpaceDE w:val="0"/>
        <w:autoSpaceDN w:val="0"/>
        <w:adjustRightInd w:val="0"/>
        <w:rPr>
          <w:sz w:val="22"/>
          <w:szCs w:val="22"/>
        </w:rPr>
      </w:pPr>
    </w:p>
    <w:p w14:paraId="5373522C" w14:textId="29AD656D" w:rsidR="005F76A2" w:rsidRDefault="005F76A2" w:rsidP="00B942A3">
      <w:pPr>
        <w:autoSpaceDE w:val="0"/>
        <w:autoSpaceDN w:val="0"/>
        <w:adjustRightInd w:val="0"/>
        <w:rPr>
          <w:sz w:val="22"/>
          <w:szCs w:val="22"/>
        </w:rPr>
      </w:pPr>
      <w:r>
        <w:rPr>
          <w:bCs/>
          <w:sz w:val="22"/>
          <w:szCs w:val="22"/>
        </w:rPr>
        <w:t xml:space="preserve">A useful </w:t>
      </w:r>
      <w:r w:rsidRPr="005F76A2">
        <w:rPr>
          <w:sz w:val="22"/>
          <w:szCs w:val="22"/>
        </w:rPr>
        <w:t>sec</w:t>
      </w:r>
      <w:r>
        <w:rPr>
          <w:sz w:val="22"/>
          <w:szCs w:val="22"/>
        </w:rPr>
        <w:t>ondary source is</w:t>
      </w:r>
      <w:r w:rsidRPr="005F76A2">
        <w:rPr>
          <w:sz w:val="22"/>
          <w:szCs w:val="22"/>
        </w:rPr>
        <w:t xml:space="preserve"> </w:t>
      </w:r>
      <w:r>
        <w:rPr>
          <w:sz w:val="22"/>
          <w:szCs w:val="22"/>
        </w:rPr>
        <w:t xml:space="preserve">the </w:t>
      </w:r>
      <w:r w:rsidRPr="005F76A2">
        <w:rPr>
          <w:sz w:val="22"/>
          <w:szCs w:val="22"/>
        </w:rPr>
        <w:t>Tax Management Estates, Gifts and Trusts Portfolios (The Bu</w:t>
      </w:r>
      <w:r>
        <w:rPr>
          <w:sz w:val="22"/>
          <w:szCs w:val="22"/>
        </w:rPr>
        <w:t xml:space="preserve">reau of National Affairs “BNA”).  </w:t>
      </w:r>
    </w:p>
    <w:p w14:paraId="7C18DEB6" w14:textId="77777777" w:rsidR="005F76A2" w:rsidRDefault="005F76A2" w:rsidP="00B942A3">
      <w:pPr>
        <w:autoSpaceDE w:val="0"/>
        <w:autoSpaceDN w:val="0"/>
        <w:adjustRightInd w:val="0"/>
        <w:rPr>
          <w:color w:val="C00000"/>
          <w:sz w:val="22"/>
          <w:szCs w:val="22"/>
        </w:rPr>
      </w:pPr>
    </w:p>
    <w:p w14:paraId="27D29B67" w14:textId="5C3AB65F" w:rsidR="00B47272" w:rsidRPr="00F335E2" w:rsidRDefault="00B942A3" w:rsidP="00B942A3">
      <w:pPr>
        <w:autoSpaceDE w:val="0"/>
        <w:autoSpaceDN w:val="0"/>
        <w:adjustRightInd w:val="0"/>
        <w:rPr>
          <w:sz w:val="22"/>
          <w:szCs w:val="22"/>
        </w:rPr>
      </w:pPr>
      <w:r w:rsidRPr="00F335E2">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F335E2">
        <w:rPr>
          <w:rFonts w:eastAsia="Baskerville Old Face"/>
          <w:sz w:val="22"/>
          <w:szCs w:val="22"/>
        </w:rPr>
        <w:t xml:space="preserve"> </w:t>
      </w:r>
    </w:p>
    <w:p w14:paraId="031B2321" w14:textId="32660670" w:rsidR="00561911" w:rsidRPr="00F335E2" w:rsidRDefault="00561911" w:rsidP="00B47272">
      <w:pPr>
        <w:rPr>
          <w:sz w:val="22"/>
          <w:szCs w:val="22"/>
        </w:rPr>
      </w:pPr>
    </w:p>
    <w:p w14:paraId="33F1852B" w14:textId="77777777" w:rsidR="005F76A2" w:rsidRDefault="005F76A2">
      <w:pPr>
        <w:spacing w:after="160" w:line="259" w:lineRule="auto"/>
        <w:rPr>
          <w:b/>
          <w:sz w:val="22"/>
          <w:szCs w:val="22"/>
          <w:u w:val="single"/>
        </w:rPr>
      </w:pPr>
      <w:r>
        <w:rPr>
          <w:b/>
          <w:sz w:val="22"/>
          <w:szCs w:val="22"/>
          <w:u w:val="single"/>
        </w:rPr>
        <w:br w:type="page"/>
      </w:r>
    </w:p>
    <w:p w14:paraId="2795A657" w14:textId="42B85068" w:rsidR="00242088" w:rsidRPr="00F335E2" w:rsidRDefault="00242088" w:rsidP="006A5D34">
      <w:pPr>
        <w:rPr>
          <w:b/>
          <w:sz w:val="22"/>
          <w:szCs w:val="22"/>
          <w:u w:val="single"/>
        </w:rPr>
      </w:pPr>
      <w:r w:rsidRPr="00F335E2">
        <w:rPr>
          <w:b/>
          <w:sz w:val="22"/>
          <w:szCs w:val="22"/>
          <w:u w:val="single"/>
        </w:rPr>
        <w:lastRenderedPageBreak/>
        <w:t>COURSE EXPECTATIONS</w:t>
      </w:r>
      <w:r w:rsidR="005B79B1" w:rsidRPr="00F335E2">
        <w:rPr>
          <w:b/>
          <w:sz w:val="22"/>
          <w:szCs w:val="22"/>
          <w:u w:val="single"/>
        </w:rPr>
        <w:t xml:space="preserve"> AND GRADING EVALUATION</w:t>
      </w:r>
      <w:r w:rsidRPr="00F335E2">
        <w:rPr>
          <w:b/>
          <w:sz w:val="22"/>
          <w:szCs w:val="22"/>
          <w:u w:val="single"/>
        </w:rPr>
        <w:t>:</w:t>
      </w:r>
    </w:p>
    <w:p w14:paraId="3CE8EA82" w14:textId="77777777" w:rsidR="00D56FA3" w:rsidRDefault="00D56FA3" w:rsidP="00D56FA3">
      <w:pPr>
        <w:tabs>
          <w:tab w:val="left" w:pos="540"/>
        </w:tabs>
        <w:jc w:val="both"/>
      </w:pPr>
      <w:r>
        <w:tab/>
      </w:r>
    </w:p>
    <w:p w14:paraId="30A56E63" w14:textId="6A07E02C" w:rsidR="00D56FA3" w:rsidRDefault="00D56FA3" w:rsidP="00D56FA3">
      <w:pPr>
        <w:tabs>
          <w:tab w:val="left" w:pos="540"/>
        </w:tabs>
        <w:jc w:val="both"/>
      </w:pPr>
      <w:r>
        <w:tab/>
        <w:t xml:space="preserve">Subject to subparagraph (a) below, each student’s class grade will be based principally on the final exam.  </w:t>
      </w:r>
    </w:p>
    <w:p w14:paraId="5588A26E" w14:textId="77777777" w:rsidR="00D56FA3" w:rsidRDefault="00D56FA3" w:rsidP="00D56FA3">
      <w:pPr>
        <w:tabs>
          <w:tab w:val="left" w:pos="540"/>
        </w:tabs>
        <w:jc w:val="both"/>
      </w:pPr>
    </w:p>
    <w:p w14:paraId="75CC4753" w14:textId="77777777" w:rsidR="00D56FA3" w:rsidRPr="005F76A2" w:rsidRDefault="00D56FA3" w:rsidP="00D56FA3">
      <w:pPr>
        <w:tabs>
          <w:tab w:val="left" w:pos="360"/>
          <w:tab w:val="left" w:pos="720"/>
          <w:tab w:val="left" w:pos="774"/>
          <w:tab w:val="left" w:pos="1440"/>
          <w:tab w:val="left" w:pos="2232"/>
          <w:tab w:val="left" w:pos="7176"/>
        </w:tabs>
        <w:suppressAutoHyphens/>
        <w:spacing w:line="240" w:lineRule="atLeast"/>
        <w:ind w:left="1440" w:hanging="630"/>
        <w:jc w:val="both"/>
        <w:rPr>
          <w:sz w:val="22"/>
          <w:szCs w:val="22"/>
        </w:rPr>
      </w:pPr>
      <w:r w:rsidRPr="005F76A2">
        <w:rPr>
          <w:sz w:val="22"/>
          <w:szCs w:val="22"/>
        </w:rPr>
        <w:t>a.</w:t>
      </w:r>
      <w:r w:rsidRPr="005F76A2">
        <w:rPr>
          <w:sz w:val="22"/>
          <w:szCs w:val="22"/>
        </w:rPr>
        <w:tab/>
      </w:r>
      <w:r w:rsidRPr="005F76A2">
        <w:rPr>
          <w:sz w:val="22"/>
          <w:szCs w:val="22"/>
          <w:u w:val="single"/>
        </w:rPr>
        <w:t>Participation and Performance</w:t>
      </w:r>
      <w:r w:rsidRPr="005F76A2">
        <w:rPr>
          <w:sz w:val="22"/>
          <w:szCs w:val="22"/>
        </w:rPr>
        <w:t xml:space="preserve">. </w:t>
      </w:r>
    </w:p>
    <w:p w14:paraId="38D93489" w14:textId="77777777" w:rsidR="00D56FA3" w:rsidRPr="005F76A2" w:rsidRDefault="00D56FA3" w:rsidP="00D56FA3">
      <w:pPr>
        <w:tabs>
          <w:tab w:val="left" w:pos="360"/>
          <w:tab w:val="left" w:pos="720"/>
          <w:tab w:val="left" w:pos="774"/>
          <w:tab w:val="left" w:pos="1440"/>
          <w:tab w:val="left" w:pos="2232"/>
          <w:tab w:val="left" w:pos="7176"/>
        </w:tabs>
        <w:suppressAutoHyphens/>
        <w:spacing w:line="240" w:lineRule="atLeast"/>
        <w:ind w:left="1440" w:hanging="630"/>
        <w:jc w:val="both"/>
        <w:rPr>
          <w:sz w:val="22"/>
          <w:szCs w:val="22"/>
        </w:rPr>
      </w:pPr>
    </w:p>
    <w:p w14:paraId="7FC14F7F" w14:textId="77777777" w:rsidR="00D56FA3" w:rsidRPr="005F76A2" w:rsidRDefault="00D56FA3" w:rsidP="00D56FA3">
      <w:pPr>
        <w:tabs>
          <w:tab w:val="left" w:pos="360"/>
          <w:tab w:val="left" w:pos="720"/>
          <w:tab w:val="left" w:pos="774"/>
          <w:tab w:val="left" w:pos="810"/>
          <w:tab w:val="left" w:pos="2232"/>
          <w:tab w:val="left" w:pos="7176"/>
        </w:tabs>
        <w:suppressAutoHyphens/>
        <w:spacing w:line="240" w:lineRule="atLeast"/>
        <w:ind w:left="810"/>
        <w:jc w:val="both"/>
        <w:rPr>
          <w:sz w:val="22"/>
          <w:szCs w:val="22"/>
        </w:rPr>
      </w:pPr>
      <w:r w:rsidRPr="005F76A2">
        <w:rPr>
          <w:sz w:val="22"/>
          <w:szCs w:val="22"/>
        </w:rPr>
        <w:t xml:space="preserve">It is each student’s responsibility to complete all assignments on time.  Failure to do so will be counted as an absence.  </w:t>
      </w:r>
    </w:p>
    <w:p w14:paraId="3613B246" w14:textId="77777777" w:rsidR="00D56FA3" w:rsidRPr="005F76A2" w:rsidRDefault="00D56FA3" w:rsidP="00D56FA3">
      <w:pPr>
        <w:tabs>
          <w:tab w:val="left" w:pos="360"/>
          <w:tab w:val="left" w:pos="720"/>
          <w:tab w:val="left" w:pos="774"/>
          <w:tab w:val="left" w:pos="1440"/>
          <w:tab w:val="left" w:pos="2232"/>
          <w:tab w:val="left" w:pos="7176"/>
        </w:tabs>
        <w:suppressAutoHyphens/>
        <w:spacing w:line="240" w:lineRule="atLeast"/>
        <w:ind w:left="1440" w:hanging="630"/>
        <w:jc w:val="both"/>
        <w:rPr>
          <w:sz w:val="22"/>
          <w:szCs w:val="22"/>
        </w:rPr>
      </w:pPr>
    </w:p>
    <w:p w14:paraId="2CAAFA14" w14:textId="77777777" w:rsidR="00D56FA3" w:rsidRPr="005F76A2" w:rsidRDefault="00D56FA3" w:rsidP="00D56FA3">
      <w:pPr>
        <w:tabs>
          <w:tab w:val="left" w:pos="360"/>
          <w:tab w:val="left" w:pos="720"/>
          <w:tab w:val="left" w:pos="774"/>
          <w:tab w:val="left" w:pos="810"/>
          <w:tab w:val="left" w:pos="2232"/>
          <w:tab w:val="left" w:pos="7176"/>
        </w:tabs>
        <w:suppressAutoHyphens/>
        <w:spacing w:line="240" w:lineRule="atLeast"/>
        <w:ind w:left="810"/>
        <w:jc w:val="both"/>
        <w:rPr>
          <w:sz w:val="22"/>
          <w:szCs w:val="22"/>
        </w:rPr>
      </w:pPr>
      <w:r w:rsidRPr="005F76A2">
        <w:rPr>
          <w:sz w:val="22"/>
          <w:szCs w:val="22"/>
        </w:rPr>
        <w:t>I reserve the right, however, to increase a student’s grade by one level (e.g., from B to B+) based on exceptional classroom performance.  Conversely, I reserve the right to reduce a student’s grade by one level (e.g., from B+ to B) based on poor classroom performance.</w:t>
      </w:r>
    </w:p>
    <w:p w14:paraId="36489228" w14:textId="77777777" w:rsidR="00D56FA3" w:rsidRPr="005F76A2" w:rsidRDefault="00D56FA3" w:rsidP="00D56FA3">
      <w:pPr>
        <w:tabs>
          <w:tab w:val="left" w:pos="360"/>
          <w:tab w:val="left" w:pos="720"/>
          <w:tab w:val="left" w:pos="774"/>
          <w:tab w:val="left" w:pos="810"/>
          <w:tab w:val="left" w:pos="2232"/>
          <w:tab w:val="left" w:pos="7176"/>
        </w:tabs>
        <w:suppressAutoHyphens/>
        <w:spacing w:line="240" w:lineRule="atLeast"/>
        <w:ind w:left="810"/>
        <w:jc w:val="both"/>
        <w:rPr>
          <w:sz w:val="22"/>
          <w:szCs w:val="22"/>
        </w:rPr>
      </w:pPr>
    </w:p>
    <w:p w14:paraId="5AFB4339" w14:textId="35F102C9" w:rsidR="00D56FA3" w:rsidRPr="005F76A2" w:rsidRDefault="00D56FA3" w:rsidP="00D56FA3">
      <w:pPr>
        <w:tabs>
          <w:tab w:val="left" w:pos="360"/>
          <w:tab w:val="left" w:pos="720"/>
          <w:tab w:val="left" w:pos="774"/>
          <w:tab w:val="left" w:pos="810"/>
          <w:tab w:val="left" w:pos="2232"/>
          <w:tab w:val="left" w:pos="7176"/>
        </w:tabs>
        <w:suppressAutoHyphens/>
        <w:spacing w:line="240" w:lineRule="atLeast"/>
        <w:ind w:left="810"/>
        <w:jc w:val="both"/>
        <w:rPr>
          <w:sz w:val="22"/>
          <w:szCs w:val="22"/>
        </w:rPr>
      </w:pPr>
      <w:r w:rsidRPr="005F76A2">
        <w:rPr>
          <w:sz w:val="22"/>
          <w:szCs w:val="22"/>
        </w:rPr>
        <w:t xml:space="preserve">Any increase or reduction of a student’s grade based on classroom performance will be determined by me at my sole and absolute discretion.  In assessing a student’s performance, I will </w:t>
      </w:r>
      <w:proofErr w:type="gramStart"/>
      <w:r w:rsidRPr="005F76A2">
        <w:rPr>
          <w:sz w:val="22"/>
          <w:szCs w:val="22"/>
        </w:rPr>
        <w:t>take into account</w:t>
      </w:r>
      <w:proofErr w:type="gramEnd"/>
      <w:r w:rsidRPr="005F76A2">
        <w:rPr>
          <w:sz w:val="22"/>
          <w:szCs w:val="22"/>
        </w:rPr>
        <w:t xml:space="preserve"> the degree of preparedness in advance of class, the willingness to respond thoughtfully to questions and issues raised in class, the quality of contributions to class discussion through speaking and listening class attendance, punctuality and/or disruptive behavior, among other factors.</w:t>
      </w:r>
    </w:p>
    <w:p w14:paraId="0D25672C" w14:textId="77777777" w:rsidR="00D56FA3" w:rsidRPr="00D56FA3" w:rsidRDefault="00D56FA3" w:rsidP="00D56FA3">
      <w:pPr>
        <w:tabs>
          <w:tab w:val="left" w:pos="360"/>
          <w:tab w:val="left" w:pos="720"/>
          <w:tab w:val="left" w:pos="774"/>
          <w:tab w:val="left" w:pos="810"/>
          <w:tab w:val="left" w:pos="2232"/>
          <w:tab w:val="left" w:pos="7176"/>
        </w:tabs>
        <w:suppressAutoHyphens/>
        <w:spacing w:line="240" w:lineRule="atLeast"/>
        <w:ind w:left="810"/>
        <w:jc w:val="both"/>
      </w:pPr>
    </w:p>
    <w:p w14:paraId="206235F6" w14:textId="214B25F1" w:rsidR="00242088" w:rsidRDefault="001C0EA6" w:rsidP="00D56FA3">
      <w:pPr>
        <w:spacing w:before="120" w:after="200"/>
        <w:rPr>
          <w:sz w:val="22"/>
          <w:szCs w:val="22"/>
        </w:rPr>
      </w:pPr>
      <w:r w:rsidRPr="00F335E2">
        <w:rPr>
          <w:b/>
          <w:sz w:val="22"/>
          <w:szCs w:val="22"/>
          <w:u w:val="single"/>
        </w:rPr>
        <w:t>CLASS ATTENDANCE POLICY:</w:t>
      </w:r>
      <w:r w:rsidRPr="00F335E2">
        <w:rPr>
          <w:sz w:val="22"/>
          <w:szCs w:val="22"/>
        </w:rPr>
        <w:br/>
        <w:t xml:space="preserve">Attendance in class is required by both the ABA and the Law School. 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r w:rsidR="00D56FA3">
        <w:rPr>
          <w:sz w:val="22"/>
          <w:szCs w:val="22"/>
        </w:rPr>
        <w:t xml:space="preserve"> If </w:t>
      </w:r>
      <w:r w:rsidR="00D56FA3" w:rsidRPr="00D56FA3">
        <w:rPr>
          <w:sz w:val="22"/>
          <w:szCs w:val="22"/>
        </w:rPr>
        <w:t>you have a legitimate reason for missing class, you should contact me before or</w:t>
      </w:r>
      <w:r w:rsidR="00D56FA3">
        <w:rPr>
          <w:sz w:val="22"/>
          <w:szCs w:val="22"/>
        </w:rPr>
        <w:t xml:space="preserve"> </w:t>
      </w:r>
      <w:r w:rsidR="00D56FA3" w:rsidRPr="00D56FA3">
        <w:rPr>
          <w:sz w:val="22"/>
          <w:szCs w:val="22"/>
        </w:rPr>
        <w:t>soon after class ends for your absence to be excused</w:t>
      </w:r>
      <w:r w:rsidR="00D56FA3">
        <w:rPr>
          <w:sz w:val="22"/>
          <w:szCs w:val="22"/>
        </w:rPr>
        <w:t xml:space="preserve">.  </w:t>
      </w: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45630A07" w:rsidR="00570808" w:rsidRDefault="00570808" w:rsidP="00552454">
      <w:pPr>
        <w:rPr>
          <w:sz w:val="22"/>
          <w:szCs w:val="22"/>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10" w:history="1">
        <w:r w:rsidRPr="00725B08">
          <w:rPr>
            <w:rStyle w:val="Hyperlink"/>
            <w:sz w:val="22"/>
            <w:szCs w:val="22"/>
          </w:rPr>
          <w:t>here</w:t>
        </w:r>
      </w:hyperlink>
      <w:r w:rsidRPr="00725B08">
        <w:rPr>
          <w:sz w:val="22"/>
          <w:szCs w:val="22"/>
        </w:rPr>
        <w:t>.</w:t>
      </w:r>
      <w:r w:rsidR="009F4DAE">
        <w:rPr>
          <w:sz w:val="22"/>
          <w:szCs w:val="22"/>
        </w:rPr>
        <w:t xml:space="preserve"> </w:t>
      </w:r>
      <w:r w:rsidR="009F4DAE" w:rsidRPr="009A17E3">
        <w:rPr>
          <w:color w:val="242424"/>
          <w:sz w:val="22"/>
          <w:szCs w:val="22"/>
          <w:shd w:val="clear" w:color="auto" w:fill="FFFFFF"/>
        </w:rPr>
        <w:t xml:space="preserve">The </w:t>
      </w:r>
      <w:r w:rsidR="009F4DAE">
        <w:rPr>
          <w:color w:val="242424"/>
          <w:sz w:val="22"/>
          <w:szCs w:val="22"/>
          <w:shd w:val="clear" w:color="auto" w:fill="FFFFFF"/>
        </w:rPr>
        <w:t xml:space="preserve">UF Law </w:t>
      </w:r>
      <w:r w:rsidR="009F4DAE" w:rsidRPr="009A17E3">
        <w:rPr>
          <w:color w:val="242424"/>
          <w:sz w:val="22"/>
          <w:szCs w:val="22"/>
          <w:shd w:val="clear" w:color="auto" w:fill="FFFFFF"/>
        </w:rPr>
        <w:t xml:space="preserve">Honor Code also prohibits use of artificial intelligence, including, but not limited to, </w:t>
      </w:r>
      <w:proofErr w:type="spellStart"/>
      <w:r w:rsidR="009F4DAE" w:rsidRPr="009A17E3">
        <w:rPr>
          <w:color w:val="242424"/>
          <w:sz w:val="22"/>
          <w:szCs w:val="22"/>
          <w:shd w:val="clear" w:color="auto" w:fill="FFFFFF"/>
        </w:rPr>
        <w:t>ChatGPT</w:t>
      </w:r>
      <w:proofErr w:type="spellEnd"/>
      <w:r w:rsidR="009F4DAE" w:rsidRPr="009A17E3">
        <w:rPr>
          <w:color w:val="242424"/>
          <w:sz w:val="22"/>
          <w:szCs w:val="22"/>
          <w:shd w:val="clear" w:color="auto" w:fill="FFFFFF"/>
        </w:rPr>
        <w:t xml:space="preserve"> and Harvey, to assist in completing quizzes, exams, papers, or other assessments.</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77777777" w:rsidR="00570808" w:rsidRPr="00725B08" w:rsidRDefault="00570808" w:rsidP="00570808">
      <w:pPr>
        <w:rPr>
          <w:sz w:val="22"/>
          <w:szCs w:val="22"/>
        </w:rPr>
      </w:pPr>
      <w:r w:rsidRPr="00725B08">
        <w:rPr>
          <w:sz w:val="22"/>
          <w:szCs w:val="22"/>
        </w:rPr>
        <w:t xml:space="preserve">The law school grading policy is available </w:t>
      </w:r>
      <w:hyperlink r:id="rId11" w:history="1">
        <w:r w:rsidRPr="00725B08">
          <w:rPr>
            <w:rStyle w:val="Hyperlink"/>
            <w:sz w:val="22"/>
            <w:szCs w:val="22"/>
          </w:rPr>
          <w:t>here</w:t>
        </w:r>
      </w:hyperlink>
      <w:r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2"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570808">
      <w:pPr>
        <w:pStyle w:val="ListParagraph"/>
        <w:numPr>
          <w:ilvl w:val="0"/>
          <w:numId w:val="35"/>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570808">
      <w:pPr>
        <w:pStyle w:val="ListParagraph"/>
        <w:numPr>
          <w:ilvl w:val="0"/>
          <w:numId w:val="35"/>
        </w:numPr>
        <w:rPr>
          <w:sz w:val="22"/>
          <w:szCs w:val="22"/>
        </w:rPr>
      </w:pPr>
      <w:r w:rsidRPr="00725B08">
        <w:rPr>
          <w:sz w:val="22"/>
          <w:szCs w:val="22"/>
        </w:rPr>
        <w:t>Students shall be permitted a reasonable amount of time to make up the material or activities covered in their absence.</w:t>
      </w:r>
    </w:p>
    <w:p w14:paraId="57A818E2" w14:textId="77777777" w:rsidR="00570808" w:rsidRPr="00725B08" w:rsidRDefault="00570808" w:rsidP="00570808">
      <w:pPr>
        <w:pStyle w:val="ListParagraph"/>
        <w:numPr>
          <w:ilvl w:val="0"/>
          <w:numId w:val="35"/>
        </w:numPr>
        <w:rPr>
          <w:sz w:val="22"/>
          <w:szCs w:val="22"/>
        </w:rPr>
      </w:pPr>
      <w:r w:rsidRPr="00725B08">
        <w:rPr>
          <w:sz w:val="22"/>
          <w:szCs w:val="22"/>
        </w:rPr>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t>EXAM DELAYS AND ACCOMMODATIONS:</w:t>
      </w:r>
      <w:r w:rsidRPr="00725B08">
        <w:rPr>
          <w:b/>
          <w:sz w:val="22"/>
          <w:szCs w:val="22"/>
        </w:rPr>
        <w:t xml:space="preserve">  </w:t>
      </w:r>
    </w:p>
    <w:p w14:paraId="0DADA515" w14:textId="77777777"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3" w:history="1">
        <w:r w:rsidRPr="00725B08">
          <w:rPr>
            <w:rStyle w:val="Hyperlink"/>
            <w:sz w:val="22"/>
            <w:szCs w:val="22"/>
          </w:rPr>
          <w:t>here</w:t>
        </w:r>
      </w:hyperlink>
      <w:r w:rsidRPr="00725B08">
        <w:rPr>
          <w:sz w:val="22"/>
          <w:szCs w:val="22"/>
        </w:rPr>
        <w:t>.</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w:t>
      </w:r>
      <w:r w:rsidRPr="00166AAB">
        <w:rPr>
          <w:sz w:val="22"/>
          <w:szCs w:val="22"/>
        </w:rPr>
        <w:t xml:space="preserve"> </w:t>
      </w:r>
      <w:r w:rsidRPr="00166AAB">
        <w:rPr>
          <w:sz w:val="22"/>
          <w:szCs w:val="22"/>
          <w:bdr w:val="none" w:sz="0" w:space="0" w:color="auto" w:frame="1"/>
        </w:rPr>
        <w:t>Students may access information about various resources on the UF Law Student Resources Canvas page, available at</w:t>
      </w:r>
      <w:r w:rsidRPr="00725B08">
        <w:rPr>
          <w:color w:val="242424"/>
          <w:sz w:val="22"/>
          <w:szCs w:val="22"/>
          <w:bdr w:val="none" w:sz="0" w:space="0" w:color="auto" w:frame="1"/>
        </w:rPr>
        <w:t> </w:t>
      </w:r>
      <w:hyperlink r:id="rId14"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3A72A6DE" w14:textId="77777777"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15"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16"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17"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4C43D6A1" w14:textId="77777777" w:rsidR="00570808" w:rsidRPr="00725B08" w:rsidRDefault="00570808" w:rsidP="00570808">
      <w:pPr>
        <w:rPr>
          <w:b/>
          <w:sz w:val="22"/>
          <w:szCs w:val="22"/>
          <w:u w:val="single"/>
        </w:rPr>
      </w:pPr>
      <w:r w:rsidRPr="00725B08">
        <w:rPr>
          <w:b/>
          <w:sz w:val="22"/>
          <w:szCs w:val="22"/>
          <w:u w:val="single"/>
        </w:rPr>
        <w:t>RECORDINGS OF CLASS</w:t>
      </w:r>
    </w:p>
    <w:p w14:paraId="618DB853" w14:textId="77777777" w:rsidR="00570808" w:rsidRPr="00166AAB" w:rsidRDefault="00570808" w:rsidP="00570808">
      <w:pPr>
        <w:jc w:val="both"/>
        <w:rPr>
          <w:sz w:val="22"/>
          <w:szCs w:val="22"/>
        </w:rPr>
      </w:pPr>
      <w:r w:rsidRPr="00166AAB">
        <w:rPr>
          <w:rFonts w:eastAsia="Baskerville Old Face"/>
          <w:sz w:val="22"/>
          <w:szCs w:val="22"/>
        </w:rPr>
        <w:t xml:space="preserve">All classes will be recorded via </w:t>
      </w:r>
      <w:proofErr w:type="spellStart"/>
      <w:r w:rsidRPr="00166AAB">
        <w:rPr>
          <w:rFonts w:eastAsia="Baskerville Old Face"/>
          <w:sz w:val="22"/>
          <w:szCs w:val="22"/>
        </w:rPr>
        <w:t>Mediasite</w:t>
      </w:r>
      <w:proofErr w:type="spellEnd"/>
      <w:r w:rsidRPr="00166AAB">
        <w:rPr>
          <w:rFonts w:eastAsia="Baskerville Old Face"/>
          <w:sz w:val="22"/>
          <w:szCs w:val="22"/>
        </w:rPr>
        <w:t xml:space="preserve"> in case students must miss class for health reasons. The Office of Student Affairs will work with faculty to determine when students may have access to these recordings, and the recordings will be password protected. </w:t>
      </w:r>
      <w:r w:rsidRPr="00166AAB">
        <w:rPr>
          <w:sz w:val="22"/>
          <w:szCs w:val="22"/>
        </w:rPr>
        <w:t>It is the student’s responsibility to contact the Office of Student Affairs as soon as possible after an absence.</w:t>
      </w:r>
    </w:p>
    <w:p w14:paraId="1D6709E2" w14:textId="77777777" w:rsidR="00AA2DEF" w:rsidRPr="00AA2DEF" w:rsidRDefault="00AA2DEF" w:rsidP="00AA2DEF">
      <w:pPr>
        <w:rPr>
          <w:color w:val="201F1E"/>
          <w:sz w:val="22"/>
          <w:szCs w:val="22"/>
          <w:bdr w:val="none" w:sz="0" w:space="0" w:color="auto" w:frame="1"/>
          <w:shd w:val="clear" w:color="auto" w:fill="FFFFFF"/>
        </w:rPr>
      </w:pPr>
    </w:p>
    <w:p w14:paraId="135BF1E8" w14:textId="359B47CE" w:rsidR="00D56FA3" w:rsidRDefault="00242088" w:rsidP="00D56FA3">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00D56FA3" w:rsidRPr="00D56FA3">
        <w:rPr>
          <w:rFonts w:eastAsia="Baskerville Old Face"/>
          <w:sz w:val="22"/>
          <w:szCs w:val="22"/>
        </w:rPr>
        <w:t>Students should expect to spend at least two hou</w:t>
      </w:r>
      <w:r w:rsidR="005F76A2">
        <w:rPr>
          <w:rFonts w:eastAsia="Baskerville Old Face"/>
          <w:sz w:val="22"/>
          <w:szCs w:val="22"/>
        </w:rPr>
        <w:t xml:space="preserve">rs outside of class reading and </w:t>
      </w:r>
      <w:r w:rsidR="00D56FA3" w:rsidRPr="00D56FA3">
        <w:rPr>
          <w:rFonts w:eastAsia="Baskerville Old Face"/>
          <w:sz w:val="22"/>
          <w:szCs w:val="22"/>
        </w:rPr>
        <w:t>preparing for every hour of class</w:t>
      </w:r>
      <w:r w:rsidR="005F76A2">
        <w:rPr>
          <w:rFonts w:eastAsia="Baskerville Old Face"/>
          <w:sz w:val="22"/>
          <w:szCs w:val="22"/>
        </w:rPr>
        <w:t>.</w:t>
      </w:r>
    </w:p>
    <w:p w14:paraId="211E72D1" w14:textId="3A041A37" w:rsidR="005F76A2" w:rsidRDefault="005F76A2" w:rsidP="00D56FA3">
      <w:pPr>
        <w:rPr>
          <w:rFonts w:eastAsia="Baskerville Old Face"/>
          <w:sz w:val="22"/>
          <w:szCs w:val="22"/>
        </w:rPr>
      </w:pPr>
    </w:p>
    <w:p w14:paraId="4A6E9163" w14:textId="5117F0AC" w:rsidR="005F76A2" w:rsidRPr="005F76A2" w:rsidRDefault="005F76A2" w:rsidP="005F76A2">
      <w:pPr>
        <w:rPr>
          <w:rFonts w:eastAsia="Baskerville Old Face"/>
          <w:sz w:val="22"/>
          <w:szCs w:val="22"/>
        </w:rPr>
      </w:pPr>
      <w:r>
        <w:rPr>
          <w:rFonts w:eastAsia="Baskerville Old Face"/>
          <w:b/>
          <w:sz w:val="22"/>
          <w:szCs w:val="22"/>
          <w:u w:val="single"/>
        </w:rPr>
        <w:t>VACCINES:</w:t>
      </w:r>
      <w:r>
        <w:rPr>
          <w:rFonts w:eastAsia="Baskerville Old Face"/>
          <w:sz w:val="22"/>
          <w:szCs w:val="22"/>
        </w:rPr>
        <w:t xml:space="preserve">  </w:t>
      </w:r>
      <w:r w:rsidRPr="005F76A2">
        <w:rPr>
          <w:rFonts w:eastAsia="Baskerville Old Face"/>
          <w:sz w:val="22"/>
          <w:szCs w:val="22"/>
        </w:rPr>
        <w:t>The UF Student Health Center continues to o</w:t>
      </w:r>
      <w:r w:rsidR="00EF69A4">
        <w:rPr>
          <w:rFonts w:eastAsia="Baskerville Old Face"/>
          <w:sz w:val="22"/>
          <w:szCs w:val="22"/>
        </w:rPr>
        <w:t xml:space="preserve">ffer vaccines to students at no </w:t>
      </w:r>
      <w:r w:rsidRPr="005F76A2">
        <w:rPr>
          <w:rFonts w:eastAsia="Baskerville Old Face"/>
          <w:sz w:val="22"/>
          <w:szCs w:val="22"/>
        </w:rPr>
        <w:t>charge, and we will strongly encourage all students to become vaccinated if they</w:t>
      </w:r>
      <w:r>
        <w:rPr>
          <w:rFonts w:eastAsia="Baskerville Old Face"/>
          <w:sz w:val="22"/>
          <w:szCs w:val="22"/>
        </w:rPr>
        <w:t xml:space="preserve"> </w:t>
      </w:r>
      <w:r w:rsidRPr="005F76A2">
        <w:rPr>
          <w:rFonts w:eastAsia="Baskerville Old Face"/>
          <w:sz w:val="22"/>
          <w:szCs w:val="22"/>
        </w:rPr>
        <w:t xml:space="preserve">have not already done so. Information is available </w:t>
      </w:r>
      <w:hyperlink r:id="rId18" w:history="1">
        <w:r w:rsidRPr="005F76A2">
          <w:rPr>
            <w:rStyle w:val="Hyperlink"/>
            <w:rFonts w:eastAsia="Baskerville Old Face"/>
            <w:sz w:val="22"/>
            <w:szCs w:val="22"/>
          </w:rPr>
          <w:t>here</w:t>
        </w:r>
      </w:hyperlink>
      <w:r w:rsidRPr="005F76A2">
        <w:rPr>
          <w:rFonts w:eastAsia="Baskerville Old Face"/>
          <w:sz w:val="22"/>
          <w:szCs w:val="22"/>
        </w:rPr>
        <w:t>.</w:t>
      </w:r>
    </w:p>
    <w:p w14:paraId="687806DC" w14:textId="77777777" w:rsidR="00D56FA3" w:rsidRDefault="00D56FA3" w:rsidP="00D56FA3">
      <w:pPr>
        <w:rPr>
          <w:rFonts w:eastAsia="Baskerville Old Face"/>
          <w:sz w:val="22"/>
          <w:szCs w:val="22"/>
        </w:rPr>
      </w:pPr>
    </w:p>
    <w:p w14:paraId="595E471D" w14:textId="7908FA52" w:rsidR="001C0EA6" w:rsidRPr="00F335E2" w:rsidRDefault="001C0EA6" w:rsidP="00D56FA3">
      <w:pPr>
        <w:rPr>
          <w:b/>
          <w:sz w:val="22"/>
          <w:szCs w:val="22"/>
          <w:u w:val="single"/>
        </w:rPr>
      </w:pPr>
      <w:r w:rsidRPr="00F335E2">
        <w:rPr>
          <w:b/>
          <w:sz w:val="22"/>
          <w:szCs w:val="22"/>
          <w:u w:val="single"/>
        </w:rPr>
        <w:t xml:space="preserve">COURSE SCHEDULE OF TOPICS AND ASSIGNMENTS </w:t>
      </w:r>
    </w:p>
    <w:p w14:paraId="252B20B2" w14:textId="58D7A24A"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r w:rsidR="00733AD9">
        <w:rPr>
          <w:sz w:val="22"/>
          <w:szCs w:val="22"/>
        </w:rPr>
        <w:t>Specific assignments will be posted on the</w:t>
      </w:r>
      <w:r w:rsidR="00166AAB">
        <w:rPr>
          <w:sz w:val="22"/>
          <w:szCs w:val="22"/>
        </w:rPr>
        <w:t xml:space="preserve"> course</w:t>
      </w:r>
      <w:r w:rsidR="00733AD9">
        <w:rPr>
          <w:sz w:val="22"/>
          <w:szCs w:val="22"/>
        </w:rPr>
        <w:t xml:space="preserve"> Canvas site (or otherwise circulated) at least a week before the course date. </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F335E2" w14:paraId="3B79FBD1" w14:textId="77777777" w:rsidTr="005B79B1">
        <w:tc>
          <w:tcPr>
            <w:tcW w:w="9576" w:type="dxa"/>
            <w:gridSpan w:val="2"/>
          </w:tcPr>
          <w:p w14:paraId="5863E13D" w14:textId="77777777" w:rsidR="00B942A3" w:rsidRPr="00F335E2" w:rsidRDefault="00B942A3" w:rsidP="00D40CB5">
            <w:pPr>
              <w:rPr>
                <w:b/>
                <w:sz w:val="22"/>
                <w:szCs w:val="22"/>
              </w:rPr>
            </w:pPr>
            <w:r w:rsidRPr="00F335E2">
              <w:rPr>
                <w:b/>
                <w:sz w:val="22"/>
                <w:szCs w:val="22"/>
              </w:rPr>
              <w:t>PART 1:  INTRODUCTION</w:t>
            </w:r>
          </w:p>
          <w:p w14:paraId="0AC4D05B" w14:textId="77777777" w:rsidR="00B942A3" w:rsidRPr="00F335E2" w:rsidRDefault="00B942A3" w:rsidP="00D40CB5">
            <w:pPr>
              <w:rPr>
                <w:sz w:val="22"/>
                <w:szCs w:val="22"/>
              </w:rPr>
            </w:pPr>
          </w:p>
        </w:tc>
      </w:tr>
      <w:tr w:rsidR="00B942A3" w:rsidRPr="00F335E2" w14:paraId="3D2E30A1" w14:textId="77777777" w:rsidTr="005B79B1">
        <w:tc>
          <w:tcPr>
            <w:tcW w:w="1008" w:type="dxa"/>
            <w:tcBorders>
              <w:right w:val="single" w:sz="4" w:space="0" w:color="000000"/>
            </w:tcBorders>
          </w:tcPr>
          <w:p w14:paraId="51BE42B6" w14:textId="77777777" w:rsidR="00B942A3" w:rsidRPr="00F335E2" w:rsidRDefault="00B942A3" w:rsidP="00D40CB5">
            <w:pPr>
              <w:rPr>
                <w:sz w:val="22"/>
                <w:szCs w:val="22"/>
              </w:rPr>
            </w:pPr>
            <w:r w:rsidRPr="00F335E2">
              <w:rPr>
                <w:sz w:val="22"/>
                <w:szCs w:val="22"/>
              </w:rPr>
              <w:t>1</w:t>
            </w:r>
          </w:p>
          <w:p w14:paraId="0B122C64" w14:textId="75FF2219" w:rsidR="00B942A3" w:rsidRPr="00F335E2" w:rsidRDefault="005F76A2" w:rsidP="00D40CB5">
            <w:pPr>
              <w:rPr>
                <w:sz w:val="22"/>
                <w:szCs w:val="22"/>
              </w:rPr>
            </w:pPr>
            <w:r>
              <w:rPr>
                <w:sz w:val="22"/>
                <w:szCs w:val="22"/>
              </w:rPr>
              <w:t>1/20</w:t>
            </w:r>
          </w:p>
        </w:tc>
        <w:tc>
          <w:tcPr>
            <w:tcW w:w="8568" w:type="dxa"/>
            <w:tcBorders>
              <w:left w:val="single" w:sz="4" w:space="0" w:color="000000"/>
            </w:tcBorders>
          </w:tcPr>
          <w:p w14:paraId="7D57B456" w14:textId="5E5D91D3" w:rsidR="005F76A2" w:rsidRPr="005F76A2" w:rsidRDefault="00B942A3" w:rsidP="00D40CB5">
            <w:pPr>
              <w:textAlignment w:val="baseline"/>
              <w:rPr>
                <w:sz w:val="22"/>
                <w:szCs w:val="22"/>
              </w:rPr>
            </w:pPr>
            <w:r w:rsidRPr="005F76A2">
              <w:rPr>
                <w:b/>
                <w:bCs/>
                <w:iCs/>
                <w:sz w:val="22"/>
                <w:szCs w:val="22"/>
              </w:rPr>
              <w:t xml:space="preserve">Class 1: </w:t>
            </w:r>
            <w:r w:rsidR="005F76A2">
              <w:rPr>
                <w:b/>
                <w:sz w:val="22"/>
                <w:szCs w:val="22"/>
              </w:rPr>
              <w:t>Introduction to Estate Planning and Basic Tax Considerations</w:t>
            </w:r>
          </w:p>
          <w:p w14:paraId="1E2F390C" w14:textId="024C52D2" w:rsidR="00B942A3" w:rsidRPr="00F335E2" w:rsidRDefault="00B942A3" w:rsidP="00D40CB5">
            <w:pPr>
              <w:textAlignment w:val="baseline"/>
              <w:rPr>
                <w:sz w:val="22"/>
                <w:szCs w:val="22"/>
              </w:rPr>
            </w:pPr>
            <w:r w:rsidRPr="00F335E2">
              <w:rPr>
                <w:sz w:val="22"/>
                <w:szCs w:val="22"/>
              </w:rPr>
              <w:t> </w:t>
            </w:r>
          </w:p>
          <w:p w14:paraId="14AC513C" w14:textId="77777777" w:rsidR="00B942A3" w:rsidRPr="005F76A2" w:rsidRDefault="00B942A3" w:rsidP="00D40CB5">
            <w:pPr>
              <w:autoSpaceDE w:val="0"/>
              <w:autoSpaceDN w:val="0"/>
              <w:adjustRightInd w:val="0"/>
              <w:rPr>
                <w:b/>
                <w:sz w:val="22"/>
                <w:szCs w:val="22"/>
              </w:rPr>
            </w:pPr>
            <w:r w:rsidRPr="005F76A2">
              <w:rPr>
                <w:iCs/>
                <w:sz w:val="22"/>
                <w:szCs w:val="22"/>
              </w:rPr>
              <w:t>Required Readings:</w:t>
            </w:r>
            <w:r w:rsidRPr="005F76A2">
              <w:rPr>
                <w:b/>
                <w:bCs/>
                <w:iCs/>
                <w:sz w:val="22"/>
                <w:szCs w:val="22"/>
              </w:rPr>
              <w:t> </w:t>
            </w:r>
            <w:r w:rsidRPr="005F76A2">
              <w:rPr>
                <w:sz w:val="22"/>
                <w:szCs w:val="22"/>
              </w:rPr>
              <w:t>  </w:t>
            </w:r>
          </w:p>
          <w:p w14:paraId="31B53667" w14:textId="651BBF21" w:rsidR="00B942A3" w:rsidRDefault="005F76A2" w:rsidP="00B942A3">
            <w:pPr>
              <w:numPr>
                <w:ilvl w:val="0"/>
                <w:numId w:val="36"/>
              </w:numPr>
              <w:rPr>
                <w:sz w:val="22"/>
                <w:szCs w:val="22"/>
              </w:rPr>
            </w:pPr>
            <w:r>
              <w:rPr>
                <w:sz w:val="22"/>
                <w:szCs w:val="22"/>
              </w:rPr>
              <w:t>Chapter</w:t>
            </w:r>
            <w:r w:rsidR="00F817F4">
              <w:rPr>
                <w:sz w:val="22"/>
                <w:szCs w:val="22"/>
              </w:rPr>
              <w:t>s</w:t>
            </w:r>
            <w:r>
              <w:rPr>
                <w:sz w:val="22"/>
                <w:szCs w:val="22"/>
              </w:rPr>
              <w:t xml:space="preserve"> 1-3</w:t>
            </w:r>
          </w:p>
          <w:p w14:paraId="2756B760" w14:textId="0046B76D" w:rsidR="005F76A2" w:rsidRDefault="005F76A2" w:rsidP="00B942A3">
            <w:pPr>
              <w:numPr>
                <w:ilvl w:val="0"/>
                <w:numId w:val="36"/>
              </w:numPr>
              <w:rPr>
                <w:sz w:val="22"/>
                <w:szCs w:val="22"/>
              </w:rPr>
            </w:pPr>
            <w:r>
              <w:rPr>
                <w:sz w:val="22"/>
                <w:szCs w:val="22"/>
              </w:rPr>
              <w:t>Chapter</w:t>
            </w:r>
            <w:r w:rsidR="00F817F4">
              <w:rPr>
                <w:sz w:val="22"/>
                <w:szCs w:val="22"/>
              </w:rPr>
              <w:t>s</w:t>
            </w:r>
            <w:r>
              <w:rPr>
                <w:sz w:val="22"/>
                <w:szCs w:val="22"/>
              </w:rPr>
              <w:t xml:space="preserve"> 5</w:t>
            </w:r>
            <w:r w:rsidR="00F817F4">
              <w:rPr>
                <w:sz w:val="22"/>
                <w:szCs w:val="22"/>
              </w:rPr>
              <w:t>-</w:t>
            </w:r>
            <w:r w:rsidR="00EF69A4">
              <w:rPr>
                <w:sz w:val="22"/>
                <w:szCs w:val="22"/>
              </w:rPr>
              <w:t>6</w:t>
            </w:r>
          </w:p>
          <w:p w14:paraId="33F771A4" w14:textId="5F017715" w:rsidR="00166AAB" w:rsidRDefault="00166AAB" w:rsidP="00166AAB">
            <w:pPr>
              <w:numPr>
                <w:ilvl w:val="0"/>
                <w:numId w:val="36"/>
              </w:numPr>
              <w:rPr>
                <w:sz w:val="22"/>
                <w:szCs w:val="22"/>
              </w:rPr>
            </w:pPr>
            <w:r>
              <w:rPr>
                <w:sz w:val="22"/>
                <w:szCs w:val="22"/>
              </w:rPr>
              <w:t xml:space="preserve">ACTEC Commentary on Model Rules related to joint representation and fees of spouses and multigenerational representations (commentary may be found at: </w:t>
            </w:r>
            <w:hyperlink r:id="rId19" w:history="1">
              <w:r w:rsidRPr="00097582">
                <w:rPr>
                  <w:rStyle w:val="Hyperlink"/>
                  <w:sz w:val="22"/>
                  <w:szCs w:val="22"/>
                </w:rPr>
                <w:t>https://actecfoundation.org/trust-and-estate-professional-resources/professional-conduct-rules-for-trust-and-estate-practitioners/</w:t>
              </w:r>
            </w:hyperlink>
            <w:r>
              <w:rPr>
                <w:sz w:val="22"/>
                <w:szCs w:val="22"/>
              </w:rPr>
              <w:t xml:space="preserve">).  </w:t>
            </w:r>
          </w:p>
          <w:p w14:paraId="2840B81B" w14:textId="2EA357A1" w:rsidR="005F76A2" w:rsidRDefault="005F76A2" w:rsidP="00B942A3">
            <w:pPr>
              <w:numPr>
                <w:ilvl w:val="0"/>
                <w:numId w:val="36"/>
              </w:numPr>
              <w:rPr>
                <w:sz w:val="22"/>
                <w:szCs w:val="22"/>
              </w:rPr>
            </w:pPr>
            <w:r>
              <w:t>Fla. Stat. 731.201(2), Fla. Stat. 733.202; 733.212(2); Fla. Prob. R. 5.240.</w:t>
            </w:r>
          </w:p>
          <w:p w14:paraId="132E8675" w14:textId="0619DBE2" w:rsidR="00EF69A4" w:rsidRDefault="005F76A2" w:rsidP="00EF69A4">
            <w:pPr>
              <w:numPr>
                <w:ilvl w:val="0"/>
                <w:numId w:val="36"/>
              </w:numPr>
              <w:rPr>
                <w:sz w:val="22"/>
                <w:szCs w:val="22"/>
              </w:rPr>
            </w:pPr>
            <w:r>
              <w:rPr>
                <w:sz w:val="22"/>
                <w:szCs w:val="22"/>
              </w:rPr>
              <w:t xml:space="preserve">IRC </w:t>
            </w:r>
            <w:r w:rsidR="00EF69A4">
              <w:rPr>
                <w:sz w:val="22"/>
                <w:szCs w:val="22"/>
              </w:rPr>
              <w:t xml:space="preserve">§§ 102, 1014, 1015, </w:t>
            </w:r>
            <w:r w:rsidR="00F817F4">
              <w:rPr>
                <w:sz w:val="22"/>
                <w:szCs w:val="22"/>
              </w:rPr>
              <w:t xml:space="preserve">2001, </w:t>
            </w:r>
            <w:r w:rsidR="00EF69A4">
              <w:rPr>
                <w:sz w:val="22"/>
                <w:szCs w:val="22"/>
              </w:rPr>
              <w:t>20</w:t>
            </w:r>
            <w:r>
              <w:rPr>
                <w:sz w:val="22"/>
                <w:szCs w:val="22"/>
              </w:rPr>
              <w:t>1</w:t>
            </w:r>
            <w:r w:rsidR="00EF69A4">
              <w:rPr>
                <w:sz w:val="22"/>
                <w:szCs w:val="22"/>
              </w:rPr>
              <w:t xml:space="preserve">0, 2012, 2031, </w:t>
            </w:r>
            <w:r w:rsidR="00DE692B">
              <w:rPr>
                <w:sz w:val="22"/>
                <w:szCs w:val="22"/>
              </w:rPr>
              <w:t xml:space="preserve">2033, </w:t>
            </w:r>
            <w:r w:rsidR="00EF69A4">
              <w:rPr>
                <w:sz w:val="22"/>
                <w:szCs w:val="22"/>
              </w:rPr>
              <w:t xml:space="preserve">2051, 2501-2505, </w:t>
            </w:r>
            <w:r w:rsidR="00F817F4">
              <w:rPr>
                <w:sz w:val="22"/>
                <w:szCs w:val="22"/>
              </w:rPr>
              <w:t>2511,</w:t>
            </w:r>
            <w:r w:rsidR="00DE692B">
              <w:rPr>
                <w:sz w:val="22"/>
                <w:szCs w:val="22"/>
              </w:rPr>
              <w:t xml:space="preserve"> 2512(a), 2513,</w:t>
            </w:r>
            <w:r w:rsidR="00F817F4">
              <w:rPr>
                <w:sz w:val="22"/>
                <w:szCs w:val="22"/>
              </w:rPr>
              <w:t xml:space="preserve"> </w:t>
            </w:r>
            <w:r w:rsidR="00DE692B">
              <w:rPr>
                <w:sz w:val="22"/>
                <w:szCs w:val="22"/>
              </w:rPr>
              <w:t xml:space="preserve">2513, </w:t>
            </w:r>
            <w:r w:rsidR="00F817F4">
              <w:rPr>
                <w:sz w:val="22"/>
                <w:szCs w:val="22"/>
              </w:rPr>
              <w:t xml:space="preserve">6035. </w:t>
            </w:r>
          </w:p>
          <w:p w14:paraId="28492C01" w14:textId="716A9935" w:rsidR="00A82050" w:rsidRPr="00733AD9" w:rsidRDefault="00A82050" w:rsidP="00733AD9">
            <w:pPr>
              <w:numPr>
                <w:ilvl w:val="0"/>
                <w:numId w:val="36"/>
              </w:numPr>
              <w:rPr>
                <w:sz w:val="22"/>
                <w:szCs w:val="22"/>
              </w:rPr>
            </w:pPr>
            <w:r>
              <w:rPr>
                <w:sz w:val="22"/>
                <w:szCs w:val="22"/>
              </w:rPr>
              <w:t>Treas. Reg. §</w:t>
            </w:r>
            <w:r w:rsidR="00733AD9">
              <w:rPr>
                <w:sz w:val="22"/>
                <w:szCs w:val="22"/>
              </w:rPr>
              <w:t xml:space="preserve">§20.2041-1(c), 20.2042-1(b)-(c), </w:t>
            </w:r>
            <w:r>
              <w:rPr>
                <w:sz w:val="22"/>
                <w:szCs w:val="22"/>
              </w:rPr>
              <w:t>25.2503-3</w:t>
            </w:r>
            <w:r w:rsidR="00733AD9">
              <w:rPr>
                <w:sz w:val="22"/>
                <w:szCs w:val="22"/>
              </w:rPr>
              <w:t xml:space="preserve">, </w:t>
            </w:r>
            <w:r w:rsidRPr="00733AD9">
              <w:rPr>
                <w:sz w:val="22"/>
                <w:szCs w:val="22"/>
              </w:rPr>
              <w:t>25.2504-2(b)</w:t>
            </w:r>
            <w:r w:rsidR="00733AD9">
              <w:rPr>
                <w:sz w:val="22"/>
                <w:szCs w:val="22"/>
              </w:rPr>
              <w:t xml:space="preserve">, </w:t>
            </w:r>
            <w:r w:rsidRPr="00733AD9">
              <w:rPr>
                <w:sz w:val="22"/>
                <w:szCs w:val="22"/>
              </w:rPr>
              <w:t>25.2512-1</w:t>
            </w:r>
            <w:r w:rsidR="00733AD9">
              <w:rPr>
                <w:sz w:val="22"/>
                <w:szCs w:val="22"/>
              </w:rPr>
              <w:t xml:space="preserve">, </w:t>
            </w:r>
            <w:r w:rsidRPr="00733AD9">
              <w:rPr>
                <w:sz w:val="22"/>
                <w:szCs w:val="22"/>
              </w:rPr>
              <w:t>25.2512-8</w:t>
            </w:r>
            <w:r w:rsidR="00733AD9">
              <w:rPr>
                <w:sz w:val="22"/>
                <w:szCs w:val="22"/>
              </w:rPr>
              <w:t xml:space="preserve">, </w:t>
            </w:r>
            <w:r w:rsidRPr="00733AD9">
              <w:rPr>
                <w:sz w:val="22"/>
                <w:szCs w:val="22"/>
              </w:rPr>
              <w:t>301.6501(c)-1(e</w:t>
            </w:r>
            <w:proofErr w:type="gramStart"/>
            <w:r w:rsidRPr="00733AD9">
              <w:rPr>
                <w:sz w:val="22"/>
                <w:szCs w:val="22"/>
              </w:rPr>
              <w:t>),(</w:t>
            </w:r>
            <w:proofErr w:type="gramEnd"/>
            <w:r w:rsidRPr="00733AD9">
              <w:rPr>
                <w:sz w:val="22"/>
                <w:szCs w:val="22"/>
              </w:rPr>
              <w:t>f)</w:t>
            </w:r>
          </w:p>
          <w:p w14:paraId="5F0AB55E" w14:textId="49DF3F2C" w:rsidR="00DE692B" w:rsidRDefault="00EF69A4" w:rsidP="00B942A3">
            <w:pPr>
              <w:numPr>
                <w:ilvl w:val="0"/>
                <w:numId w:val="36"/>
              </w:numPr>
              <w:rPr>
                <w:sz w:val="22"/>
                <w:szCs w:val="22"/>
              </w:rPr>
            </w:pPr>
            <w:r>
              <w:rPr>
                <w:i/>
                <w:sz w:val="22"/>
                <w:szCs w:val="22"/>
              </w:rPr>
              <w:t>Skim</w:t>
            </w:r>
            <w:r>
              <w:rPr>
                <w:sz w:val="22"/>
                <w:szCs w:val="22"/>
              </w:rPr>
              <w:t xml:space="preserve"> </w:t>
            </w:r>
            <w:r w:rsidR="00DE692B">
              <w:rPr>
                <w:sz w:val="22"/>
                <w:szCs w:val="22"/>
              </w:rPr>
              <w:t>IRC§§ 203</w:t>
            </w:r>
            <w:r w:rsidR="00A82050">
              <w:rPr>
                <w:sz w:val="22"/>
                <w:szCs w:val="22"/>
              </w:rPr>
              <w:t>2, 2034</w:t>
            </w:r>
            <w:r w:rsidR="00DE692B">
              <w:rPr>
                <w:sz w:val="22"/>
                <w:szCs w:val="22"/>
              </w:rPr>
              <w:t>-</w:t>
            </w:r>
            <w:r w:rsidR="00A82050">
              <w:rPr>
                <w:sz w:val="22"/>
                <w:szCs w:val="22"/>
              </w:rPr>
              <w:t>2044 and 2046.</w:t>
            </w:r>
          </w:p>
          <w:p w14:paraId="38651B07" w14:textId="4829A3C5" w:rsidR="00A82050" w:rsidRDefault="00A82050" w:rsidP="00B942A3">
            <w:pPr>
              <w:numPr>
                <w:ilvl w:val="0"/>
                <w:numId w:val="36"/>
              </w:numPr>
              <w:rPr>
                <w:sz w:val="22"/>
                <w:szCs w:val="22"/>
              </w:rPr>
            </w:pPr>
            <w:r>
              <w:rPr>
                <w:i/>
                <w:sz w:val="22"/>
                <w:szCs w:val="22"/>
              </w:rPr>
              <w:t xml:space="preserve">Skim </w:t>
            </w:r>
            <w:r>
              <w:rPr>
                <w:sz w:val="22"/>
                <w:szCs w:val="22"/>
              </w:rPr>
              <w:t xml:space="preserve">Rev. Rul. 66-88. </w:t>
            </w:r>
          </w:p>
          <w:p w14:paraId="007C8B78" w14:textId="390060C9" w:rsidR="00A82050" w:rsidRDefault="00A82050" w:rsidP="00B942A3">
            <w:pPr>
              <w:numPr>
                <w:ilvl w:val="0"/>
                <w:numId w:val="36"/>
              </w:numPr>
              <w:rPr>
                <w:sz w:val="22"/>
                <w:szCs w:val="22"/>
              </w:rPr>
            </w:pPr>
            <w:r>
              <w:rPr>
                <w:i/>
                <w:sz w:val="22"/>
                <w:szCs w:val="22"/>
              </w:rPr>
              <w:t xml:space="preserve">Skim </w:t>
            </w:r>
            <w:r>
              <w:rPr>
                <w:sz w:val="22"/>
                <w:szCs w:val="22"/>
              </w:rPr>
              <w:t xml:space="preserve">Rev. Rul. 67-277. </w:t>
            </w:r>
          </w:p>
          <w:p w14:paraId="6A2F2A38" w14:textId="629F4EE8" w:rsidR="00EF69A4" w:rsidRDefault="00DE692B" w:rsidP="00B942A3">
            <w:pPr>
              <w:numPr>
                <w:ilvl w:val="0"/>
                <w:numId w:val="36"/>
              </w:numPr>
              <w:rPr>
                <w:sz w:val="22"/>
                <w:szCs w:val="22"/>
              </w:rPr>
            </w:pPr>
            <w:r>
              <w:rPr>
                <w:i/>
                <w:sz w:val="22"/>
                <w:szCs w:val="22"/>
              </w:rPr>
              <w:t xml:space="preserve">Skim </w:t>
            </w:r>
            <w:r w:rsidR="00EF69A4">
              <w:rPr>
                <w:sz w:val="22"/>
                <w:szCs w:val="22"/>
              </w:rPr>
              <w:t>Form 709 Instructions</w:t>
            </w:r>
          </w:p>
          <w:p w14:paraId="73502612" w14:textId="68B80ECF" w:rsidR="00EF69A4" w:rsidRDefault="00EF69A4" w:rsidP="00B942A3">
            <w:pPr>
              <w:numPr>
                <w:ilvl w:val="0"/>
                <w:numId w:val="36"/>
              </w:numPr>
              <w:rPr>
                <w:sz w:val="22"/>
                <w:szCs w:val="22"/>
              </w:rPr>
            </w:pPr>
            <w:r>
              <w:rPr>
                <w:i/>
                <w:sz w:val="22"/>
                <w:szCs w:val="22"/>
              </w:rPr>
              <w:t xml:space="preserve">Skim </w:t>
            </w:r>
            <w:r>
              <w:rPr>
                <w:sz w:val="22"/>
                <w:szCs w:val="22"/>
              </w:rPr>
              <w:t>Form 706 Instructions</w:t>
            </w:r>
          </w:p>
          <w:p w14:paraId="0FF4CB76" w14:textId="00A1B804" w:rsidR="00B942A3" w:rsidRPr="00A82050" w:rsidRDefault="00F817F4" w:rsidP="00A82050">
            <w:pPr>
              <w:numPr>
                <w:ilvl w:val="0"/>
                <w:numId w:val="36"/>
              </w:numPr>
              <w:rPr>
                <w:sz w:val="22"/>
                <w:szCs w:val="22"/>
              </w:rPr>
            </w:pPr>
            <w:r>
              <w:rPr>
                <w:i/>
                <w:sz w:val="22"/>
                <w:szCs w:val="22"/>
              </w:rPr>
              <w:t>Skim</w:t>
            </w:r>
            <w:r>
              <w:rPr>
                <w:sz w:val="22"/>
                <w:szCs w:val="22"/>
              </w:rPr>
              <w:t xml:space="preserve"> </w:t>
            </w:r>
            <w:r w:rsidRPr="00F817F4">
              <w:rPr>
                <w:i/>
                <w:iCs/>
                <w:sz w:val="22"/>
                <w:szCs w:val="22"/>
              </w:rPr>
              <w:t>Estate of Smith v. Commissioner</w:t>
            </w:r>
            <w:r w:rsidRPr="00F817F4">
              <w:rPr>
                <w:sz w:val="22"/>
                <w:szCs w:val="22"/>
              </w:rPr>
              <w:t>, </w:t>
            </w:r>
            <w:r w:rsidRPr="00F817F4">
              <w:rPr>
                <w:bCs/>
                <w:sz w:val="22"/>
                <w:szCs w:val="22"/>
              </w:rPr>
              <w:t>94 T.C. 872</w:t>
            </w:r>
            <w:r w:rsidRPr="00F817F4">
              <w:rPr>
                <w:sz w:val="22"/>
                <w:szCs w:val="22"/>
              </w:rPr>
              <w:t> (1990)</w:t>
            </w:r>
            <w:r w:rsidR="00A82050">
              <w:rPr>
                <w:sz w:val="22"/>
                <w:szCs w:val="22"/>
              </w:rPr>
              <w:t xml:space="preserve">; </w:t>
            </w:r>
            <w:r w:rsidR="00A82050">
              <w:rPr>
                <w:i/>
                <w:sz w:val="22"/>
                <w:szCs w:val="22"/>
              </w:rPr>
              <w:t>Comm’r v. Estate of Bosch</w:t>
            </w:r>
            <w:r w:rsidR="00A82050">
              <w:rPr>
                <w:sz w:val="22"/>
                <w:szCs w:val="22"/>
              </w:rPr>
              <w:t xml:space="preserve">, 387 US 456 (1967). </w:t>
            </w:r>
          </w:p>
        </w:tc>
      </w:tr>
    </w:tbl>
    <w:p w14:paraId="43FBCDD5" w14:textId="3118C5E5" w:rsidR="005F76A2" w:rsidRPr="00733AD9" w:rsidRDefault="005F76A2" w:rsidP="00242088">
      <w:pPr>
        <w:rPr>
          <w:sz w:val="22"/>
          <w:szCs w:val="22"/>
        </w:rPr>
      </w:pPr>
    </w:p>
    <w:p w14:paraId="75DBE741" w14:textId="30B48CC4" w:rsidR="00242088" w:rsidRPr="00F335E2" w:rsidRDefault="00242088" w:rsidP="006A5D34">
      <w:pPr>
        <w:rPr>
          <w:b/>
          <w:sz w:val="22"/>
          <w:szCs w:val="22"/>
          <w:u w:val="single"/>
        </w:rPr>
      </w:pPr>
    </w:p>
    <w:p w14:paraId="4770DBC4" w14:textId="14DF2D37" w:rsidR="00810488" w:rsidRDefault="00810488">
      <w:pPr>
        <w:spacing w:after="160" w:line="259" w:lineRule="auto"/>
        <w:rPr>
          <w:b/>
          <w:sz w:val="22"/>
          <w:szCs w:val="22"/>
          <w:highlight w:val="cyan"/>
          <w:u w:val="single"/>
        </w:rPr>
      </w:pPr>
    </w:p>
    <w:sectPr w:rsidR="00810488">
      <w:headerReference w:type="even" r:id="rId20"/>
      <w:headerReference w:type="default" r:id="rId21"/>
      <w:footerReference w:type="even" r:id="rId22"/>
      <w:footerReference w:type="default" r:id="rId23"/>
      <w:headerReference w:type="first" r:id="rId24"/>
      <w:footerReference w:type="first" r:id="rId2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915A" w14:textId="77777777" w:rsidR="009264ED" w:rsidRDefault="009264ED">
      <w:r>
        <w:separator/>
      </w:r>
    </w:p>
  </w:endnote>
  <w:endnote w:type="continuationSeparator" w:id="0">
    <w:p w14:paraId="7B53E69C" w14:textId="77777777" w:rsidR="009264ED" w:rsidRDefault="009264ED">
      <w:r>
        <w:continuationSeparator/>
      </w:r>
    </w:p>
  </w:endnote>
  <w:endnote w:type="continuationNotice" w:id="1">
    <w:p w14:paraId="3C503BB1" w14:textId="77777777" w:rsidR="009264ED" w:rsidRDefault="00926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D96F" w14:textId="77777777" w:rsidR="00DE692B" w:rsidRDefault="00DE692B" w:rsidP="008B0DF4">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44515549" w14:textId="77777777" w:rsidR="00DE692B" w:rsidRDefault="00DE692B" w:rsidP="008B0DF4">
    <w:pPr>
      <w:spacing w:line="259" w:lineRule="auto"/>
    </w:pPr>
    <w:r>
      <w:rPr>
        <w:rFonts w:ascii="Calibri" w:eastAsia="Calibri" w:hAnsi="Calibri" w:cs="Calibri"/>
      </w:rPr>
      <w:t xml:space="preserve"> </w:t>
    </w:r>
  </w:p>
  <w:bookmarkStart w:id="0" w:name="_iDocIDFieldbd818581-5dfc-4af0-b857-a560"/>
  <w:p w14:paraId="7F41A2D0" w14:textId="77777777" w:rsidR="00DE692B" w:rsidRDefault="00DE692B">
    <w:pPr>
      <w:pStyle w:val="DocID"/>
    </w:pPr>
    <w:r>
      <w:fldChar w:fldCharType="begin"/>
    </w:r>
    <w:r>
      <w:instrText xml:space="preserve">  DOCPROPERTY "CUS_DocIDChunk0" </w:instrText>
    </w:r>
    <w:r>
      <w:fldChar w:fldCharType="separate"/>
    </w:r>
    <w:r>
      <w:rPr>
        <w:noProof/>
      </w:rPr>
      <w:t>87C8875.DOCX</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B7AB" w14:textId="3C202088" w:rsidR="00DE692B" w:rsidRPr="00F335E2" w:rsidRDefault="00DE692B" w:rsidP="003C6712">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00166AAB">
      <w:rPr>
        <w:rFonts w:eastAsia="Calibri"/>
        <w:noProof/>
        <w:sz w:val="22"/>
        <w:szCs w:val="22"/>
      </w:rPr>
      <w:t>2</w:t>
    </w:r>
    <w:r w:rsidRPr="00F335E2">
      <w:rPr>
        <w:rFonts w:eastAsia="Calibri"/>
        <w:sz w:val="22"/>
        <w:szCs w:val="22"/>
      </w:rPr>
      <w:fldChar w:fldCharType="end"/>
    </w:r>
    <w:r w:rsidRPr="00F335E2">
      <w:rPr>
        <w:rFonts w:eastAsia="Calibri"/>
        <w:sz w:val="22"/>
        <w:szCs w:val="22"/>
      </w:rPr>
      <w:t xml:space="preserve"> </w:t>
    </w:r>
  </w:p>
  <w:p w14:paraId="400BC24F" w14:textId="77777777" w:rsidR="00DE692B" w:rsidRDefault="00DE692B" w:rsidP="003C6712">
    <w:pPr>
      <w:spacing w:line="259" w:lineRule="auto"/>
    </w:pPr>
    <w:r>
      <w:rPr>
        <w:rFonts w:ascii="Calibri" w:eastAsia="Calibri" w:hAnsi="Calibri" w:cs="Calibri"/>
      </w:rPr>
      <w:t xml:space="preserve"> </w:t>
    </w:r>
  </w:p>
  <w:bookmarkStart w:id="1" w:name="_iDocIDFielde41ac49d-6d3d-4d2a-9ba4-c7d9"/>
  <w:p w14:paraId="1E2A2A77" w14:textId="77777777" w:rsidR="00DE692B" w:rsidRDefault="00DE692B">
    <w:pPr>
      <w:pStyle w:val="DocID"/>
    </w:pPr>
    <w:r>
      <w:fldChar w:fldCharType="begin"/>
    </w:r>
    <w:r>
      <w:instrText xml:space="preserve">  DOCPROPERTY "CUS_DocIDChunk0" </w:instrText>
    </w:r>
    <w:r>
      <w:fldChar w:fldCharType="separate"/>
    </w:r>
    <w:r>
      <w:rPr>
        <w:noProof/>
      </w:rPr>
      <w:t>87C8875.DOCX</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a0e25c2-f6a9-4216-8db9-a90e"/>
  <w:p w14:paraId="730E5D63" w14:textId="77777777" w:rsidR="00DE692B" w:rsidRDefault="00DE692B">
    <w:pPr>
      <w:pStyle w:val="DocID"/>
    </w:pPr>
    <w:r>
      <w:fldChar w:fldCharType="begin"/>
    </w:r>
    <w:r>
      <w:instrText xml:space="preserve">  DOCPROPERTY "CUS_DocIDChunk0" </w:instrText>
    </w:r>
    <w:r>
      <w:fldChar w:fldCharType="separate"/>
    </w:r>
    <w:r>
      <w:rPr>
        <w:noProof/>
      </w:rPr>
      <w:t>87C8875.DOCX</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B0CD" w14:textId="77777777" w:rsidR="009264ED" w:rsidRDefault="009264ED">
      <w:r>
        <w:separator/>
      </w:r>
    </w:p>
  </w:footnote>
  <w:footnote w:type="continuationSeparator" w:id="0">
    <w:p w14:paraId="5BDB228B" w14:textId="77777777" w:rsidR="009264ED" w:rsidRDefault="009264ED">
      <w:r>
        <w:continuationSeparator/>
      </w:r>
    </w:p>
  </w:footnote>
  <w:footnote w:type="continuationNotice" w:id="1">
    <w:p w14:paraId="3B5A3C87" w14:textId="77777777" w:rsidR="009264ED" w:rsidRDefault="00926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964A2D4C"/>
    <w:lvl w:ilvl="0" w:tplc="1A128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48498277">
    <w:abstractNumId w:val="40"/>
  </w:num>
  <w:num w:numId="2" w16cid:durableId="28460391">
    <w:abstractNumId w:val="20"/>
  </w:num>
  <w:num w:numId="3" w16cid:durableId="1563784911">
    <w:abstractNumId w:val="22"/>
  </w:num>
  <w:num w:numId="4" w16cid:durableId="988902005">
    <w:abstractNumId w:val="33"/>
  </w:num>
  <w:num w:numId="5" w16cid:durableId="900212093">
    <w:abstractNumId w:val="36"/>
  </w:num>
  <w:num w:numId="6" w16cid:durableId="1711302556">
    <w:abstractNumId w:val="8"/>
  </w:num>
  <w:num w:numId="7" w16cid:durableId="106587619">
    <w:abstractNumId w:val="31"/>
  </w:num>
  <w:num w:numId="8" w16cid:durableId="1174032224">
    <w:abstractNumId w:val="39"/>
  </w:num>
  <w:num w:numId="9" w16cid:durableId="1543056527">
    <w:abstractNumId w:val="17"/>
  </w:num>
  <w:num w:numId="10" w16cid:durableId="1679650142">
    <w:abstractNumId w:val="30"/>
  </w:num>
  <w:num w:numId="11" w16cid:durableId="1570459842">
    <w:abstractNumId w:val="12"/>
  </w:num>
  <w:num w:numId="12" w16cid:durableId="40835805">
    <w:abstractNumId w:val="11"/>
  </w:num>
  <w:num w:numId="13" w16cid:durableId="51663057">
    <w:abstractNumId w:val="27"/>
  </w:num>
  <w:num w:numId="14" w16cid:durableId="1234046436">
    <w:abstractNumId w:val="25"/>
  </w:num>
  <w:num w:numId="15" w16cid:durableId="472609">
    <w:abstractNumId w:val="23"/>
  </w:num>
  <w:num w:numId="16" w16cid:durableId="963190369">
    <w:abstractNumId w:val="34"/>
  </w:num>
  <w:num w:numId="17" w16cid:durableId="2088768379">
    <w:abstractNumId w:val="0"/>
  </w:num>
  <w:num w:numId="18" w16cid:durableId="72168410">
    <w:abstractNumId w:val="21"/>
  </w:num>
  <w:num w:numId="19" w16cid:durableId="1547989633">
    <w:abstractNumId w:val="18"/>
  </w:num>
  <w:num w:numId="20" w16cid:durableId="1542354453">
    <w:abstractNumId w:val="2"/>
  </w:num>
  <w:num w:numId="21" w16cid:durableId="282659715">
    <w:abstractNumId w:val="38"/>
  </w:num>
  <w:num w:numId="22" w16cid:durableId="627710343">
    <w:abstractNumId w:val="19"/>
  </w:num>
  <w:num w:numId="23" w16cid:durableId="195197798">
    <w:abstractNumId w:val="37"/>
  </w:num>
  <w:num w:numId="24" w16cid:durableId="486937981">
    <w:abstractNumId w:val="13"/>
  </w:num>
  <w:num w:numId="25" w16cid:durableId="1854029535">
    <w:abstractNumId w:val="35"/>
  </w:num>
  <w:num w:numId="26" w16cid:durableId="157431228">
    <w:abstractNumId w:val="28"/>
  </w:num>
  <w:num w:numId="27" w16cid:durableId="384717795">
    <w:abstractNumId w:val="4"/>
  </w:num>
  <w:num w:numId="28" w16cid:durableId="2070226240">
    <w:abstractNumId w:val="6"/>
  </w:num>
  <w:num w:numId="29" w16cid:durableId="294146579">
    <w:abstractNumId w:val="9"/>
  </w:num>
  <w:num w:numId="30" w16cid:durableId="874268870">
    <w:abstractNumId w:val="26"/>
  </w:num>
  <w:num w:numId="31" w16cid:durableId="1320228344">
    <w:abstractNumId w:val="15"/>
  </w:num>
  <w:num w:numId="32" w16cid:durableId="1196886569">
    <w:abstractNumId w:val="5"/>
  </w:num>
  <w:num w:numId="33" w16cid:durableId="869563993">
    <w:abstractNumId w:val="16"/>
  </w:num>
  <w:num w:numId="34" w16cid:durableId="1807316061">
    <w:abstractNumId w:val="1"/>
  </w:num>
  <w:num w:numId="35" w16cid:durableId="2041662511">
    <w:abstractNumId w:val="32"/>
  </w:num>
  <w:num w:numId="36" w16cid:durableId="2136947343">
    <w:abstractNumId w:val="7"/>
  </w:num>
  <w:num w:numId="37" w16cid:durableId="238751222">
    <w:abstractNumId w:val="29"/>
  </w:num>
  <w:num w:numId="38" w16cid:durableId="730276802">
    <w:abstractNumId w:val="24"/>
  </w:num>
  <w:num w:numId="39" w16cid:durableId="1887836177">
    <w:abstractNumId w:val="10"/>
  </w:num>
  <w:num w:numId="40" w16cid:durableId="1201014914">
    <w:abstractNumId w:val="3"/>
  </w:num>
  <w:num w:numId="41" w16cid:durableId="77247534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66AAB"/>
    <w:rsid w:val="001704DC"/>
    <w:rsid w:val="0017244B"/>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4096"/>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5F76A2"/>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9293F"/>
    <w:rsid w:val="0069536D"/>
    <w:rsid w:val="006959B5"/>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3AD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68C1"/>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2050"/>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56FA3"/>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E692B"/>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EF69A4"/>
    <w:rsid w:val="00F01119"/>
    <w:rsid w:val="00F11A7C"/>
    <w:rsid w:val="00F1627B"/>
    <w:rsid w:val="00F26E54"/>
    <w:rsid w:val="00F306A4"/>
    <w:rsid w:val="00F30EE1"/>
    <w:rsid w:val="00F335E2"/>
    <w:rsid w:val="00F50F9F"/>
    <w:rsid w:val="00F64A28"/>
    <w:rsid w:val="00F747F2"/>
    <w:rsid w:val="00F817F4"/>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customStyle="1" w:styleId="UnresolvedMention2">
    <w:name w:val="Unresolved Mention2"/>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customStyle="1" w:styleId="DocID">
    <w:name w:val="DocID"/>
    <w:basedOn w:val="Footer"/>
    <w:next w:val="Footer"/>
    <w:link w:val="DocIDChar"/>
    <w:rsid w:val="00DE692B"/>
    <w:pPr>
      <w:tabs>
        <w:tab w:val="clear" w:pos="4680"/>
        <w:tab w:val="clear" w:pos="9360"/>
      </w:tabs>
      <w:jc w:val="right"/>
    </w:pPr>
    <w:rPr>
      <w:sz w:val="16"/>
      <w:szCs w:val="20"/>
    </w:rPr>
  </w:style>
  <w:style w:type="character" w:customStyle="1" w:styleId="DocIDChar">
    <w:name w:val="DocID Char"/>
    <w:basedOn w:val="DefaultParagraphFont"/>
    <w:link w:val="DocID"/>
    <w:rsid w:val="00DE692B"/>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ddemeyer@bushross.com" TargetMode="External"/><Relationship Id="rId13" Type="http://schemas.openxmlformats.org/officeDocument/2006/relationships/hyperlink" Target="http://www.law.ufl.edu/student-affairs/current-students/forms-applications/exam-delays-accommodations-form" TargetMode="External"/><Relationship Id="rId18" Type="http://schemas.openxmlformats.org/officeDocument/2006/relationships/hyperlink" Target="https://shcc.ufl.edu/services/primary-care/immunizations/vacci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talog.ufl.edu/ugrad/1617/regulations/info/attendance.aspx" TargetMode="External"/><Relationship Id="rId17" Type="http://schemas.openxmlformats.org/officeDocument/2006/relationships/hyperlink" Target="https://gatorevals.aa.ufl.edu/public-resul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oter" Target="footer2.xml"/><Relationship Id="rId10"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yperlink" Target="https://actecfoundation.org/trust-and-estate-professional-resources/professional-conduct-rules-for-trust-and-estate-practitioners/"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ufl.instructure.com/courses/42763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DE12-779F-4B6C-B4C2-E0E27389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2023-01-05T21:56:00Z</dcterms:created>
  <dcterms:modified xsi:type="dcterms:W3CDTF">2023-01-05T21:56:00Z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87C8875.DOCX</vt:lpwstr>
  </property>
  <property fmtid="{D5CDD505-2E9C-101B-9397-08002B2CF9AE}" pid="3" name="CUS_DocIDChunk0">
    <vt:lpwstr>87C8875.DOCX</vt:lpwstr>
  </property>
  <property fmtid="{D5CDD505-2E9C-101B-9397-08002B2CF9AE}" pid="4" name="CUS_DocIDActiveBits">
    <vt:lpwstr>1023</vt:lpwstr>
  </property>
  <property fmtid="{D5CDD505-2E9C-101B-9397-08002B2CF9AE}" pid="5" name="CUS_DocIDLocation">
    <vt:lpwstr>EVERY_PAGE</vt:lpwstr>
  </property>
  <property fmtid="{D5CDD505-2E9C-101B-9397-08002B2CF9AE}" pid="6" name="CUS_DocIDReference">
    <vt:lpwstr>everyPage</vt:lpwstr>
  </property>
</Properties>
</file>