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D09" w:rsidRPr="00A304DA" w:rsidRDefault="005E2D09" w:rsidP="005E2D09">
      <w:pPr>
        <w:spacing w:after="0" w:line="240" w:lineRule="auto"/>
        <w:jc w:val="center"/>
        <w:rPr>
          <w:rFonts w:cstheme="minorHAnsi"/>
          <w:b/>
          <w:u w:val="single"/>
        </w:rPr>
      </w:pPr>
      <w:r w:rsidRPr="00A304DA">
        <w:rPr>
          <w:rFonts w:cstheme="minorHAnsi"/>
          <w:b/>
          <w:u w:val="single"/>
        </w:rPr>
        <w:t>Value Added Tax</w:t>
      </w:r>
    </w:p>
    <w:p w:rsidR="005E2D09" w:rsidRPr="00A304DA" w:rsidRDefault="005E2D09" w:rsidP="005E2D09">
      <w:pPr>
        <w:spacing w:after="0" w:line="240" w:lineRule="auto"/>
        <w:jc w:val="center"/>
        <w:rPr>
          <w:rFonts w:cstheme="minorHAnsi"/>
          <w:bCs/>
        </w:rPr>
      </w:pPr>
      <w:r w:rsidRPr="00A304DA">
        <w:rPr>
          <w:rFonts w:cstheme="minorHAnsi"/>
          <w:bCs/>
        </w:rPr>
        <w:t>Musaad Alwohaibi</w:t>
      </w:r>
    </w:p>
    <w:p w:rsidR="005E2D09" w:rsidRPr="00A304DA" w:rsidRDefault="00E17D74" w:rsidP="005E2D09">
      <w:pPr>
        <w:spacing w:after="0" w:line="240" w:lineRule="auto"/>
        <w:jc w:val="center"/>
        <w:rPr>
          <w:rFonts w:cstheme="minorHAnsi"/>
          <w:bCs/>
        </w:rPr>
      </w:pPr>
      <w:hyperlink r:id="rId7" w:history="1">
        <w:r w:rsidR="005E2D09" w:rsidRPr="00A304DA">
          <w:rPr>
            <w:rStyle w:val="Hyperlink"/>
            <w:rFonts w:cstheme="minorHAnsi"/>
            <w:bCs/>
          </w:rPr>
          <w:t>Musaad@ufl.edu</w:t>
        </w:r>
      </w:hyperlink>
      <w:r w:rsidR="005E2D09" w:rsidRPr="00A304DA">
        <w:rPr>
          <w:rFonts w:cstheme="minorHAnsi"/>
          <w:bCs/>
        </w:rPr>
        <w:t xml:space="preserve"> </w:t>
      </w:r>
    </w:p>
    <w:p w:rsidR="005E2D09" w:rsidRPr="00A304DA" w:rsidRDefault="005E2D09" w:rsidP="005E2D09">
      <w:pPr>
        <w:spacing w:after="0" w:line="240" w:lineRule="auto"/>
        <w:jc w:val="center"/>
        <w:rPr>
          <w:rFonts w:cstheme="minorHAnsi"/>
          <w:bCs/>
        </w:rPr>
      </w:pPr>
      <w:r w:rsidRPr="00A304DA">
        <w:rPr>
          <w:rFonts w:cstheme="minorHAnsi"/>
          <w:bCs/>
        </w:rPr>
        <w:t xml:space="preserve">Monday </w:t>
      </w:r>
      <w:r w:rsidR="008440C6" w:rsidRPr="00A304DA">
        <w:rPr>
          <w:rFonts w:cstheme="minorHAnsi"/>
          <w:bCs/>
        </w:rPr>
        <w:t>(</w:t>
      </w:r>
      <w:r w:rsidRPr="00A304DA">
        <w:rPr>
          <w:rFonts w:cstheme="minorHAnsi"/>
          <w:bCs/>
        </w:rPr>
        <w:t>3-6:15 p.m.</w:t>
      </w:r>
      <w:r w:rsidR="008440C6" w:rsidRPr="00A304DA">
        <w:rPr>
          <w:rFonts w:cstheme="minorHAnsi"/>
          <w:bCs/>
        </w:rPr>
        <w:t>)</w:t>
      </w:r>
      <w:r w:rsidRPr="00A304DA">
        <w:rPr>
          <w:rFonts w:cstheme="minorHAnsi"/>
          <w:bCs/>
        </w:rPr>
        <w:t xml:space="preserve"> and Tuesday </w:t>
      </w:r>
      <w:r w:rsidR="008440C6" w:rsidRPr="00A304DA">
        <w:rPr>
          <w:rFonts w:cstheme="minorHAnsi"/>
          <w:bCs/>
        </w:rPr>
        <w:t>(</w:t>
      </w:r>
      <w:r w:rsidRPr="00A304DA">
        <w:rPr>
          <w:rFonts w:cstheme="minorHAnsi"/>
          <w:bCs/>
        </w:rPr>
        <w:t>8-10 a.m.</w:t>
      </w:r>
      <w:r w:rsidR="008440C6" w:rsidRPr="00A304DA">
        <w:rPr>
          <w:rFonts w:cstheme="minorHAnsi"/>
          <w:bCs/>
        </w:rPr>
        <w:t>)</w:t>
      </w:r>
    </w:p>
    <w:p w:rsidR="005E2D09" w:rsidRDefault="005E2D09" w:rsidP="008440C6">
      <w:pPr>
        <w:spacing w:after="0" w:line="240" w:lineRule="auto"/>
        <w:jc w:val="center"/>
        <w:rPr>
          <w:rFonts w:cstheme="minorHAnsi"/>
          <w:bCs/>
        </w:rPr>
      </w:pPr>
      <w:r w:rsidRPr="00A304DA">
        <w:rPr>
          <w:rFonts w:cstheme="minorHAnsi"/>
          <w:bCs/>
        </w:rPr>
        <w:t>(Jan. 13 through Feb. 18)</w:t>
      </w:r>
    </w:p>
    <w:p w:rsidR="005D2814" w:rsidRDefault="005D2814" w:rsidP="008440C6">
      <w:pPr>
        <w:spacing w:after="0" w:line="240" w:lineRule="auto"/>
        <w:jc w:val="center"/>
        <w:rPr>
          <w:rFonts w:cstheme="minorHAnsi"/>
          <w:bCs/>
        </w:rPr>
      </w:pPr>
      <w:r>
        <w:rPr>
          <w:rFonts w:cstheme="minorHAnsi"/>
          <w:bCs/>
        </w:rPr>
        <w:t>2-credits</w:t>
      </w:r>
    </w:p>
    <w:p w:rsidR="005D2814" w:rsidRDefault="005D2814" w:rsidP="005D2814">
      <w:pPr>
        <w:spacing w:after="0" w:line="240" w:lineRule="auto"/>
        <w:jc w:val="center"/>
        <w:rPr>
          <w:rFonts w:cstheme="minorHAnsi"/>
          <w:bCs/>
        </w:rPr>
      </w:pPr>
      <w:r>
        <w:rPr>
          <w:rFonts w:cstheme="minorHAnsi"/>
          <w:bCs/>
        </w:rPr>
        <w:t xml:space="preserve">Office Hours : Monday 6:15 – </w:t>
      </w:r>
      <w:r w:rsidR="00D05881">
        <w:rPr>
          <w:rFonts w:cstheme="minorHAnsi"/>
          <w:bCs/>
        </w:rPr>
        <w:t>8</w:t>
      </w:r>
      <w:r>
        <w:rPr>
          <w:rFonts w:cstheme="minorHAnsi"/>
          <w:bCs/>
        </w:rPr>
        <w:t>:15 p.m</w:t>
      </w:r>
      <w:r w:rsidR="00EC24DC">
        <w:rPr>
          <w:rFonts w:cstheme="minorHAnsi"/>
          <w:bCs/>
        </w:rPr>
        <w:t>.</w:t>
      </w:r>
    </w:p>
    <w:p w:rsidR="00E92C5F" w:rsidRDefault="00E92C5F" w:rsidP="005D2814">
      <w:pPr>
        <w:spacing w:after="0" w:line="240" w:lineRule="auto"/>
        <w:jc w:val="center"/>
        <w:rPr>
          <w:rFonts w:cstheme="minorHAnsi"/>
          <w:bCs/>
        </w:rPr>
      </w:pPr>
    </w:p>
    <w:p w:rsidR="005E2D09" w:rsidRPr="00A304DA" w:rsidRDefault="005E2D09" w:rsidP="004A30A6">
      <w:pPr>
        <w:spacing w:after="0" w:line="240" w:lineRule="auto"/>
        <w:jc w:val="both"/>
        <w:rPr>
          <w:rFonts w:cstheme="minorHAnsi"/>
          <w:b/>
          <w:u w:val="single"/>
        </w:rPr>
      </w:pPr>
    </w:p>
    <w:p w:rsidR="004A30A6" w:rsidRPr="00A304DA" w:rsidRDefault="004A30A6" w:rsidP="004A30A6">
      <w:pPr>
        <w:spacing w:after="0" w:line="240" w:lineRule="auto"/>
        <w:jc w:val="both"/>
        <w:rPr>
          <w:rFonts w:cstheme="minorHAnsi"/>
          <w:b/>
          <w:u w:val="single"/>
        </w:rPr>
      </w:pPr>
      <w:r w:rsidRPr="00A304DA">
        <w:rPr>
          <w:rFonts w:cstheme="minorHAnsi"/>
          <w:b/>
          <w:u w:val="single"/>
        </w:rPr>
        <w:t xml:space="preserve">Primary Text: </w:t>
      </w:r>
    </w:p>
    <w:p w:rsidR="004A30A6" w:rsidRPr="00A304DA" w:rsidRDefault="004A30A6" w:rsidP="004A30A6">
      <w:pPr>
        <w:spacing w:after="0" w:line="240" w:lineRule="auto"/>
        <w:jc w:val="both"/>
        <w:rPr>
          <w:rFonts w:cstheme="minorHAnsi"/>
          <w:b/>
          <w:u w:val="single"/>
        </w:rPr>
      </w:pPr>
      <w:r w:rsidRPr="00A304DA">
        <w:rPr>
          <w:rFonts w:cstheme="minorHAnsi"/>
          <w:bCs/>
        </w:rPr>
        <w:t xml:space="preserve">Alan Schenk, Victor </w:t>
      </w:r>
      <w:proofErr w:type="spellStart"/>
      <w:r w:rsidRPr="00A304DA">
        <w:rPr>
          <w:rFonts w:cstheme="minorHAnsi"/>
          <w:bCs/>
        </w:rPr>
        <w:t>Thuronyi</w:t>
      </w:r>
      <w:proofErr w:type="spellEnd"/>
      <w:r w:rsidRPr="00A304DA">
        <w:rPr>
          <w:rFonts w:cstheme="minorHAnsi"/>
          <w:bCs/>
        </w:rPr>
        <w:t xml:space="preserve"> &amp; Wei Cui, Value Added Tax: A Comparative Approach, 2nd edition, Cambridge Tax Law Series, 2015.</w:t>
      </w:r>
      <w:r w:rsidRPr="00A304DA">
        <w:rPr>
          <w:rFonts w:cstheme="minorHAnsi"/>
          <w:b/>
          <w:u w:val="single"/>
        </w:rPr>
        <w:t xml:space="preserve"> </w:t>
      </w:r>
    </w:p>
    <w:p w:rsidR="004A30A6" w:rsidRPr="00A304DA" w:rsidRDefault="004A30A6" w:rsidP="004A30A6">
      <w:pPr>
        <w:spacing w:after="0" w:line="240" w:lineRule="auto"/>
        <w:jc w:val="both"/>
        <w:rPr>
          <w:rFonts w:cstheme="minorHAnsi"/>
          <w:b/>
          <w:u w:val="single"/>
        </w:rPr>
      </w:pPr>
      <w:r w:rsidRPr="00A304DA">
        <w:rPr>
          <w:rFonts w:cstheme="minorHAnsi"/>
          <w:b/>
          <w:u w:val="single"/>
        </w:rPr>
        <w:t xml:space="preserve">Secondary Materials and Additional Cases: </w:t>
      </w:r>
    </w:p>
    <w:p w:rsidR="00003B3E" w:rsidRPr="00A304DA" w:rsidRDefault="004A30A6" w:rsidP="004A30A6">
      <w:pPr>
        <w:spacing w:after="0" w:line="240" w:lineRule="auto"/>
        <w:jc w:val="both"/>
        <w:rPr>
          <w:rFonts w:cstheme="minorHAnsi"/>
          <w:bCs/>
        </w:rPr>
      </w:pPr>
      <w:r w:rsidRPr="00A304DA">
        <w:rPr>
          <w:rFonts w:cstheme="minorHAnsi"/>
          <w:bCs/>
        </w:rPr>
        <w:t>During the course students will be provided with additional cases (hard copy and web based) to consider along with the primary text.</w:t>
      </w:r>
    </w:p>
    <w:p w:rsidR="00003B3E" w:rsidRPr="00A304DA" w:rsidRDefault="00003B3E" w:rsidP="0041672C">
      <w:pPr>
        <w:spacing w:after="0" w:line="240" w:lineRule="auto"/>
        <w:jc w:val="both"/>
        <w:rPr>
          <w:rFonts w:cstheme="minorHAnsi"/>
          <w:b/>
          <w:u w:val="single"/>
        </w:rPr>
      </w:pPr>
    </w:p>
    <w:p w:rsidR="00A2325E" w:rsidRPr="00A304DA" w:rsidRDefault="004A30A6" w:rsidP="0072135D">
      <w:pPr>
        <w:spacing w:after="0" w:line="240" w:lineRule="auto"/>
        <w:jc w:val="both"/>
        <w:rPr>
          <w:rFonts w:cstheme="minorHAnsi"/>
          <w:b/>
          <w:u w:val="single"/>
        </w:rPr>
      </w:pPr>
      <w:r w:rsidRPr="00A304DA">
        <w:rPr>
          <w:rFonts w:cstheme="minorHAnsi"/>
          <w:b/>
          <w:u w:val="single"/>
        </w:rPr>
        <w:t xml:space="preserve">Objectives/ Learning Outcomes: </w:t>
      </w:r>
    </w:p>
    <w:p w:rsidR="004A30A6" w:rsidRPr="00A304DA" w:rsidRDefault="004A30A6" w:rsidP="00A2325E">
      <w:pPr>
        <w:spacing w:after="0" w:line="240" w:lineRule="auto"/>
        <w:ind w:left="720"/>
        <w:jc w:val="both"/>
        <w:rPr>
          <w:rFonts w:cstheme="minorHAnsi"/>
          <w:b/>
          <w:u w:val="single"/>
        </w:rPr>
      </w:pPr>
      <w:r w:rsidRPr="00A304DA">
        <w:rPr>
          <w:rFonts w:cstheme="minorHAnsi"/>
          <w:b/>
          <w:u w:val="single"/>
        </w:rPr>
        <w:t xml:space="preserve">(a) Knowledge/ understanding of substantive and procedural law </w:t>
      </w:r>
      <w:r w:rsidRPr="00A304DA">
        <w:rPr>
          <w:rFonts w:cstheme="minorHAnsi"/>
          <w:bCs/>
        </w:rPr>
        <w:t>- this course undertakes a detailed examination of global consumption tax regimes, with a primary focus on Value Added Taxation (VAT) in the European Union. It will however, not be limited to the EU VAT, as important variations outside the EU will also be considered. The Canadian and New Zealand GSTs as well as the Israeli and Brazilian VATs will provide important contrasts.</w:t>
      </w:r>
      <w:r w:rsidR="008440C6" w:rsidRPr="00A304DA">
        <w:rPr>
          <w:rFonts w:cstheme="minorHAnsi"/>
          <w:bCs/>
        </w:rPr>
        <w:t xml:space="preserve"> </w:t>
      </w:r>
      <w:r w:rsidRPr="00A304DA">
        <w:rPr>
          <w:rFonts w:cstheme="minorHAnsi"/>
          <w:bCs/>
        </w:rPr>
        <w:t xml:space="preserve">The student should expect to acquire broad familiarity with global indirect taxation systems in sufficient depth to allow him/ her to participate in international tax compliance and planning dialogues in a corporate context. </w:t>
      </w:r>
    </w:p>
    <w:p w:rsidR="004A2F17" w:rsidRPr="00A304DA" w:rsidRDefault="004A30A6" w:rsidP="00A2325E">
      <w:pPr>
        <w:spacing w:after="0" w:line="240" w:lineRule="auto"/>
        <w:ind w:left="720"/>
        <w:jc w:val="both"/>
        <w:rPr>
          <w:rFonts w:cstheme="minorHAnsi"/>
          <w:bCs/>
        </w:rPr>
      </w:pPr>
      <w:r w:rsidRPr="00A304DA">
        <w:rPr>
          <w:rFonts w:cstheme="minorHAnsi"/>
          <w:b/>
          <w:u w:val="single"/>
        </w:rPr>
        <w:t>(b) Legal analysis and reasoning/</w:t>
      </w:r>
      <w:r w:rsidR="008440C6" w:rsidRPr="00A304DA">
        <w:rPr>
          <w:rFonts w:cstheme="minorHAnsi"/>
          <w:b/>
          <w:u w:val="single"/>
        </w:rPr>
        <w:t xml:space="preserve"> </w:t>
      </w:r>
      <w:r w:rsidRPr="00A304DA">
        <w:rPr>
          <w:rFonts w:cstheme="minorHAnsi"/>
          <w:b/>
          <w:u w:val="single"/>
        </w:rPr>
        <w:t>research/ problem solving with written and oral communication in a legal context –</w:t>
      </w:r>
      <w:r w:rsidRPr="00A304DA">
        <w:rPr>
          <w:rFonts w:cstheme="minorHAnsi"/>
          <w:b/>
        </w:rPr>
        <w:t xml:space="preserve"> </w:t>
      </w:r>
      <w:r w:rsidR="004A2F17" w:rsidRPr="00A304DA">
        <w:rPr>
          <w:rFonts w:cstheme="minorHAnsi"/>
          <w:b/>
        </w:rPr>
        <w:t xml:space="preserve"> </w:t>
      </w:r>
      <w:r w:rsidRPr="00A304DA">
        <w:rPr>
          <w:rFonts w:cstheme="minorHAnsi"/>
          <w:bCs/>
        </w:rPr>
        <w:t>this course will also introduce students to current research efforts directed at solving (with technology and statutory reforms) some of the major frauds (Missing Trader frauds) in the EU and similar VATs</w:t>
      </w:r>
      <w:r w:rsidR="004A2F17" w:rsidRPr="00A304DA">
        <w:rPr>
          <w:rFonts w:cstheme="minorHAnsi"/>
          <w:bCs/>
        </w:rPr>
        <w:t>.</w:t>
      </w:r>
    </w:p>
    <w:p w:rsidR="004A30A6" w:rsidRPr="00A304DA" w:rsidRDefault="004A30A6" w:rsidP="00A2325E">
      <w:pPr>
        <w:spacing w:after="0" w:line="240" w:lineRule="auto"/>
        <w:ind w:left="720" w:firstLine="40"/>
        <w:jc w:val="both"/>
        <w:rPr>
          <w:rFonts w:cstheme="minorHAnsi"/>
          <w:b/>
          <w:u w:val="single"/>
        </w:rPr>
      </w:pPr>
      <w:r w:rsidRPr="00A304DA">
        <w:rPr>
          <w:rFonts w:cstheme="minorHAnsi"/>
          <w:b/>
          <w:u w:val="single"/>
        </w:rPr>
        <w:t xml:space="preserve">(c) Exercise of professional/ethical responsibilities to clients – </w:t>
      </w:r>
      <w:r w:rsidRPr="00A304DA">
        <w:rPr>
          <w:rFonts w:cstheme="minorHAnsi"/>
          <w:bCs/>
        </w:rPr>
        <w:t xml:space="preserve">this course will teach, and measure the internalization of professional responsibilities consistent with the defense of individuals being extradited from the US for criminal and civil violation of VAT statutes overseas. </w:t>
      </w:r>
    </w:p>
    <w:p w:rsidR="004A30A6" w:rsidRDefault="004A30A6" w:rsidP="00A2325E">
      <w:pPr>
        <w:spacing w:after="0" w:line="240" w:lineRule="auto"/>
        <w:ind w:left="720"/>
        <w:jc w:val="both"/>
        <w:rPr>
          <w:rFonts w:cstheme="minorHAnsi"/>
          <w:bCs/>
        </w:rPr>
      </w:pPr>
      <w:r w:rsidRPr="00A304DA">
        <w:rPr>
          <w:rFonts w:cstheme="minorHAnsi"/>
          <w:b/>
          <w:u w:val="single"/>
        </w:rPr>
        <w:t xml:space="preserve">(d) Other professional skills for competency and ethical participation in professional activities – </w:t>
      </w:r>
      <w:r w:rsidRPr="00A304DA">
        <w:rPr>
          <w:rFonts w:cstheme="minorHAnsi"/>
          <w:bCs/>
        </w:rPr>
        <w:t>this course will expose students to the developing technology interface essential for competent practice in this specialty. In particular the application of blockchain technology and Bitcoin-like cryptocurrencies in consumption tax enforcement will be considered. In this context the critical importance of technological advances (both for internal compliance measures, and government enforcement) will be examined.</w:t>
      </w:r>
    </w:p>
    <w:p w:rsidR="00A304DA" w:rsidRPr="00A304DA" w:rsidRDefault="00A304DA" w:rsidP="00A2325E">
      <w:pPr>
        <w:spacing w:after="0" w:line="240" w:lineRule="auto"/>
        <w:ind w:left="720"/>
        <w:jc w:val="both"/>
        <w:rPr>
          <w:rFonts w:cstheme="minorHAnsi"/>
          <w:b/>
          <w:u w:val="single"/>
        </w:rPr>
      </w:pPr>
    </w:p>
    <w:p w:rsidR="0072135D" w:rsidRPr="00A304DA" w:rsidRDefault="0072135D" w:rsidP="0072135D">
      <w:pPr>
        <w:spacing w:after="0" w:line="240" w:lineRule="auto"/>
        <w:jc w:val="both"/>
        <w:rPr>
          <w:rFonts w:cstheme="minorHAnsi"/>
          <w:b/>
        </w:rPr>
      </w:pPr>
      <w:r w:rsidRPr="00A304DA">
        <w:rPr>
          <w:rFonts w:cstheme="minorHAnsi"/>
          <w:b/>
          <w:u w:val="single"/>
        </w:rPr>
        <w:t>Class Participation</w:t>
      </w:r>
      <w:r w:rsidRPr="00A304DA">
        <w:rPr>
          <w:rFonts w:cstheme="minorHAnsi"/>
          <w:b/>
        </w:rPr>
        <w:t>.</w:t>
      </w:r>
    </w:p>
    <w:p w:rsidR="00E92C5F" w:rsidRPr="00E92C5F" w:rsidRDefault="00E92C5F" w:rsidP="00E92C5F">
      <w:pPr>
        <w:spacing w:after="0" w:line="240" w:lineRule="auto"/>
        <w:rPr>
          <w:rFonts w:cstheme="minorHAnsi"/>
          <w:bCs/>
        </w:rPr>
      </w:pPr>
      <w:r w:rsidRPr="00E92C5F">
        <w:rPr>
          <w:rFonts w:cstheme="minorHAnsi"/>
          <w:bCs/>
        </w:rPr>
        <w:t xml:space="preserve">ABA Standard 310 requires that students devote 120 minutes to out-of-class preparation for every “classroom hour” of in-class instruction. Accordingly, you will have about 60 pages of reading each </w:t>
      </w:r>
      <w:r>
        <w:rPr>
          <w:rFonts w:cstheme="minorHAnsi"/>
          <w:bCs/>
        </w:rPr>
        <w:t>class</w:t>
      </w:r>
      <w:r w:rsidRPr="00E92C5F">
        <w:rPr>
          <w:rFonts w:cstheme="minorHAnsi"/>
          <w:bCs/>
        </w:rPr>
        <w:t>. Because the course includes statutory and regulatory excerpts that require careful reading, as well as discussion problems that require thoughtful advance written preparation, you should spend at least one hour on every 10-15 pages of reading.</w:t>
      </w:r>
    </w:p>
    <w:p w:rsidR="00E92C5F" w:rsidRDefault="0072135D" w:rsidP="00E92C5F">
      <w:pPr>
        <w:spacing w:after="0" w:line="240" w:lineRule="auto"/>
        <w:jc w:val="both"/>
        <w:rPr>
          <w:rFonts w:cstheme="minorHAnsi"/>
        </w:rPr>
      </w:pPr>
      <w:r w:rsidRPr="00A304DA">
        <w:rPr>
          <w:rFonts w:cstheme="minorHAnsi"/>
          <w:bCs/>
        </w:rPr>
        <w:t>I expect</w:t>
      </w:r>
      <w:r w:rsidRPr="00A304DA">
        <w:rPr>
          <w:rFonts w:cstheme="minorHAnsi"/>
        </w:rPr>
        <w:t xml:space="preserve"> you to come to class having read the materials, completed any required pre-class assignments, and generally prepared to engage in class discussions. </w:t>
      </w:r>
    </w:p>
    <w:p w:rsidR="00E92C5F" w:rsidRDefault="00E92C5F" w:rsidP="00E92C5F">
      <w:pPr>
        <w:spacing w:after="0" w:line="240" w:lineRule="auto"/>
        <w:jc w:val="both"/>
        <w:rPr>
          <w:rFonts w:cstheme="minorHAnsi"/>
        </w:rPr>
      </w:pPr>
    </w:p>
    <w:p w:rsidR="00E92C5F" w:rsidRPr="00E92C5F" w:rsidRDefault="00E92C5F" w:rsidP="00E92C5F">
      <w:pPr>
        <w:spacing w:after="0" w:line="240" w:lineRule="auto"/>
        <w:jc w:val="both"/>
        <w:rPr>
          <w:rFonts w:cstheme="minorHAnsi"/>
        </w:rPr>
      </w:pPr>
    </w:p>
    <w:p w:rsidR="0072135D" w:rsidRPr="00A304DA" w:rsidRDefault="0072135D" w:rsidP="0072135D">
      <w:pPr>
        <w:spacing w:after="0" w:line="240" w:lineRule="auto"/>
        <w:jc w:val="both"/>
        <w:rPr>
          <w:rFonts w:cstheme="minorHAnsi"/>
          <w:b/>
        </w:rPr>
      </w:pPr>
      <w:bookmarkStart w:id="0" w:name="_GoBack"/>
      <w:bookmarkEnd w:id="0"/>
      <w:r w:rsidRPr="00A304DA">
        <w:rPr>
          <w:rFonts w:cstheme="minorHAnsi"/>
          <w:b/>
          <w:u w:val="single"/>
        </w:rPr>
        <w:lastRenderedPageBreak/>
        <w:t>Attendance Requirements</w:t>
      </w:r>
      <w:r w:rsidRPr="00A304DA">
        <w:rPr>
          <w:rFonts w:cstheme="minorHAnsi"/>
          <w:b/>
        </w:rPr>
        <w:t xml:space="preserve">. </w:t>
      </w:r>
    </w:p>
    <w:p w:rsidR="0072135D" w:rsidRPr="00A304DA" w:rsidRDefault="0072135D" w:rsidP="0072135D">
      <w:pPr>
        <w:spacing w:after="0" w:line="240" w:lineRule="auto"/>
        <w:jc w:val="both"/>
        <w:rPr>
          <w:rFonts w:cstheme="minorHAnsi"/>
        </w:rPr>
      </w:pPr>
      <w:r w:rsidRPr="00A304DA">
        <w:rPr>
          <w:rFonts w:cstheme="minorHAnsi"/>
        </w:rPr>
        <w:t xml:space="preserve">Pursuant to </w:t>
      </w:r>
      <w:r w:rsidR="00A304DA">
        <w:rPr>
          <w:rFonts w:cstheme="minorHAnsi"/>
        </w:rPr>
        <w:t xml:space="preserve">the </w:t>
      </w:r>
      <w:r w:rsidRPr="00A304DA">
        <w:rPr>
          <w:rFonts w:cstheme="minorHAnsi"/>
        </w:rPr>
        <w:t>law school and ABA regulations, students are required to attend class regularly. It is your responsibility to keep track of your absences.</w:t>
      </w:r>
      <w:r w:rsidR="005D2814">
        <w:rPr>
          <w:rFonts w:cstheme="minorHAnsi"/>
        </w:rPr>
        <w:t xml:space="preserve"> </w:t>
      </w:r>
      <w:r w:rsidR="005D2814" w:rsidRPr="005D2814">
        <w:rPr>
          <w:rFonts w:cstheme="minorHAnsi"/>
        </w:rPr>
        <w:t>Attendance will be taken at the beginning of each class</w:t>
      </w:r>
      <w:r w:rsidR="00A74951">
        <w:rPr>
          <w:rFonts w:cstheme="minorHAnsi"/>
        </w:rPr>
        <w:t>.</w:t>
      </w:r>
      <w:r w:rsidRPr="00A304DA">
        <w:rPr>
          <w:rFonts w:cstheme="minorHAnsi"/>
        </w:rPr>
        <w:t xml:space="preserve"> Absences for observance of religious holidays are excused. Please let me know, if you plan to miss a class. </w:t>
      </w:r>
      <w:r w:rsidR="00A74951" w:rsidRPr="00A74951">
        <w:rPr>
          <w:rFonts w:cstheme="minorHAnsi"/>
        </w:rPr>
        <w:t xml:space="preserve">Requirements for class attendance and make-up exams, assignments, and other work in this course are consistent with University policies that can be found at: </w:t>
      </w:r>
      <w:hyperlink r:id="rId8" w:history="1">
        <w:r w:rsidR="00A74951" w:rsidRPr="00EC2131">
          <w:rPr>
            <w:rStyle w:val="Hyperlink"/>
            <w:rFonts w:cstheme="minorHAnsi"/>
          </w:rPr>
          <w:t>https://catalog.ufl.edu/ugrad/current/regulations/info/attendance.aspx</w:t>
        </w:r>
      </w:hyperlink>
      <w:r w:rsidR="00A74951" w:rsidRPr="00A74951">
        <w:rPr>
          <w:rFonts w:cstheme="minorHAnsi"/>
        </w:rPr>
        <w:t>.</w:t>
      </w:r>
      <w:r w:rsidR="00A74951">
        <w:rPr>
          <w:rFonts w:cstheme="minorHAnsi"/>
        </w:rPr>
        <w:t xml:space="preserve"> </w:t>
      </w:r>
    </w:p>
    <w:p w:rsidR="0072135D" w:rsidRPr="00A304DA" w:rsidRDefault="0072135D" w:rsidP="0072135D">
      <w:pPr>
        <w:spacing w:after="0" w:line="240" w:lineRule="auto"/>
        <w:jc w:val="both"/>
        <w:rPr>
          <w:rFonts w:cstheme="minorHAnsi"/>
        </w:rPr>
      </w:pPr>
    </w:p>
    <w:p w:rsidR="00A74951" w:rsidRDefault="0072135D" w:rsidP="0072135D">
      <w:pPr>
        <w:spacing w:after="0" w:line="240" w:lineRule="auto"/>
        <w:jc w:val="both"/>
        <w:rPr>
          <w:rFonts w:cstheme="minorHAnsi"/>
        </w:rPr>
      </w:pPr>
      <w:r w:rsidRPr="00A304DA">
        <w:rPr>
          <w:rFonts w:cstheme="minorHAnsi"/>
          <w:b/>
          <w:u w:val="single"/>
        </w:rPr>
        <w:t>Classroom Behavior</w:t>
      </w:r>
      <w:r w:rsidRPr="00A304DA">
        <w:rPr>
          <w:rFonts w:cstheme="minorHAnsi"/>
        </w:rPr>
        <w:t>.  You are all bound by the University Student Code of Conduct, the College of Law Honor Code, and the rules for this course.  Proper conduct in the classroom is necessary to allow everyone to participate in, to derive benefit from, and to enjoy the class. Any unprofessional, disrespectful, harassing, disruptive, or distracting conduct that has a negative effect on the classroom atmosphere is prohibited.</w:t>
      </w:r>
      <w:r w:rsidR="00A74951">
        <w:rPr>
          <w:rFonts w:cstheme="minorHAnsi"/>
        </w:rPr>
        <w:t xml:space="preserve"> </w:t>
      </w:r>
      <w:r w:rsidR="00A74951" w:rsidRPr="00A74951">
        <w:rPr>
          <w:rFonts w:cstheme="minorHAnsi"/>
        </w:rPr>
        <w:t>The Honor Code (</w:t>
      </w:r>
      <w:hyperlink r:id="rId9" w:history="1">
        <w:r w:rsidR="00A74951" w:rsidRPr="00EC2131">
          <w:rPr>
            <w:rStyle w:val="Hyperlink"/>
            <w:rFonts w:cstheme="minorHAnsi"/>
          </w:rPr>
          <w:t>https://sccr.dso.ufl.edu/students/student-conduct-code/</w:t>
        </w:r>
      </w:hyperlink>
      <w:r w:rsidR="00A74951" w:rsidRPr="00A74951">
        <w:rPr>
          <w:rFonts w:cstheme="minorHAnsi"/>
        </w:rPr>
        <w:t>)</w:t>
      </w:r>
      <w:r w:rsidR="00A74951">
        <w:rPr>
          <w:rFonts w:cstheme="minorHAnsi"/>
        </w:rPr>
        <w:t xml:space="preserve"> </w:t>
      </w:r>
      <w:r w:rsidR="00A74951" w:rsidRPr="00A74951">
        <w:rPr>
          <w:rFonts w:cstheme="minorHAnsi"/>
        </w:rPr>
        <w:t>specifies a number of behaviors that are in violation of this code and the possible sanctions.</w:t>
      </w:r>
      <w:r w:rsidR="00A74951">
        <w:rPr>
          <w:rFonts w:cstheme="minorHAnsi"/>
        </w:rPr>
        <w:t>.</w:t>
      </w:r>
    </w:p>
    <w:p w:rsidR="00A74951" w:rsidRDefault="00A74951" w:rsidP="0072135D">
      <w:pPr>
        <w:spacing w:after="0" w:line="240" w:lineRule="auto"/>
        <w:jc w:val="both"/>
        <w:rPr>
          <w:rFonts w:cstheme="minorHAnsi"/>
        </w:rPr>
      </w:pPr>
    </w:p>
    <w:p w:rsidR="0072135D" w:rsidRPr="000E4C4E" w:rsidRDefault="000E4C4E" w:rsidP="000E4C4E">
      <w:pPr>
        <w:spacing w:after="0" w:line="240" w:lineRule="auto"/>
        <w:jc w:val="both"/>
        <w:rPr>
          <w:rFonts w:cstheme="minorHAnsi"/>
          <w:b/>
          <w:iCs/>
          <w:u w:val="single"/>
        </w:rPr>
      </w:pPr>
      <w:r w:rsidRPr="000E4C4E">
        <w:rPr>
          <w:rFonts w:cstheme="minorHAnsi"/>
          <w:b/>
          <w:iCs/>
          <w:u w:val="single"/>
        </w:rPr>
        <w:t>Laptop Policy:</w:t>
      </w:r>
      <w:r>
        <w:rPr>
          <w:rFonts w:cstheme="minorHAnsi"/>
          <w:b/>
          <w:iCs/>
          <w:u w:val="single"/>
        </w:rPr>
        <w:t xml:space="preserve"> </w:t>
      </w:r>
      <w:r w:rsidR="0072135D" w:rsidRPr="00A304DA">
        <w:rPr>
          <w:rFonts w:cstheme="minorHAnsi"/>
          <w:b/>
          <w:i/>
        </w:rPr>
        <w:t>You are allowed to use a laptop computer during class only for taking notes and for accessing materials in electronic formats (e.g., readings not included in the adopted textbooks, Court of Justice decisions and other materials). You are not allowed to access the internet using any device (including telephones) during class.</w:t>
      </w:r>
      <w:r w:rsidR="0072135D" w:rsidRPr="00A304DA">
        <w:rPr>
          <w:rFonts w:cstheme="minorHAnsi"/>
        </w:rPr>
        <w:t xml:space="preserve"> All electronic devices should be turned off during class.</w:t>
      </w:r>
    </w:p>
    <w:p w:rsidR="0072135D" w:rsidRPr="00A304DA" w:rsidRDefault="0072135D" w:rsidP="0072135D">
      <w:pPr>
        <w:spacing w:after="0" w:line="240" w:lineRule="auto"/>
        <w:jc w:val="both"/>
        <w:rPr>
          <w:rFonts w:cstheme="minorHAnsi"/>
        </w:rPr>
      </w:pPr>
    </w:p>
    <w:p w:rsidR="0072135D" w:rsidRPr="00A304DA" w:rsidRDefault="0072135D" w:rsidP="0072135D">
      <w:pPr>
        <w:spacing w:after="0" w:line="240" w:lineRule="auto"/>
        <w:jc w:val="both"/>
        <w:rPr>
          <w:rFonts w:cstheme="minorHAnsi"/>
        </w:rPr>
      </w:pPr>
      <w:r w:rsidRPr="00A304DA">
        <w:rPr>
          <w:rFonts w:cstheme="minorHAnsi"/>
          <w:b/>
          <w:u w:val="single"/>
        </w:rPr>
        <w:t>Statement Related to Accommodations for Students with Disabilities</w:t>
      </w:r>
      <w:r w:rsidRPr="00A304DA">
        <w:rPr>
          <w:rFonts w:cstheme="minorHAnsi"/>
        </w:rPr>
        <w:t>.  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4A30A6" w:rsidRDefault="004A30A6" w:rsidP="0041672C">
      <w:pPr>
        <w:spacing w:after="0" w:line="240" w:lineRule="auto"/>
        <w:jc w:val="both"/>
        <w:rPr>
          <w:rFonts w:cstheme="minorHAnsi"/>
          <w:b/>
          <w:u w:val="single"/>
        </w:rPr>
      </w:pPr>
    </w:p>
    <w:p w:rsidR="00EC24DC" w:rsidRDefault="00EC24DC" w:rsidP="0041672C">
      <w:pPr>
        <w:spacing w:after="0" w:line="240" w:lineRule="auto"/>
        <w:jc w:val="both"/>
        <w:rPr>
          <w:rFonts w:cstheme="minorHAnsi"/>
          <w:b/>
          <w:u w:val="single"/>
        </w:rPr>
      </w:pPr>
      <w:r>
        <w:rPr>
          <w:rFonts w:cstheme="minorHAnsi"/>
          <w:b/>
          <w:u w:val="single"/>
        </w:rPr>
        <w:t>Final exam:</w:t>
      </w:r>
    </w:p>
    <w:p w:rsidR="00EC24DC" w:rsidRPr="00EC24DC" w:rsidRDefault="00EC24DC" w:rsidP="0041672C">
      <w:pPr>
        <w:spacing w:after="0" w:line="240" w:lineRule="auto"/>
        <w:jc w:val="both"/>
        <w:rPr>
          <w:rFonts w:cstheme="minorHAnsi"/>
        </w:rPr>
      </w:pPr>
      <w:r w:rsidRPr="00EC24DC">
        <w:rPr>
          <w:rFonts w:cstheme="minorHAnsi"/>
        </w:rPr>
        <w:t>Your final exam will be a 3-hour exam in class on</w:t>
      </w:r>
      <w:r w:rsidRPr="00EC24DC">
        <w:rPr>
          <w:rFonts w:cstheme="minorHAnsi"/>
          <w:b/>
          <w:bCs/>
        </w:rPr>
        <w:t xml:space="preserve"> </w:t>
      </w:r>
      <w:r w:rsidRPr="00EC24DC">
        <w:rPr>
          <w:rFonts w:cstheme="minorHAnsi"/>
          <w:b/>
          <w:bCs/>
          <w:u w:val="single"/>
        </w:rPr>
        <w:t>Monday February 24, 2020 from 3 to 6:15 p.m</w:t>
      </w:r>
      <w:r>
        <w:rPr>
          <w:rFonts w:cstheme="minorHAnsi"/>
          <w:b/>
          <w:bCs/>
          <w:u w:val="single"/>
        </w:rPr>
        <w:t xml:space="preserve">. </w:t>
      </w:r>
      <w:r w:rsidRPr="00EC24DC">
        <w:rPr>
          <w:rFonts w:cstheme="minorHAnsi"/>
        </w:rPr>
        <w:t>It will be a</w:t>
      </w:r>
      <w:r>
        <w:rPr>
          <w:rFonts w:cstheme="minorHAnsi"/>
        </w:rPr>
        <w:t xml:space="preserve"> closed</w:t>
      </w:r>
      <w:r w:rsidRPr="00EC24DC">
        <w:rPr>
          <w:rFonts w:cstheme="minorHAnsi"/>
        </w:rPr>
        <w:t>-book exa</w:t>
      </w:r>
      <w:r>
        <w:rPr>
          <w:rFonts w:cstheme="minorHAnsi"/>
        </w:rPr>
        <w:t>m.</w:t>
      </w:r>
    </w:p>
    <w:p w:rsidR="00EC24DC" w:rsidRDefault="00EC24DC" w:rsidP="0041672C">
      <w:pPr>
        <w:spacing w:after="0" w:line="240" w:lineRule="auto"/>
        <w:jc w:val="both"/>
        <w:rPr>
          <w:rFonts w:cstheme="minorHAnsi"/>
          <w:b/>
          <w:u w:val="single"/>
        </w:rPr>
      </w:pPr>
    </w:p>
    <w:p w:rsidR="0041672C" w:rsidRPr="00A304DA" w:rsidRDefault="0041672C" w:rsidP="0041672C">
      <w:pPr>
        <w:spacing w:after="0" w:line="240" w:lineRule="auto"/>
        <w:jc w:val="both"/>
        <w:rPr>
          <w:rFonts w:cstheme="minorHAnsi"/>
        </w:rPr>
      </w:pPr>
      <w:r w:rsidRPr="00A304DA">
        <w:rPr>
          <w:rFonts w:cstheme="minorHAnsi"/>
          <w:b/>
          <w:u w:val="single"/>
        </w:rPr>
        <w:t>Evaluation</w:t>
      </w:r>
      <w:r w:rsidRPr="00A304DA">
        <w:rPr>
          <w:rFonts w:cstheme="minorHAnsi"/>
        </w:rPr>
        <w:t>.</w:t>
      </w:r>
    </w:p>
    <w:p w:rsidR="00003B3E" w:rsidRPr="00A304DA" w:rsidRDefault="0041672C" w:rsidP="0072135D">
      <w:pPr>
        <w:spacing w:after="0" w:line="240" w:lineRule="auto"/>
        <w:jc w:val="both"/>
        <w:rPr>
          <w:rFonts w:cstheme="minorHAnsi"/>
        </w:rPr>
      </w:pPr>
      <w:r w:rsidRPr="00A304DA">
        <w:rPr>
          <w:rFonts w:cstheme="minorHAnsi"/>
        </w:rPr>
        <w:t xml:space="preserve">Your grade will be based on your final (90%) adjusted by class participation (10%). </w:t>
      </w:r>
    </w:p>
    <w:p w:rsidR="0041672C" w:rsidRPr="00A304DA" w:rsidRDefault="0041672C" w:rsidP="00003B3E">
      <w:pPr>
        <w:spacing w:after="0" w:line="240" w:lineRule="auto"/>
        <w:jc w:val="both"/>
        <w:rPr>
          <w:rFonts w:cstheme="minorHAnsi"/>
        </w:rPr>
      </w:pPr>
      <w:r w:rsidRPr="00A304DA">
        <w:rPr>
          <w:rFonts w:cstheme="minorHAnsi"/>
        </w:rPr>
        <w:t>The law school assigns the following values to each grade:</w:t>
      </w:r>
    </w:p>
    <w:p w:rsidR="0041672C" w:rsidRPr="00A304DA" w:rsidRDefault="0041672C" w:rsidP="0041672C">
      <w:pPr>
        <w:spacing w:after="0" w:line="240" w:lineRule="auto"/>
        <w:jc w:val="both"/>
        <w:rPr>
          <w:rFonts w:cstheme="minorHAnsi"/>
        </w:rPr>
      </w:pPr>
    </w:p>
    <w:p w:rsidR="0041672C" w:rsidRPr="00A304DA" w:rsidRDefault="0041672C" w:rsidP="00A2325E">
      <w:pPr>
        <w:spacing w:after="0" w:line="240" w:lineRule="auto"/>
        <w:jc w:val="both"/>
        <w:rPr>
          <w:rFonts w:cstheme="minorHAnsi"/>
        </w:rPr>
      </w:pPr>
      <w:r w:rsidRPr="00A304DA">
        <w:rPr>
          <w:rFonts w:cstheme="minorHAnsi"/>
        </w:rPr>
        <w:tab/>
      </w:r>
      <w:r w:rsidRPr="00A304DA">
        <w:rPr>
          <w:rFonts w:cstheme="minorHAnsi"/>
        </w:rPr>
        <w:tab/>
      </w:r>
      <w:r w:rsidRPr="00A304DA">
        <w:rPr>
          <w:rFonts w:cstheme="minorHAnsi"/>
          <w:b/>
          <w:u w:val="single"/>
        </w:rPr>
        <w:t>Grade</w:t>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b/>
          <w:u w:val="single"/>
        </w:rPr>
        <w:t>Points</w:t>
      </w:r>
    </w:p>
    <w:p w:rsidR="00A2325E" w:rsidRPr="00A304DA" w:rsidRDefault="00A2325E" w:rsidP="00A2325E">
      <w:pPr>
        <w:spacing w:after="0" w:line="240" w:lineRule="auto"/>
        <w:jc w:val="both"/>
        <w:rPr>
          <w:rFonts w:cstheme="minorHAnsi"/>
        </w:rPr>
      </w:pP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A (Excellent)</w:t>
      </w:r>
      <w:r w:rsidRPr="00A304DA">
        <w:rPr>
          <w:rFonts w:cstheme="minorHAnsi"/>
        </w:rPr>
        <w:tab/>
      </w:r>
      <w:r w:rsidRPr="00A304DA">
        <w:rPr>
          <w:rFonts w:cstheme="minorHAnsi"/>
        </w:rPr>
        <w:tab/>
      </w:r>
      <w:r w:rsidRPr="00A304DA">
        <w:rPr>
          <w:rFonts w:cstheme="minorHAnsi"/>
        </w:rPr>
        <w:tab/>
      </w:r>
      <w:r w:rsidRPr="00A304DA">
        <w:rPr>
          <w:rFonts w:cstheme="minorHAnsi"/>
        </w:rPr>
        <w:tab/>
        <w:t>4.00</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 xml:space="preserve">A- </w:t>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rPr>
        <w:tab/>
        <w:t>3.67</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B+</w:t>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rPr>
        <w:tab/>
        <w:t>3.33</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B (Good)</w:t>
      </w:r>
      <w:r w:rsidRPr="00A304DA">
        <w:rPr>
          <w:rFonts w:cstheme="minorHAnsi"/>
        </w:rPr>
        <w:tab/>
      </w:r>
      <w:r w:rsidRPr="00A304DA">
        <w:rPr>
          <w:rFonts w:cstheme="minorHAnsi"/>
        </w:rPr>
        <w:tab/>
      </w:r>
      <w:r w:rsidRPr="00A304DA">
        <w:rPr>
          <w:rFonts w:cstheme="minorHAnsi"/>
        </w:rPr>
        <w:tab/>
      </w:r>
      <w:r w:rsidRPr="00A304DA">
        <w:rPr>
          <w:rFonts w:cstheme="minorHAnsi"/>
        </w:rPr>
        <w:tab/>
        <w:t>3.00</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B-</w:t>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rPr>
        <w:tab/>
        <w:t>2.67</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C+</w:t>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rPr>
        <w:tab/>
        <w:t>2.33</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C (Satisfactory)</w:t>
      </w:r>
      <w:r w:rsidRPr="00A304DA">
        <w:rPr>
          <w:rFonts w:cstheme="minorHAnsi"/>
        </w:rPr>
        <w:tab/>
      </w:r>
      <w:r w:rsidRPr="00A304DA">
        <w:rPr>
          <w:rFonts w:cstheme="minorHAnsi"/>
        </w:rPr>
        <w:tab/>
      </w:r>
      <w:r w:rsidRPr="00A304DA">
        <w:rPr>
          <w:rFonts w:cstheme="minorHAnsi"/>
        </w:rPr>
        <w:tab/>
        <w:t>2.00</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C-</w:t>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rPr>
        <w:tab/>
        <w:t>1.67</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D+</w:t>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rPr>
        <w:tab/>
        <w:t>1.33</w:t>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D (Poor)</w:t>
      </w:r>
      <w:r w:rsidRPr="00A304DA">
        <w:rPr>
          <w:rFonts w:cstheme="minorHAnsi"/>
        </w:rPr>
        <w:tab/>
      </w:r>
      <w:r w:rsidRPr="00A304DA">
        <w:rPr>
          <w:rFonts w:cstheme="minorHAnsi"/>
        </w:rPr>
        <w:tab/>
      </w:r>
      <w:r w:rsidRPr="00A304DA">
        <w:rPr>
          <w:rFonts w:cstheme="minorHAnsi"/>
        </w:rPr>
        <w:tab/>
      </w:r>
      <w:r w:rsidRPr="00A304DA">
        <w:rPr>
          <w:rFonts w:cstheme="minorHAnsi"/>
        </w:rPr>
        <w:tab/>
        <w:t>1.00</w:t>
      </w:r>
      <w:r w:rsidRPr="00A304DA">
        <w:rPr>
          <w:rFonts w:cstheme="minorHAnsi"/>
        </w:rPr>
        <w:tab/>
      </w:r>
      <w:r w:rsidRPr="00A304DA">
        <w:rPr>
          <w:rFonts w:cstheme="minorHAnsi"/>
        </w:rPr>
        <w:tab/>
      </w:r>
      <w:r w:rsidRPr="00A304DA">
        <w:rPr>
          <w:rFonts w:cstheme="minorHAnsi"/>
        </w:rPr>
        <w:tab/>
      </w:r>
      <w:r w:rsidRPr="00A304DA">
        <w:rPr>
          <w:rFonts w:cstheme="minorHAnsi"/>
        </w:rPr>
        <w:tab/>
      </w:r>
    </w:p>
    <w:p w:rsidR="0041672C" w:rsidRPr="00A304DA" w:rsidRDefault="0041672C" w:rsidP="0041672C">
      <w:pPr>
        <w:spacing w:after="0" w:line="240" w:lineRule="auto"/>
        <w:jc w:val="both"/>
        <w:rPr>
          <w:rFonts w:cstheme="minorHAnsi"/>
        </w:rPr>
      </w:pPr>
      <w:r w:rsidRPr="00A304DA">
        <w:rPr>
          <w:rFonts w:cstheme="minorHAnsi"/>
        </w:rPr>
        <w:tab/>
      </w:r>
      <w:r w:rsidRPr="00A304DA">
        <w:rPr>
          <w:rFonts w:cstheme="minorHAnsi"/>
        </w:rPr>
        <w:tab/>
        <w:t>D-</w:t>
      </w:r>
      <w:r w:rsidRPr="00A304DA">
        <w:rPr>
          <w:rFonts w:cstheme="minorHAnsi"/>
        </w:rPr>
        <w:tab/>
      </w:r>
      <w:r w:rsidRPr="00A304DA">
        <w:rPr>
          <w:rFonts w:cstheme="minorHAnsi"/>
        </w:rPr>
        <w:tab/>
      </w:r>
      <w:r w:rsidRPr="00A304DA">
        <w:rPr>
          <w:rFonts w:cstheme="minorHAnsi"/>
        </w:rPr>
        <w:tab/>
      </w:r>
      <w:r w:rsidRPr="00A304DA">
        <w:rPr>
          <w:rFonts w:cstheme="minorHAnsi"/>
        </w:rPr>
        <w:tab/>
      </w:r>
      <w:r w:rsidRPr="00A304DA">
        <w:rPr>
          <w:rFonts w:cstheme="minorHAnsi"/>
        </w:rPr>
        <w:tab/>
        <w:t>0.67</w:t>
      </w:r>
    </w:p>
    <w:p w:rsidR="00DE6359" w:rsidRDefault="0041672C" w:rsidP="005F054E">
      <w:pPr>
        <w:spacing w:after="0" w:line="240" w:lineRule="auto"/>
        <w:jc w:val="both"/>
        <w:rPr>
          <w:rFonts w:cstheme="minorHAnsi"/>
        </w:rPr>
      </w:pPr>
      <w:r w:rsidRPr="00A304DA">
        <w:rPr>
          <w:rFonts w:cstheme="minorHAnsi"/>
        </w:rPr>
        <w:tab/>
      </w:r>
      <w:r w:rsidRPr="00A304DA">
        <w:rPr>
          <w:rFonts w:cstheme="minorHAnsi"/>
        </w:rPr>
        <w:tab/>
        <w:t>E (Failure)</w:t>
      </w:r>
      <w:r w:rsidRPr="00A304DA">
        <w:rPr>
          <w:rFonts w:cstheme="minorHAnsi"/>
        </w:rPr>
        <w:tab/>
      </w:r>
      <w:r w:rsidRPr="00A304DA">
        <w:rPr>
          <w:rFonts w:cstheme="minorHAnsi"/>
        </w:rPr>
        <w:tab/>
      </w:r>
      <w:r w:rsidRPr="00A304DA">
        <w:rPr>
          <w:rFonts w:cstheme="minorHAnsi"/>
        </w:rPr>
        <w:tab/>
      </w:r>
      <w:r w:rsidRPr="00A304DA">
        <w:rPr>
          <w:rFonts w:cstheme="minorHAnsi"/>
        </w:rPr>
        <w:tab/>
        <w:t>0.00</w:t>
      </w:r>
    </w:p>
    <w:p w:rsidR="00EC24DC" w:rsidRDefault="00EC24DC" w:rsidP="00EC24DC">
      <w:pPr>
        <w:spacing w:after="0" w:line="240" w:lineRule="auto"/>
        <w:rPr>
          <w:rFonts w:ascii="Times" w:eastAsia="Times New Roman" w:hAnsi="Times" w:cs="Times New Roman"/>
          <w:color w:val="000000"/>
          <w:sz w:val="27"/>
          <w:szCs w:val="27"/>
        </w:rPr>
      </w:pPr>
      <w:r w:rsidRPr="00EC24DC">
        <w:rPr>
          <w:rFonts w:cstheme="minorHAnsi"/>
        </w:rPr>
        <w:lastRenderedPageBreak/>
        <w:t>The law school grading policy is available at:</w:t>
      </w:r>
      <w:r w:rsidRPr="00EC24DC">
        <w:rPr>
          <w:rFonts w:ascii="Times" w:eastAsia="Times New Roman" w:hAnsi="Times" w:cs="Times New Roman"/>
          <w:color w:val="000000"/>
          <w:sz w:val="27"/>
          <w:szCs w:val="27"/>
        </w:rPr>
        <w:t xml:space="preserve"> </w:t>
      </w:r>
      <w:hyperlink r:id="rId10" w:anchor="9" w:history="1">
        <w:r w:rsidRPr="00EC24DC">
          <w:rPr>
            <w:rStyle w:val="Hyperlink"/>
            <w:rFonts w:eastAsia="Times New Roman" w:cstheme="minorHAnsi"/>
          </w:rPr>
          <w:t>http://www.law.ufl.edu/student-affairs/current-students/academic-policies#9</w:t>
        </w:r>
      </w:hyperlink>
      <w:r w:rsidRPr="00EC24DC">
        <w:rPr>
          <w:rFonts w:eastAsia="Times New Roman" w:cstheme="minorHAnsi"/>
          <w:color w:val="000000"/>
        </w:rPr>
        <w:t>.</w:t>
      </w:r>
      <w:r>
        <w:rPr>
          <w:rFonts w:ascii="Times" w:eastAsia="Times New Roman" w:hAnsi="Times" w:cs="Times New Roman"/>
          <w:color w:val="000000"/>
          <w:sz w:val="27"/>
          <w:szCs w:val="27"/>
        </w:rPr>
        <w:t xml:space="preserve"> </w:t>
      </w:r>
    </w:p>
    <w:p w:rsidR="00D05881" w:rsidRPr="00EC24DC" w:rsidRDefault="00D05881" w:rsidP="00EC24DC">
      <w:pPr>
        <w:spacing w:after="0" w:line="240" w:lineRule="auto"/>
        <w:rPr>
          <w:rFonts w:ascii="Times New Roman" w:eastAsia="Times New Roman" w:hAnsi="Times New Roman" w:cs="Times New Roman"/>
          <w:sz w:val="24"/>
          <w:szCs w:val="24"/>
        </w:rPr>
      </w:pPr>
    </w:p>
    <w:p w:rsidR="00EC24DC" w:rsidRDefault="00EC24DC" w:rsidP="005F054E">
      <w:pPr>
        <w:spacing w:after="0" w:line="240" w:lineRule="auto"/>
        <w:jc w:val="both"/>
        <w:rPr>
          <w:rFonts w:cstheme="minorHAnsi"/>
        </w:rPr>
      </w:pPr>
    </w:p>
    <w:p w:rsidR="005F054E" w:rsidRPr="00A304DA" w:rsidRDefault="005F054E" w:rsidP="005F054E">
      <w:pPr>
        <w:spacing w:after="0" w:line="240" w:lineRule="auto"/>
        <w:jc w:val="both"/>
        <w:rPr>
          <w:rFonts w:cstheme="minorHAnsi"/>
        </w:rPr>
      </w:pPr>
    </w:p>
    <w:tbl>
      <w:tblPr>
        <w:tblW w:w="91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6665"/>
        <w:gridCol w:w="1369"/>
      </w:tblGrid>
      <w:tr w:rsidR="00067184" w:rsidRPr="00A304DA" w:rsidTr="00EE42DF">
        <w:trPr>
          <w:cantSplit/>
          <w:trHeight w:val="233"/>
        </w:trPr>
        <w:tc>
          <w:tcPr>
            <w:tcW w:w="1080" w:type="dxa"/>
          </w:tcPr>
          <w:p w:rsidR="00067184" w:rsidRPr="00A304DA" w:rsidRDefault="00067184" w:rsidP="00EE42DF">
            <w:pPr>
              <w:spacing w:line="240" w:lineRule="auto"/>
              <w:jc w:val="center"/>
              <w:rPr>
                <w:rFonts w:cstheme="minorHAnsi"/>
                <w:b/>
                <w:color w:val="000000" w:themeColor="text1"/>
              </w:rPr>
            </w:pPr>
            <w:r w:rsidRPr="00A304DA">
              <w:rPr>
                <w:rFonts w:cstheme="minorHAnsi"/>
                <w:b/>
                <w:color w:val="000000" w:themeColor="text1"/>
              </w:rPr>
              <w:t>Class</w:t>
            </w:r>
          </w:p>
        </w:tc>
        <w:tc>
          <w:tcPr>
            <w:tcW w:w="6660" w:type="dxa"/>
          </w:tcPr>
          <w:p w:rsidR="00067184" w:rsidRPr="00A304DA" w:rsidRDefault="00067184" w:rsidP="003C0AFC">
            <w:pPr>
              <w:spacing w:line="240" w:lineRule="auto"/>
              <w:jc w:val="center"/>
              <w:rPr>
                <w:rFonts w:cstheme="minorHAnsi"/>
                <w:b/>
                <w:color w:val="000000" w:themeColor="text1"/>
              </w:rPr>
            </w:pPr>
            <w:r w:rsidRPr="00A304DA">
              <w:rPr>
                <w:rFonts w:cstheme="minorHAnsi"/>
                <w:b/>
                <w:color w:val="000000" w:themeColor="text1"/>
              </w:rPr>
              <w:t>Topic</w:t>
            </w:r>
          </w:p>
        </w:tc>
        <w:tc>
          <w:tcPr>
            <w:tcW w:w="1368" w:type="dxa"/>
          </w:tcPr>
          <w:p w:rsidR="00067184" w:rsidRPr="00A304DA" w:rsidRDefault="00067184" w:rsidP="003C0AFC">
            <w:pPr>
              <w:spacing w:line="240" w:lineRule="auto"/>
              <w:jc w:val="center"/>
              <w:rPr>
                <w:rFonts w:cstheme="minorHAnsi"/>
                <w:b/>
                <w:color w:val="000000" w:themeColor="text1"/>
              </w:rPr>
            </w:pPr>
            <w:r w:rsidRPr="00A304DA">
              <w:rPr>
                <w:rFonts w:cstheme="minorHAnsi"/>
                <w:b/>
                <w:color w:val="000000" w:themeColor="text1"/>
              </w:rPr>
              <w:t>Pages</w:t>
            </w:r>
          </w:p>
        </w:tc>
      </w:tr>
      <w:tr w:rsidR="00067184" w:rsidRPr="00A304DA" w:rsidTr="003C0AFC">
        <w:trPr>
          <w:cantSplit/>
          <w:trHeight w:val="20"/>
        </w:trPr>
        <w:tc>
          <w:tcPr>
            <w:tcW w:w="1080" w:type="dxa"/>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1</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Jan 13</w:t>
            </w:r>
          </w:p>
        </w:tc>
        <w:tc>
          <w:tcPr>
            <w:tcW w:w="6660" w:type="dxa"/>
          </w:tcPr>
          <w:p w:rsidR="00067184" w:rsidRPr="00A304DA" w:rsidRDefault="00067184" w:rsidP="003C0AFC">
            <w:pPr>
              <w:numPr>
                <w:ilvl w:val="0"/>
                <w:numId w:val="1"/>
              </w:numPr>
              <w:spacing w:after="0" w:line="240" w:lineRule="auto"/>
              <w:rPr>
                <w:rFonts w:cstheme="minorHAnsi"/>
                <w:color w:val="000000" w:themeColor="text1"/>
              </w:rPr>
            </w:pPr>
            <w:r w:rsidRPr="00A304DA">
              <w:rPr>
                <w:rFonts w:cstheme="minorHAnsi"/>
                <w:color w:val="000000" w:themeColor="text1"/>
              </w:rPr>
              <w:t>Introduction to VAT – consumption taxes, direct v. indirect taxes, proliferation of VATs</w:t>
            </w:r>
          </w:p>
        </w:tc>
        <w:tc>
          <w:tcPr>
            <w:tcW w:w="1368" w:type="dxa"/>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Chapter</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1</w:t>
            </w:r>
          </w:p>
        </w:tc>
      </w:tr>
      <w:tr w:rsidR="00067184" w:rsidRPr="00A304DA" w:rsidTr="003C0AFC">
        <w:trPr>
          <w:cantSplit/>
          <w:trHeight w:val="20"/>
        </w:trPr>
        <w:tc>
          <w:tcPr>
            <w:tcW w:w="1080" w:type="dxa"/>
            <w:tcBorders>
              <w:bottom w:val="single" w:sz="4" w:space="0" w:color="auto"/>
            </w:tcBorders>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2</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Jan 14</w:t>
            </w:r>
          </w:p>
        </w:tc>
        <w:tc>
          <w:tcPr>
            <w:tcW w:w="6660" w:type="dxa"/>
            <w:tcBorders>
              <w:bottom w:val="single" w:sz="4" w:space="0" w:color="auto"/>
            </w:tcBorders>
          </w:tcPr>
          <w:p w:rsidR="00067184" w:rsidRPr="00A304DA" w:rsidRDefault="00067184" w:rsidP="003C0AFC">
            <w:pPr>
              <w:numPr>
                <w:ilvl w:val="0"/>
                <w:numId w:val="2"/>
              </w:numPr>
              <w:spacing w:after="0" w:line="240" w:lineRule="auto"/>
              <w:rPr>
                <w:rFonts w:cstheme="minorHAnsi"/>
                <w:color w:val="000000" w:themeColor="text1"/>
              </w:rPr>
            </w:pPr>
            <w:r w:rsidRPr="00A304DA">
              <w:rPr>
                <w:rFonts w:cstheme="minorHAnsi"/>
                <w:color w:val="000000" w:themeColor="text1"/>
              </w:rPr>
              <w:t>Forms of Consumption-Based taxes &amp; Altering the Base</w:t>
            </w:r>
          </w:p>
        </w:tc>
        <w:tc>
          <w:tcPr>
            <w:tcW w:w="1368" w:type="dxa"/>
            <w:tcBorders>
              <w:bottom w:val="single" w:sz="4" w:space="0" w:color="auto"/>
            </w:tcBorders>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 xml:space="preserve">Chapter </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2</w:t>
            </w:r>
          </w:p>
        </w:tc>
      </w:tr>
      <w:tr w:rsidR="00067184" w:rsidRPr="00A304DA" w:rsidTr="003C0AFC">
        <w:trPr>
          <w:cantSplit/>
          <w:trHeight w:val="20"/>
        </w:trPr>
        <w:tc>
          <w:tcPr>
            <w:tcW w:w="1080" w:type="dxa"/>
            <w:tcBorders>
              <w:bottom w:val="single" w:sz="4" w:space="0" w:color="000000"/>
            </w:tcBorders>
            <w:shd w:val="clear" w:color="auto" w:fill="auto"/>
          </w:tcPr>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Jan20</w:t>
            </w:r>
          </w:p>
        </w:tc>
        <w:tc>
          <w:tcPr>
            <w:tcW w:w="6660" w:type="dxa"/>
            <w:tcBorders>
              <w:bottom w:val="single" w:sz="4" w:space="0" w:color="000000"/>
            </w:tcBorders>
            <w:shd w:val="clear" w:color="auto" w:fill="auto"/>
          </w:tcPr>
          <w:p w:rsidR="00067184" w:rsidRPr="00A304DA" w:rsidRDefault="00067184" w:rsidP="003C0AFC">
            <w:pPr>
              <w:spacing w:line="240" w:lineRule="auto"/>
              <w:jc w:val="center"/>
              <w:rPr>
                <w:rFonts w:cstheme="minorHAnsi"/>
                <w:b/>
                <w:bCs/>
                <w:color w:val="000000" w:themeColor="text1"/>
              </w:rPr>
            </w:pPr>
            <w:r w:rsidRPr="00A304DA">
              <w:rPr>
                <w:rFonts w:cstheme="minorHAnsi"/>
                <w:b/>
                <w:bCs/>
                <w:color w:val="000000" w:themeColor="text1"/>
              </w:rPr>
              <w:t>Martin Luther King Holiday – No classes</w:t>
            </w:r>
          </w:p>
        </w:tc>
        <w:tc>
          <w:tcPr>
            <w:tcW w:w="1368" w:type="dxa"/>
            <w:tcBorders>
              <w:bottom w:val="single" w:sz="4" w:space="0" w:color="000000"/>
            </w:tcBorders>
            <w:shd w:val="clear" w:color="auto" w:fill="auto"/>
          </w:tcPr>
          <w:p w:rsidR="00067184" w:rsidRPr="00A304DA" w:rsidRDefault="00067184" w:rsidP="003C0AFC">
            <w:pPr>
              <w:spacing w:line="240" w:lineRule="auto"/>
              <w:rPr>
                <w:rFonts w:cstheme="minorHAnsi"/>
                <w:color w:val="000000" w:themeColor="text1"/>
              </w:rPr>
            </w:pPr>
          </w:p>
        </w:tc>
      </w:tr>
      <w:tr w:rsidR="00067184" w:rsidRPr="00A304DA" w:rsidTr="003C0AFC">
        <w:trPr>
          <w:cantSplit/>
          <w:trHeight w:val="20"/>
        </w:trPr>
        <w:tc>
          <w:tcPr>
            <w:tcW w:w="1080" w:type="dxa"/>
            <w:tcBorders>
              <w:top w:val="single" w:sz="4" w:space="0" w:color="000000"/>
            </w:tcBorders>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3</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Jan 21</w:t>
            </w:r>
          </w:p>
        </w:tc>
        <w:tc>
          <w:tcPr>
            <w:tcW w:w="6660" w:type="dxa"/>
            <w:tcBorders>
              <w:top w:val="single" w:sz="4" w:space="0" w:color="000000"/>
            </w:tcBorders>
          </w:tcPr>
          <w:p w:rsidR="00067184" w:rsidRPr="00A304DA" w:rsidRDefault="00067184" w:rsidP="003C0AFC">
            <w:pPr>
              <w:numPr>
                <w:ilvl w:val="0"/>
                <w:numId w:val="3"/>
              </w:numPr>
              <w:spacing w:after="0" w:line="240" w:lineRule="auto"/>
              <w:rPr>
                <w:rFonts w:cstheme="minorHAnsi"/>
                <w:color w:val="000000" w:themeColor="text1"/>
              </w:rPr>
            </w:pPr>
            <w:r w:rsidRPr="00A304DA">
              <w:rPr>
                <w:rFonts w:cstheme="minorHAnsi"/>
                <w:color w:val="000000" w:themeColor="text1"/>
              </w:rPr>
              <w:t>Varieties of VAT in use: EU, Japan &amp; New Zealand.</w:t>
            </w:r>
          </w:p>
          <w:p w:rsidR="00067184" w:rsidRPr="00A304DA" w:rsidRDefault="00067184" w:rsidP="003C0AFC">
            <w:pPr>
              <w:numPr>
                <w:ilvl w:val="0"/>
                <w:numId w:val="3"/>
              </w:numPr>
              <w:spacing w:after="0" w:line="240" w:lineRule="auto"/>
              <w:rPr>
                <w:rFonts w:cstheme="minorHAnsi"/>
                <w:color w:val="000000" w:themeColor="text1"/>
              </w:rPr>
            </w:pPr>
            <w:r w:rsidRPr="00A304DA">
              <w:rPr>
                <w:rFonts w:cstheme="minorHAnsi"/>
                <w:color w:val="000000" w:themeColor="text1"/>
              </w:rPr>
              <w:t>Registration, Taxpayer &amp; Taxable Business Activity</w:t>
            </w:r>
          </w:p>
        </w:tc>
        <w:tc>
          <w:tcPr>
            <w:tcW w:w="1368" w:type="dxa"/>
            <w:tcBorders>
              <w:top w:val="single" w:sz="4" w:space="0" w:color="000000"/>
            </w:tcBorders>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Chapters</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3 &amp; 4</w:t>
            </w:r>
          </w:p>
        </w:tc>
      </w:tr>
      <w:tr w:rsidR="00067184" w:rsidRPr="00A304DA" w:rsidTr="003C0AFC">
        <w:trPr>
          <w:cantSplit/>
          <w:trHeight w:val="20"/>
        </w:trPr>
        <w:tc>
          <w:tcPr>
            <w:tcW w:w="1080" w:type="dxa"/>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4</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Jan 27</w:t>
            </w:r>
          </w:p>
        </w:tc>
        <w:tc>
          <w:tcPr>
            <w:tcW w:w="6660" w:type="dxa"/>
          </w:tcPr>
          <w:p w:rsidR="00067184" w:rsidRPr="00A304DA" w:rsidRDefault="00067184" w:rsidP="003C0AFC">
            <w:pPr>
              <w:numPr>
                <w:ilvl w:val="0"/>
                <w:numId w:val="4"/>
              </w:numPr>
              <w:spacing w:after="0" w:line="240" w:lineRule="auto"/>
              <w:rPr>
                <w:rFonts w:cstheme="minorHAnsi"/>
                <w:color w:val="000000" w:themeColor="text1"/>
              </w:rPr>
            </w:pPr>
            <w:r w:rsidRPr="00A304DA">
              <w:rPr>
                <w:rFonts w:cstheme="minorHAnsi"/>
                <w:color w:val="000000" w:themeColor="text1"/>
              </w:rPr>
              <w:t>Taxable Supplies of Goods &amp; Services and Tax Invoices</w:t>
            </w:r>
          </w:p>
          <w:p w:rsidR="00067184" w:rsidRPr="00EE42DF" w:rsidRDefault="00067184" w:rsidP="00EE42DF">
            <w:pPr>
              <w:numPr>
                <w:ilvl w:val="0"/>
                <w:numId w:val="4"/>
              </w:numPr>
              <w:spacing w:after="0" w:line="240" w:lineRule="auto"/>
              <w:rPr>
                <w:rFonts w:cstheme="minorHAnsi"/>
                <w:color w:val="000000" w:themeColor="text1"/>
              </w:rPr>
            </w:pPr>
            <w:r w:rsidRPr="00A304DA">
              <w:rPr>
                <w:rFonts w:cstheme="minorHAnsi"/>
                <w:color w:val="000000" w:themeColor="text1"/>
              </w:rPr>
              <w:t>Consideration, supply, single/ mixed supplies, vouchers.</w:t>
            </w:r>
          </w:p>
        </w:tc>
        <w:tc>
          <w:tcPr>
            <w:tcW w:w="1368" w:type="dxa"/>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Chapter</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5</w:t>
            </w:r>
          </w:p>
        </w:tc>
      </w:tr>
      <w:tr w:rsidR="00067184" w:rsidRPr="00A304DA" w:rsidTr="003C0AFC">
        <w:trPr>
          <w:cantSplit/>
          <w:trHeight w:val="20"/>
        </w:trPr>
        <w:tc>
          <w:tcPr>
            <w:tcW w:w="1080" w:type="dxa"/>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5</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Jan 2</w:t>
            </w:r>
            <w:r w:rsidR="005F054E">
              <w:rPr>
                <w:rFonts w:cstheme="minorHAnsi"/>
                <w:color w:val="000000" w:themeColor="text1"/>
              </w:rPr>
              <w:t>8</w:t>
            </w:r>
          </w:p>
        </w:tc>
        <w:tc>
          <w:tcPr>
            <w:tcW w:w="6660" w:type="dxa"/>
          </w:tcPr>
          <w:p w:rsidR="00067184" w:rsidRPr="00A304DA" w:rsidRDefault="00067184" w:rsidP="003C0AFC">
            <w:pPr>
              <w:numPr>
                <w:ilvl w:val="0"/>
                <w:numId w:val="5"/>
              </w:numPr>
              <w:spacing w:after="0" w:line="240" w:lineRule="auto"/>
              <w:rPr>
                <w:rFonts w:cstheme="minorHAnsi"/>
                <w:color w:val="000000" w:themeColor="text1"/>
              </w:rPr>
            </w:pPr>
            <w:r w:rsidRPr="00A304DA">
              <w:rPr>
                <w:rFonts w:cstheme="minorHAnsi"/>
                <w:color w:val="000000" w:themeColor="text1"/>
              </w:rPr>
              <w:t>Tax Credit Mechanism.  Credit for purchases, Excess input credits</w:t>
            </w:r>
          </w:p>
          <w:p w:rsidR="00067184" w:rsidRPr="00A304DA" w:rsidRDefault="00067184" w:rsidP="003C0AFC">
            <w:pPr>
              <w:numPr>
                <w:ilvl w:val="0"/>
                <w:numId w:val="5"/>
              </w:numPr>
              <w:spacing w:after="0" w:line="240" w:lineRule="auto"/>
              <w:rPr>
                <w:rFonts w:cstheme="minorHAnsi"/>
                <w:color w:val="000000" w:themeColor="text1"/>
              </w:rPr>
            </w:pPr>
            <w:r w:rsidRPr="00A304DA">
              <w:rPr>
                <w:rFonts w:cstheme="minorHAnsi"/>
                <w:color w:val="000000" w:themeColor="text1"/>
              </w:rPr>
              <w:t>Used property, Post-sale price adjustments, Casual sales by consumers</w:t>
            </w:r>
          </w:p>
        </w:tc>
        <w:tc>
          <w:tcPr>
            <w:tcW w:w="1368" w:type="dxa"/>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Chapter</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6</w:t>
            </w:r>
          </w:p>
        </w:tc>
      </w:tr>
      <w:tr w:rsidR="003C0AFC" w:rsidRPr="00A304DA" w:rsidTr="003C0AFC">
        <w:trPr>
          <w:cantSplit/>
          <w:trHeight w:val="20"/>
        </w:trPr>
        <w:tc>
          <w:tcPr>
            <w:tcW w:w="1080" w:type="dxa"/>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6</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Feb 3</w:t>
            </w:r>
          </w:p>
        </w:tc>
        <w:tc>
          <w:tcPr>
            <w:tcW w:w="6660" w:type="dxa"/>
          </w:tcPr>
          <w:p w:rsidR="00067184" w:rsidRPr="00A304DA" w:rsidRDefault="00067184" w:rsidP="003C0AFC">
            <w:pPr>
              <w:numPr>
                <w:ilvl w:val="0"/>
                <w:numId w:val="6"/>
              </w:numPr>
              <w:spacing w:after="0" w:line="240" w:lineRule="auto"/>
              <w:rPr>
                <w:rFonts w:cstheme="minorHAnsi"/>
                <w:color w:val="000000" w:themeColor="text1"/>
              </w:rPr>
            </w:pPr>
            <w:r w:rsidRPr="00A304DA">
              <w:rPr>
                <w:rFonts w:cstheme="minorHAnsi"/>
                <w:color w:val="000000" w:themeColor="text1"/>
              </w:rPr>
              <w:t xml:space="preserve">Speaker </w:t>
            </w:r>
          </w:p>
        </w:tc>
        <w:tc>
          <w:tcPr>
            <w:tcW w:w="1368" w:type="dxa"/>
          </w:tcPr>
          <w:p w:rsidR="00067184" w:rsidRPr="00A304DA" w:rsidRDefault="00067184" w:rsidP="003C0AFC">
            <w:pPr>
              <w:spacing w:line="240" w:lineRule="auto"/>
              <w:rPr>
                <w:rFonts w:cstheme="minorHAnsi"/>
                <w:color w:val="000000" w:themeColor="text1"/>
              </w:rPr>
            </w:pPr>
          </w:p>
        </w:tc>
      </w:tr>
      <w:tr w:rsidR="00067184" w:rsidRPr="00A304DA" w:rsidTr="003C0AFC">
        <w:trPr>
          <w:cantSplit/>
          <w:trHeight w:val="20"/>
        </w:trPr>
        <w:tc>
          <w:tcPr>
            <w:tcW w:w="1080" w:type="dxa"/>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7</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Feb 4</w:t>
            </w:r>
          </w:p>
        </w:tc>
        <w:tc>
          <w:tcPr>
            <w:tcW w:w="6660" w:type="dxa"/>
          </w:tcPr>
          <w:p w:rsidR="00067184" w:rsidRPr="00A304DA" w:rsidRDefault="00067184" w:rsidP="003C0AFC">
            <w:pPr>
              <w:numPr>
                <w:ilvl w:val="0"/>
                <w:numId w:val="6"/>
              </w:numPr>
              <w:spacing w:after="0" w:line="240" w:lineRule="auto"/>
              <w:rPr>
                <w:rFonts w:cstheme="minorHAnsi"/>
                <w:color w:val="000000" w:themeColor="text1"/>
              </w:rPr>
            </w:pPr>
            <w:r w:rsidRPr="00A304DA">
              <w:rPr>
                <w:rFonts w:cstheme="minorHAnsi"/>
                <w:color w:val="000000" w:themeColor="text1"/>
              </w:rPr>
              <w:t xml:space="preserve">Cross-border aspects of VAT, and dealing with the Service Sector.  Place of supply rules.  The mobile service industry.  </w:t>
            </w:r>
          </w:p>
          <w:p w:rsidR="00067184" w:rsidRPr="00A304DA" w:rsidRDefault="00067184" w:rsidP="003C0AFC">
            <w:pPr>
              <w:numPr>
                <w:ilvl w:val="0"/>
                <w:numId w:val="6"/>
              </w:numPr>
              <w:spacing w:after="0" w:line="240" w:lineRule="auto"/>
              <w:rPr>
                <w:rFonts w:cstheme="minorHAnsi"/>
                <w:color w:val="000000" w:themeColor="text1"/>
              </w:rPr>
            </w:pPr>
            <w:r w:rsidRPr="00A304DA">
              <w:rPr>
                <w:rFonts w:cstheme="minorHAnsi"/>
                <w:color w:val="000000" w:themeColor="text1"/>
              </w:rPr>
              <w:t>International trade &amp; OECD project on services and intangibles.  [COM/2016/811</w:t>
            </w:r>
          </w:p>
        </w:tc>
        <w:tc>
          <w:tcPr>
            <w:tcW w:w="1368" w:type="dxa"/>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Chapter</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7</w:t>
            </w:r>
          </w:p>
        </w:tc>
      </w:tr>
      <w:tr w:rsidR="00067184" w:rsidRPr="00A304DA" w:rsidTr="003C0AFC">
        <w:trPr>
          <w:cantSplit/>
          <w:trHeight w:val="1169"/>
        </w:trPr>
        <w:tc>
          <w:tcPr>
            <w:tcW w:w="1080" w:type="dxa"/>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8</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Feb 10</w:t>
            </w:r>
          </w:p>
        </w:tc>
        <w:tc>
          <w:tcPr>
            <w:tcW w:w="6660" w:type="dxa"/>
          </w:tcPr>
          <w:p w:rsidR="00067184" w:rsidRPr="00A304DA" w:rsidRDefault="00067184" w:rsidP="003C0AFC">
            <w:pPr>
              <w:numPr>
                <w:ilvl w:val="0"/>
                <w:numId w:val="8"/>
              </w:numPr>
              <w:spacing w:after="0" w:line="240" w:lineRule="auto"/>
              <w:rPr>
                <w:rFonts w:cstheme="minorHAnsi"/>
                <w:color w:val="000000" w:themeColor="text1"/>
              </w:rPr>
            </w:pPr>
            <w:r w:rsidRPr="00A304DA">
              <w:rPr>
                <w:rFonts w:cstheme="minorHAnsi"/>
                <w:color w:val="000000" w:themeColor="text1"/>
              </w:rPr>
              <w:t xml:space="preserve">Zero-rating &amp; Exemption </w:t>
            </w:r>
          </w:p>
          <w:p w:rsidR="00067184" w:rsidRPr="00A304DA" w:rsidRDefault="00067184" w:rsidP="003C0AFC">
            <w:pPr>
              <w:numPr>
                <w:ilvl w:val="0"/>
                <w:numId w:val="8"/>
              </w:numPr>
              <w:spacing w:after="0" w:line="240" w:lineRule="auto"/>
              <w:rPr>
                <w:rFonts w:cstheme="minorHAnsi"/>
                <w:color w:val="000000" w:themeColor="text1"/>
              </w:rPr>
            </w:pPr>
            <w:r w:rsidRPr="00A304DA">
              <w:rPr>
                <w:rFonts w:cstheme="minorHAnsi"/>
                <w:color w:val="000000" w:themeColor="text1"/>
              </w:rPr>
              <w:t>Single price among multiples supplies</w:t>
            </w:r>
          </w:p>
          <w:p w:rsidR="00067184" w:rsidRPr="00A304DA" w:rsidRDefault="00067184" w:rsidP="003C0AFC">
            <w:pPr>
              <w:numPr>
                <w:ilvl w:val="0"/>
                <w:numId w:val="8"/>
              </w:numPr>
              <w:spacing w:after="0" w:line="240" w:lineRule="auto"/>
              <w:rPr>
                <w:rFonts w:cstheme="minorHAnsi"/>
                <w:color w:val="000000" w:themeColor="text1"/>
              </w:rPr>
            </w:pPr>
            <w:r w:rsidRPr="00A304DA">
              <w:rPr>
                <w:rFonts w:cstheme="minorHAnsi"/>
                <w:color w:val="000000" w:themeColor="text1"/>
              </w:rPr>
              <w:t>Triangular transactions (A-B-C)</w:t>
            </w:r>
          </w:p>
          <w:p w:rsidR="003C0AFC" w:rsidRPr="00A304DA" w:rsidRDefault="00067184" w:rsidP="003C0AFC">
            <w:pPr>
              <w:numPr>
                <w:ilvl w:val="0"/>
                <w:numId w:val="8"/>
              </w:numPr>
              <w:spacing w:after="0" w:line="240" w:lineRule="auto"/>
              <w:rPr>
                <w:rFonts w:cstheme="minorHAnsi"/>
                <w:color w:val="000000" w:themeColor="text1"/>
              </w:rPr>
            </w:pPr>
            <w:r w:rsidRPr="00A304DA">
              <w:rPr>
                <w:rFonts w:cstheme="minorHAnsi"/>
                <w:color w:val="000000" w:themeColor="text1"/>
              </w:rPr>
              <w:t>Government entities &amp; Non-profits</w:t>
            </w:r>
          </w:p>
        </w:tc>
        <w:tc>
          <w:tcPr>
            <w:tcW w:w="1368" w:type="dxa"/>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Chapter</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9</w:t>
            </w:r>
          </w:p>
        </w:tc>
      </w:tr>
      <w:tr w:rsidR="00067184" w:rsidRPr="00A304DA" w:rsidTr="003C0AFC">
        <w:trPr>
          <w:cantSplit/>
          <w:trHeight w:val="20"/>
        </w:trPr>
        <w:tc>
          <w:tcPr>
            <w:tcW w:w="1080" w:type="dxa"/>
            <w:tcBorders>
              <w:bottom w:val="single" w:sz="4" w:space="0" w:color="000000"/>
            </w:tcBorders>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9</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Feb 11</w:t>
            </w:r>
          </w:p>
        </w:tc>
        <w:tc>
          <w:tcPr>
            <w:tcW w:w="6660" w:type="dxa"/>
            <w:tcBorders>
              <w:bottom w:val="single" w:sz="4" w:space="0" w:color="000000"/>
            </w:tcBorders>
          </w:tcPr>
          <w:p w:rsidR="00067184" w:rsidRPr="00A304DA" w:rsidRDefault="00067184" w:rsidP="003C0AFC">
            <w:pPr>
              <w:numPr>
                <w:ilvl w:val="0"/>
                <w:numId w:val="9"/>
              </w:numPr>
              <w:spacing w:after="0" w:line="240" w:lineRule="auto"/>
              <w:rPr>
                <w:rFonts w:cstheme="minorHAnsi"/>
                <w:color w:val="000000" w:themeColor="text1"/>
              </w:rPr>
            </w:pPr>
            <w:r w:rsidRPr="00A304DA">
              <w:rPr>
                <w:rFonts w:cstheme="minorHAnsi"/>
                <w:color w:val="000000" w:themeColor="text1"/>
              </w:rPr>
              <w:t>VAT Evasion &amp; Avoidance</w:t>
            </w:r>
          </w:p>
          <w:p w:rsidR="00067184" w:rsidRPr="00A304DA" w:rsidRDefault="00067184" w:rsidP="003C0AFC">
            <w:pPr>
              <w:numPr>
                <w:ilvl w:val="0"/>
                <w:numId w:val="9"/>
              </w:numPr>
              <w:spacing w:after="0" w:line="240" w:lineRule="auto"/>
              <w:rPr>
                <w:rFonts w:cstheme="minorHAnsi"/>
                <w:color w:val="000000" w:themeColor="text1"/>
              </w:rPr>
            </w:pPr>
            <w:r w:rsidRPr="00A304DA">
              <w:rPr>
                <w:rFonts w:cstheme="minorHAnsi"/>
                <w:color w:val="000000" w:themeColor="text1"/>
              </w:rPr>
              <w:t>Single state v. cross-border frauds</w:t>
            </w:r>
          </w:p>
          <w:p w:rsidR="00067184" w:rsidRPr="00A304DA" w:rsidRDefault="00067184" w:rsidP="003C0AFC">
            <w:pPr>
              <w:numPr>
                <w:ilvl w:val="0"/>
                <w:numId w:val="9"/>
              </w:numPr>
              <w:spacing w:after="0" w:line="240" w:lineRule="auto"/>
              <w:rPr>
                <w:rFonts w:cstheme="minorHAnsi"/>
                <w:color w:val="000000" w:themeColor="text1"/>
              </w:rPr>
            </w:pPr>
            <w:r w:rsidRPr="00A304DA">
              <w:rPr>
                <w:rFonts w:cstheme="minorHAnsi"/>
                <w:color w:val="000000" w:themeColor="text1"/>
              </w:rPr>
              <w:t>MTIC, MTEC, terrorist funding issues</w:t>
            </w:r>
          </w:p>
        </w:tc>
        <w:tc>
          <w:tcPr>
            <w:tcW w:w="1368" w:type="dxa"/>
            <w:tcBorders>
              <w:bottom w:val="single" w:sz="4" w:space="0" w:color="000000"/>
            </w:tcBorders>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 xml:space="preserve">Chapter </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10</w:t>
            </w:r>
          </w:p>
        </w:tc>
      </w:tr>
      <w:tr w:rsidR="00067184" w:rsidRPr="00A304DA" w:rsidTr="003C0AFC">
        <w:trPr>
          <w:cantSplit/>
          <w:trHeight w:val="20"/>
        </w:trPr>
        <w:tc>
          <w:tcPr>
            <w:tcW w:w="1080" w:type="dxa"/>
            <w:tcBorders>
              <w:top w:val="single" w:sz="4" w:space="0" w:color="000000"/>
            </w:tcBorders>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t>10</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Feb 17</w:t>
            </w:r>
          </w:p>
          <w:p w:rsidR="00067184" w:rsidRPr="00A304DA" w:rsidRDefault="00067184" w:rsidP="00EE42DF">
            <w:pPr>
              <w:spacing w:line="240" w:lineRule="auto"/>
              <w:jc w:val="center"/>
              <w:rPr>
                <w:rFonts w:cstheme="minorHAnsi"/>
                <w:color w:val="000000" w:themeColor="text1"/>
              </w:rPr>
            </w:pPr>
          </w:p>
        </w:tc>
        <w:tc>
          <w:tcPr>
            <w:tcW w:w="6660" w:type="dxa"/>
            <w:tcBorders>
              <w:top w:val="single" w:sz="4" w:space="0" w:color="000000"/>
            </w:tcBorders>
          </w:tcPr>
          <w:p w:rsidR="00067184" w:rsidRPr="00A304DA" w:rsidRDefault="00067184" w:rsidP="003C0AFC">
            <w:pPr>
              <w:numPr>
                <w:ilvl w:val="0"/>
                <w:numId w:val="10"/>
              </w:numPr>
              <w:spacing w:after="0" w:line="240" w:lineRule="auto"/>
              <w:rPr>
                <w:rFonts w:cstheme="minorHAnsi"/>
                <w:color w:val="000000" w:themeColor="text1"/>
              </w:rPr>
            </w:pPr>
            <w:r w:rsidRPr="00A304DA">
              <w:rPr>
                <w:rFonts w:cstheme="minorHAnsi"/>
                <w:color w:val="000000" w:themeColor="text1"/>
              </w:rPr>
              <w:t>financial services</w:t>
            </w:r>
          </w:p>
          <w:p w:rsidR="00067184" w:rsidRPr="00A304DA" w:rsidRDefault="00067184" w:rsidP="003C0AFC">
            <w:pPr>
              <w:numPr>
                <w:ilvl w:val="0"/>
                <w:numId w:val="10"/>
              </w:numPr>
              <w:spacing w:after="0" w:line="240" w:lineRule="auto"/>
              <w:rPr>
                <w:rFonts w:cstheme="minorHAnsi"/>
                <w:color w:val="000000" w:themeColor="text1"/>
              </w:rPr>
            </w:pPr>
            <w:r w:rsidRPr="00A304DA">
              <w:rPr>
                <w:rFonts w:cstheme="minorHAnsi"/>
                <w:color w:val="000000" w:themeColor="text1"/>
              </w:rPr>
              <w:t xml:space="preserve">Insurance and Real Property.  Life/ casualty/ property insurance.  </w:t>
            </w:r>
          </w:p>
          <w:p w:rsidR="00067184" w:rsidRPr="00A304DA" w:rsidRDefault="00067184" w:rsidP="003C0AFC">
            <w:pPr>
              <w:numPr>
                <w:ilvl w:val="0"/>
                <w:numId w:val="10"/>
              </w:numPr>
              <w:spacing w:after="0" w:line="240" w:lineRule="auto"/>
              <w:rPr>
                <w:rFonts w:cstheme="minorHAnsi"/>
                <w:color w:val="000000" w:themeColor="text1"/>
              </w:rPr>
            </w:pPr>
            <w:r w:rsidRPr="00A304DA">
              <w:rPr>
                <w:rFonts w:cstheme="minorHAnsi"/>
                <w:color w:val="000000" w:themeColor="text1"/>
              </w:rPr>
              <w:t>Departures from the norm (South Africa; Australia; New Zealand; Israel; Italy’ IRAP; Canada; proposals)</w:t>
            </w:r>
          </w:p>
        </w:tc>
        <w:tc>
          <w:tcPr>
            <w:tcW w:w="1368" w:type="dxa"/>
            <w:tcBorders>
              <w:top w:val="single" w:sz="4" w:space="0" w:color="000000"/>
            </w:tcBorders>
          </w:tcPr>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Chapter</w:t>
            </w:r>
          </w:p>
          <w:p w:rsidR="00067184" w:rsidRPr="00A304DA" w:rsidRDefault="00067184" w:rsidP="003C0AFC">
            <w:pPr>
              <w:spacing w:line="240" w:lineRule="auto"/>
              <w:jc w:val="center"/>
              <w:rPr>
                <w:rFonts w:cstheme="minorHAnsi"/>
                <w:color w:val="000000" w:themeColor="text1"/>
              </w:rPr>
            </w:pPr>
            <w:r w:rsidRPr="00A304DA">
              <w:rPr>
                <w:rFonts w:cstheme="minorHAnsi"/>
                <w:color w:val="000000" w:themeColor="text1"/>
              </w:rPr>
              <w:t>11, 12 &amp; 13</w:t>
            </w:r>
          </w:p>
        </w:tc>
      </w:tr>
      <w:tr w:rsidR="00067184" w:rsidRPr="00A304DA" w:rsidTr="003C0AFC">
        <w:trPr>
          <w:cantSplit/>
          <w:trHeight w:val="20"/>
        </w:trPr>
        <w:tc>
          <w:tcPr>
            <w:tcW w:w="1080" w:type="dxa"/>
          </w:tcPr>
          <w:p w:rsidR="00067184" w:rsidRPr="00A304DA" w:rsidRDefault="00067184" w:rsidP="00EE42DF">
            <w:pPr>
              <w:spacing w:line="240" w:lineRule="auto"/>
              <w:jc w:val="center"/>
              <w:rPr>
                <w:rFonts w:cstheme="minorHAnsi"/>
                <w:b/>
                <w:bCs/>
                <w:color w:val="000000" w:themeColor="text1"/>
              </w:rPr>
            </w:pPr>
            <w:r w:rsidRPr="00A304DA">
              <w:rPr>
                <w:rFonts w:cstheme="minorHAnsi"/>
                <w:b/>
                <w:bCs/>
                <w:color w:val="000000" w:themeColor="text1"/>
              </w:rPr>
              <w:lastRenderedPageBreak/>
              <w:t>11</w:t>
            </w:r>
          </w:p>
          <w:p w:rsidR="00067184" w:rsidRPr="00A304DA" w:rsidRDefault="00067184" w:rsidP="00EE42DF">
            <w:pPr>
              <w:spacing w:line="240" w:lineRule="auto"/>
              <w:jc w:val="center"/>
              <w:rPr>
                <w:rFonts w:cstheme="minorHAnsi"/>
                <w:color w:val="000000" w:themeColor="text1"/>
              </w:rPr>
            </w:pPr>
            <w:r w:rsidRPr="00A304DA">
              <w:rPr>
                <w:rFonts w:cstheme="minorHAnsi"/>
                <w:color w:val="000000" w:themeColor="text1"/>
              </w:rPr>
              <w:t>Feb 18</w:t>
            </w:r>
          </w:p>
        </w:tc>
        <w:tc>
          <w:tcPr>
            <w:tcW w:w="6660" w:type="dxa"/>
          </w:tcPr>
          <w:p w:rsidR="00067184" w:rsidRPr="00A304DA" w:rsidRDefault="00067184" w:rsidP="003C0AFC">
            <w:pPr>
              <w:numPr>
                <w:ilvl w:val="0"/>
                <w:numId w:val="11"/>
              </w:numPr>
              <w:spacing w:after="0" w:line="240" w:lineRule="auto"/>
              <w:rPr>
                <w:rFonts w:cstheme="minorHAnsi"/>
                <w:color w:val="000000" w:themeColor="text1"/>
              </w:rPr>
            </w:pPr>
            <w:r w:rsidRPr="00A304DA">
              <w:rPr>
                <w:rFonts w:cstheme="minorHAnsi"/>
                <w:color w:val="000000" w:themeColor="text1"/>
              </w:rPr>
              <w:t xml:space="preserve">Technology adoption </w:t>
            </w:r>
          </w:p>
          <w:p w:rsidR="00067184" w:rsidRPr="00A304DA" w:rsidRDefault="00067184" w:rsidP="003C0AFC">
            <w:pPr>
              <w:numPr>
                <w:ilvl w:val="0"/>
                <w:numId w:val="11"/>
              </w:numPr>
              <w:spacing w:after="0" w:line="240" w:lineRule="auto"/>
              <w:rPr>
                <w:rFonts w:cstheme="minorHAnsi"/>
                <w:color w:val="000000" w:themeColor="text1"/>
              </w:rPr>
            </w:pPr>
            <w:r w:rsidRPr="00A304DA">
              <w:rPr>
                <w:rFonts w:cstheme="minorHAnsi"/>
                <w:color w:val="000000" w:themeColor="text1"/>
              </w:rPr>
              <w:t>Review</w:t>
            </w:r>
          </w:p>
          <w:p w:rsidR="00067184" w:rsidRPr="00A304DA" w:rsidRDefault="00067184" w:rsidP="003C0AFC">
            <w:pPr>
              <w:spacing w:line="240" w:lineRule="auto"/>
              <w:rPr>
                <w:rFonts w:cstheme="minorHAnsi"/>
                <w:color w:val="000000" w:themeColor="text1"/>
              </w:rPr>
            </w:pPr>
            <w:r w:rsidRPr="00A304DA">
              <w:rPr>
                <w:rFonts w:cstheme="minorHAnsi"/>
                <w:color w:val="000000" w:themeColor="text1"/>
              </w:rPr>
              <w:t>NOTE: It may not be possible to cover the materials here if the need for review is compelling</w:t>
            </w:r>
          </w:p>
        </w:tc>
        <w:tc>
          <w:tcPr>
            <w:tcW w:w="1368" w:type="dxa"/>
          </w:tcPr>
          <w:p w:rsidR="00067184" w:rsidRPr="00A304DA" w:rsidRDefault="00067184" w:rsidP="003C0AFC">
            <w:pPr>
              <w:spacing w:line="240" w:lineRule="auto"/>
              <w:jc w:val="center"/>
              <w:rPr>
                <w:rFonts w:cstheme="minorHAnsi"/>
                <w:color w:val="000000" w:themeColor="text1"/>
              </w:rPr>
            </w:pPr>
          </w:p>
        </w:tc>
      </w:tr>
    </w:tbl>
    <w:p w:rsidR="00067184" w:rsidRPr="00A304DA" w:rsidRDefault="00067184">
      <w:pPr>
        <w:rPr>
          <w:rFonts w:cstheme="minorHAnsi"/>
          <w:b/>
          <w:bCs/>
        </w:rPr>
      </w:pPr>
    </w:p>
    <w:sectPr w:rsidR="00067184" w:rsidRPr="00A304DA" w:rsidSect="008201A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D74" w:rsidRDefault="00E17D74" w:rsidP="00067184">
      <w:pPr>
        <w:spacing w:after="0" w:line="240" w:lineRule="auto"/>
      </w:pPr>
      <w:r>
        <w:separator/>
      </w:r>
    </w:p>
  </w:endnote>
  <w:endnote w:type="continuationSeparator" w:id="0">
    <w:p w:rsidR="00E17D74" w:rsidRDefault="00E17D74" w:rsidP="0006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2996"/>
      <w:docPartObj>
        <w:docPartGallery w:val="Page Numbers (Bottom of Page)"/>
        <w:docPartUnique/>
      </w:docPartObj>
    </w:sdtPr>
    <w:sdtEndPr>
      <w:rPr>
        <w:rStyle w:val="PageNumber"/>
      </w:rPr>
    </w:sdtEndPr>
    <w:sdtContent>
      <w:p w:rsidR="0072135D" w:rsidRDefault="0072135D" w:rsidP="00EC21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2135D" w:rsidRDefault="0072135D" w:rsidP="00721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6034337"/>
      <w:docPartObj>
        <w:docPartGallery w:val="Page Numbers (Bottom of Page)"/>
        <w:docPartUnique/>
      </w:docPartObj>
    </w:sdtPr>
    <w:sdtEndPr>
      <w:rPr>
        <w:rStyle w:val="PageNumber"/>
      </w:rPr>
    </w:sdtEndPr>
    <w:sdtContent>
      <w:p w:rsidR="0072135D" w:rsidRDefault="0072135D" w:rsidP="00EC21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2135D" w:rsidRDefault="0072135D" w:rsidP="007213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D74" w:rsidRDefault="00E17D74" w:rsidP="00067184">
      <w:pPr>
        <w:spacing w:after="0" w:line="240" w:lineRule="auto"/>
      </w:pPr>
      <w:r>
        <w:separator/>
      </w:r>
    </w:p>
  </w:footnote>
  <w:footnote w:type="continuationSeparator" w:id="0">
    <w:p w:rsidR="00E17D74" w:rsidRDefault="00E17D74" w:rsidP="00067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4590"/>
    <w:multiLevelType w:val="hybridMultilevel"/>
    <w:tmpl w:val="EBD87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F6BBC"/>
    <w:multiLevelType w:val="hybridMultilevel"/>
    <w:tmpl w:val="8E32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8C10E5"/>
    <w:multiLevelType w:val="hybridMultilevel"/>
    <w:tmpl w:val="9A42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8059FB"/>
    <w:multiLevelType w:val="hybridMultilevel"/>
    <w:tmpl w:val="792AE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813225"/>
    <w:multiLevelType w:val="hybridMultilevel"/>
    <w:tmpl w:val="F9421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37"/>
    <w:multiLevelType w:val="hybridMultilevel"/>
    <w:tmpl w:val="260E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602BCD"/>
    <w:multiLevelType w:val="hybridMultilevel"/>
    <w:tmpl w:val="3A2C1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923F2D"/>
    <w:multiLevelType w:val="hybridMultilevel"/>
    <w:tmpl w:val="B8760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DC3D79"/>
    <w:multiLevelType w:val="hybridMultilevel"/>
    <w:tmpl w:val="11D80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2F4CE1"/>
    <w:multiLevelType w:val="hybridMultilevel"/>
    <w:tmpl w:val="36049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B22274"/>
    <w:multiLevelType w:val="hybridMultilevel"/>
    <w:tmpl w:val="061CD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8B27B0"/>
    <w:multiLevelType w:val="hybridMultilevel"/>
    <w:tmpl w:val="8C14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651B8C"/>
    <w:multiLevelType w:val="hybridMultilevel"/>
    <w:tmpl w:val="11125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7"/>
  </w:num>
  <w:num w:numId="6">
    <w:abstractNumId w:val="12"/>
  </w:num>
  <w:num w:numId="7">
    <w:abstractNumId w:val="4"/>
  </w:num>
  <w:num w:numId="8">
    <w:abstractNumId w:val="10"/>
  </w:num>
  <w:num w:numId="9">
    <w:abstractNumId w:val="0"/>
  </w:num>
  <w:num w:numId="10">
    <w:abstractNumId w:val="3"/>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2C"/>
    <w:rsid w:val="00000660"/>
    <w:rsid w:val="00003B3E"/>
    <w:rsid w:val="00067184"/>
    <w:rsid w:val="000B22E6"/>
    <w:rsid w:val="000E327C"/>
    <w:rsid w:val="000E4C4E"/>
    <w:rsid w:val="00221A66"/>
    <w:rsid w:val="003C0AFC"/>
    <w:rsid w:val="0041672C"/>
    <w:rsid w:val="004A2F17"/>
    <w:rsid w:val="004A30A6"/>
    <w:rsid w:val="005B795B"/>
    <w:rsid w:val="005D2814"/>
    <w:rsid w:val="005E2D09"/>
    <w:rsid w:val="005E74E9"/>
    <w:rsid w:val="005F054E"/>
    <w:rsid w:val="0072135D"/>
    <w:rsid w:val="008053AC"/>
    <w:rsid w:val="008201A6"/>
    <w:rsid w:val="008440C6"/>
    <w:rsid w:val="009167BF"/>
    <w:rsid w:val="009B2F65"/>
    <w:rsid w:val="00A2325E"/>
    <w:rsid w:val="00A304DA"/>
    <w:rsid w:val="00A74951"/>
    <w:rsid w:val="00D05881"/>
    <w:rsid w:val="00DA0F97"/>
    <w:rsid w:val="00E17D74"/>
    <w:rsid w:val="00E92C5F"/>
    <w:rsid w:val="00EC24DC"/>
    <w:rsid w:val="00ED0EA0"/>
    <w:rsid w:val="00EE4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FEAB9AC"/>
  <w15:chartTrackingRefBased/>
  <w15:docId w15:val="{6A4613C2-6E29-7647-8F2A-83BB5ECB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2C"/>
    <w:rPr>
      <w:color w:val="0563C1" w:themeColor="hyperlink"/>
      <w:u w:val="single"/>
    </w:rPr>
  </w:style>
  <w:style w:type="character" w:styleId="FollowedHyperlink">
    <w:name w:val="FollowedHyperlink"/>
    <w:basedOn w:val="DefaultParagraphFont"/>
    <w:uiPriority w:val="99"/>
    <w:semiHidden/>
    <w:unhideWhenUsed/>
    <w:rsid w:val="0041672C"/>
    <w:rPr>
      <w:color w:val="954F72" w:themeColor="followedHyperlink"/>
      <w:u w:val="single"/>
    </w:rPr>
  </w:style>
  <w:style w:type="paragraph" w:styleId="BalloonText">
    <w:name w:val="Balloon Text"/>
    <w:basedOn w:val="Normal"/>
    <w:link w:val="BalloonTextChar"/>
    <w:uiPriority w:val="99"/>
    <w:semiHidden/>
    <w:unhideWhenUsed/>
    <w:rsid w:val="000006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66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E2D09"/>
    <w:rPr>
      <w:color w:val="605E5C"/>
      <w:shd w:val="clear" w:color="auto" w:fill="E1DFDD"/>
    </w:rPr>
  </w:style>
  <w:style w:type="paragraph" w:styleId="Header">
    <w:name w:val="header"/>
    <w:basedOn w:val="Normal"/>
    <w:link w:val="HeaderChar"/>
    <w:uiPriority w:val="99"/>
    <w:unhideWhenUsed/>
    <w:rsid w:val="00067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84"/>
    <w:rPr>
      <w:sz w:val="22"/>
      <w:szCs w:val="22"/>
    </w:rPr>
  </w:style>
  <w:style w:type="paragraph" w:styleId="Footer">
    <w:name w:val="footer"/>
    <w:basedOn w:val="Normal"/>
    <w:link w:val="FooterChar"/>
    <w:uiPriority w:val="99"/>
    <w:unhideWhenUsed/>
    <w:rsid w:val="00067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84"/>
    <w:rPr>
      <w:sz w:val="22"/>
      <w:szCs w:val="22"/>
    </w:rPr>
  </w:style>
  <w:style w:type="character" w:styleId="PageNumber">
    <w:name w:val="page number"/>
    <w:basedOn w:val="DefaultParagraphFont"/>
    <w:uiPriority w:val="99"/>
    <w:semiHidden/>
    <w:unhideWhenUsed/>
    <w:rsid w:val="0072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6968">
      <w:bodyDiv w:val="1"/>
      <w:marLeft w:val="0"/>
      <w:marRight w:val="0"/>
      <w:marTop w:val="0"/>
      <w:marBottom w:val="0"/>
      <w:divBdr>
        <w:top w:val="none" w:sz="0" w:space="0" w:color="auto"/>
        <w:left w:val="none" w:sz="0" w:space="0" w:color="auto"/>
        <w:bottom w:val="none" w:sz="0" w:space="0" w:color="auto"/>
        <w:right w:val="none" w:sz="0" w:space="0" w:color="auto"/>
      </w:divBdr>
    </w:div>
    <w:div w:id="360516355">
      <w:bodyDiv w:val="1"/>
      <w:marLeft w:val="0"/>
      <w:marRight w:val="0"/>
      <w:marTop w:val="0"/>
      <w:marBottom w:val="0"/>
      <w:divBdr>
        <w:top w:val="none" w:sz="0" w:space="0" w:color="auto"/>
        <w:left w:val="none" w:sz="0" w:space="0" w:color="auto"/>
        <w:bottom w:val="none" w:sz="0" w:space="0" w:color="auto"/>
        <w:right w:val="none" w:sz="0" w:space="0" w:color="auto"/>
      </w:divBdr>
    </w:div>
    <w:div w:id="411856986">
      <w:bodyDiv w:val="1"/>
      <w:marLeft w:val="0"/>
      <w:marRight w:val="0"/>
      <w:marTop w:val="0"/>
      <w:marBottom w:val="0"/>
      <w:divBdr>
        <w:top w:val="none" w:sz="0" w:space="0" w:color="auto"/>
        <w:left w:val="none" w:sz="0" w:space="0" w:color="auto"/>
        <w:bottom w:val="none" w:sz="0" w:space="0" w:color="auto"/>
        <w:right w:val="none" w:sz="0" w:space="0" w:color="auto"/>
      </w:divBdr>
    </w:div>
    <w:div w:id="1109350481">
      <w:bodyDiv w:val="1"/>
      <w:marLeft w:val="0"/>
      <w:marRight w:val="0"/>
      <w:marTop w:val="0"/>
      <w:marBottom w:val="0"/>
      <w:divBdr>
        <w:top w:val="none" w:sz="0" w:space="0" w:color="auto"/>
        <w:left w:val="none" w:sz="0" w:space="0" w:color="auto"/>
        <w:bottom w:val="none" w:sz="0" w:space="0" w:color="auto"/>
        <w:right w:val="none" w:sz="0" w:space="0" w:color="auto"/>
      </w:divBdr>
    </w:div>
    <w:div w:id="1596786833">
      <w:bodyDiv w:val="1"/>
      <w:marLeft w:val="0"/>
      <w:marRight w:val="0"/>
      <w:marTop w:val="0"/>
      <w:marBottom w:val="0"/>
      <w:divBdr>
        <w:top w:val="none" w:sz="0" w:space="0" w:color="auto"/>
        <w:left w:val="none" w:sz="0" w:space="0" w:color="auto"/>
        <w:bottom w:val="none" w:sz="0" w:space="0" w:color="auto"/>
        <w:right w:val="none" w:sz="0" w:space="0" w:color="auto"/>
      </w:divBdr>
    </w:div>
    <w:div w:id="20103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aad@ufl.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w.ufl.edu/student-affairs/current-students/academic-policies" TargetMode="External"/><Relationship Id="rId4" Type="http://schemas.openxmlformats.org/officeDocument/2006/relationships/webSettings" Target="webSettings.xml"/><Relationship Id="rId9" Type="http://schemas.openxmlformats.org/officeDocument/2006/relationships/hyperlink" Target="https://sccr.dso.ufl.edu/students/student-conduct-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Alwohaibi,Musaad F</dc:creator>
  <cp:keywords/>
  <dc:description/>
  <cp:lastModifiedBy>Alwohaibi,Musaad F</cp:lastModifiedBy>
  <cp:revision>8</cp:revision>
  <dcterms:created xsi:type="dcterms:W3CDTF">2019-11-07T23:59:00Z</dcterms:created>
  <dcterms:modified xsi:type="dcterms:W3CDTF">2020-01-06T20:19:00Z</dcterms:modified>
</cp:coreProperties>
</file>