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D366" w14:textId="77777777" w:rsidR="008009A5" w:rsidRDefault="008009A5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9A5" w:rsidRPr="0086349D" w14:paraId="25ED74C5" w14:textId="77777777" w:rsidTr="00E51DD2">
        <w:tc>
          <w:tcPr>
            <w:tcW w:w="0" w:type="auto"/>
          </w:tcPr>
          <w:p w14:paraId="76E9AADF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b/>
                <w:bCs/>
                <w:smallCaps/>
                <w:color w:val="000000"/>
              </w:rPr>
            </w:pPr>
            <w:r w:rsidRPr="0086349D">
              <w:rPr>
                <w:rFonts w:ascii="Corbel" w:hAnsi="Corbel"/>
                <w:b/>
                <w:bCs/>
                <w:smallCaps/>
                <w:color w:val="000000"/>
              </w:rPr>
              <w:t>Public Health Law 6930</w:t>
            </w:r>
          </w:p>
          <w:p w14:paraId="7D4D1D67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color w:val="000000"/>
              </w:rPr>
            </w:pPr>
          </w:p>
          <w:p w14:paraId="126DE3F1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color w:val="000000"/>
              </w:rPr>
            </w:pPr>
            <w:r w:rsidRPr="0086349D">
              <w:rPr>
                <w:rFonts w:ascii="Corbel" w:hAnsi="Corbel"/>
                <w:color w:val="000000"/>
              </w:rPr>
              <w:t>Fall 2019</w:t>
            </w:r>
          </w:p>
          <w:p w14:paraId="1CCE6134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b/>
                <w:bCs/>
                <w:smallCaps/>
                <w:color w:val="000000"/>
              </w:rPr>
            </w:pPr>
            <w:r w:rsidRPr="0086349D">
              <w:rPr>
                <w:rFonts w:ascii="Corbel" w:hAnsi="Corbel"/>
                <w:b/>
                <w:bCs/>
                <w:smallCaps/>
                <w:color w:val="000000"/>
              </w:rPr>
              <w:t>Professor Jennifer Bard</w:t>
            </w:r>
          </w:p>
          <w:p w14:paraId="3473DAC3" w14:textId="77777777" w:rsidR="008009A5" w:rsidRPr="0086349D" w:rsidRDefault="00F84CCA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color w:val="000000"/>
              </w:rPr>
            </w:pPr>
            <w:hyperlink r:id="rId5" w:history="1">
              <w:r w:rsidR="008009A5" w:rsidRPr="0086349D">
                <w:rPr>
                  <w:rStyle w:val="Hyperlink"/>
                  <w:rFonts w:ascii="Corbel" w:hAnsi="Corbel"/>
                </w:rPr>
                <w:t>Bard@uflaw.edu</w:t>
              </w:r>
            </w:hyperlink>
          </w:p>
          <w:p w14:paraId="5B9C40A2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b/>
                <w:bCs/>
                <w:smallCaps/>
                <w:color w:val="000000"/>
              </w:rPr>
            </w:pPr>
          </w:p>
          <w:p w14:paraId="14685FDF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color w:val="000000"/>
              </w:rPr>
            </w:pPr>
            <w:r w:rsidRPr="0086349D">
              <w:rPr>
                <w:rFonts w:ascii="Corbel" w:hAnsi="Corbel"/>
                <w:b/>
                <w:bCs/>
                <w:color w:val="000000"/>
              </w:rPr>
              <w:t>Classroom</w:t>
            </w:r>
            <w:r w:rsidRPr="0086349D">
              <w:rPr>
                <w:rFonts w:ascii="Corbel" w:hAnsi="Corbel"/>
                <w:color w:val="000000"/>
              </w:rPr>
              <w:t xml:space="preserve"> HH - 285A</w:t>
            </w:r>
          </w:p>
          <w:p w14:paraId="03329966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color w:val="000000" w:themeColor="text1"/>
              </w:rPr>
            </w:pPr>
            <w:r w:rsidRPr="0086349D">
              <w:rPr>
                <w:rFonts w:ascii="Corbel" w:hAnsi="Corbel"/>
                <w:b/>
                <w:bCs/>
                <w:color w:val="000000" w:themeColor="text1"/>
              </w:rPr>
              <w:t>Class time:</w:t>
            </w:r>
            <w:r w:rsidRPr="0086349D">
              <w:rPr>
                <w:rFonts w:ascii="Corbel" w:hAnsi="Corbel"/>
                <w:color w:val="000000" w:themeColor="text1"/>
              </w:rPr>
              <w:t xml:space="preserve"> Mondays and Wednesdays from 1</w:t>
            </w:r>
            <w:r>
              <w:rPr>
                <w:rFonts w:ascii="Corbel" w:hAnsi="Corbel"/>
                <w:color w:val="000000" w:themeColor="text1"/>
              </w:rPr>
              <w:t>:</w:t>
            </w:r>
            <w:r w:rsidRPr="0086349D">
              <w:rPr>
                <w:rFonts w:ascii="Corbel" w:hAnsi="Corbel"/>
                <w:color w:val="000000" w:themeColor="text1"/>
              </w:rPr>
              <w:t>30-2</w:t>
            </w:r>
            <w:r>
              <w:rPr>
                <w:rFonts w:ascii="Corbel" w:hAnsi="Corbel"/>
                <w:color w:val="000000" w:themeColor="text1"/>
              </w:rPr>
              <w:t>:</w:t>
            </w:r>
            <w:r w:rsidRPr="0086349D">
              <w:rPr>
                <w:rFonts w:ascii="Corbel" w:hAnsi="Corbel"/>
                <w:color w:val="000000" w:themeColor="text1"/>
              </w:rPr>
              <w:t>55 PM</w:t>
            </w:r>
          </w:p>
          <w:p w14:paraId="4733980D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color w:val="000000" w:themeColor="text1"/>
              </w:rPr>
            </w:pPr>
            <w:r w:rsidRPr="0086349D">
              <w:rPr>
                <w:rFonts w:ascii="Corbel" w:hAnsi="Corbel"/>
                <w:b/>
                <w:bCs/>
                <w:color w:val="000000" w:themeColor="text1"/>
              </w:rPr>
              <w:t>Office:</w:t>
            </w:r>
            <w:r w:rsidRPr="0086349D">
              <w:rPr>
                <w:rFonts w:ascii="Corbel" w:hAnsi="Corbel"/>
                <w:color w:val="000000" w:themeColor="text1"/>
              </w:rPr>
              <w:t xml:space="preserve">  Room 356</w:t>
            </w:r>
          </w:p>
          <w:p w14:paraId="215CF4D5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color w:val="000000" w:themeColor="text1"/>
              </w:rPr>
            </w:pPr>
            <w:r w:rsidRPr="0086349D">
              <w:rPr>
                <w:rFonts w:ascii="Corbel" w:hAnsi="Corbel"/>
                <w:b/>
                <w:bCs/>
                <w:color w:val="000000" w:themeColor="text1"/>
              </w:rPr>
              <w:t>Office Phone:</w:t>
            </w:r>
            <w:r w:rsidRPr="0086349D">
              <w:rPr>
                <w:rFonts w:ascii="Corbel" w:hAnsi="Corbel"/>
                <w:color w:val="000000" w:themeColor="text1"/>
              </w:rPr>
              <w:t xml:space="preserve"> 352.273-0666 (not reliable way to reach me—please email!)</w:t>
            </w:r>
          </w:p>
          <w:p w14:paraId="06294C26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jc w:val="center"/>
              <w:rPr>
                <w:rFonts w:ascii="Corbel" w:hAnsi="Corbel"/>
                <w:color w:val="000000"/>
              </w:rPr>
            </w:pPr>
            <w:r w:rsidRPr="0086349D">
              <w:rPr>
                <w:rFonts w:ascii="Corbel" w:hAnsi="Corbel"/>
                <w:b/>
                <w:bCs/>
                <w:color w:val="000000" w:themeColor="text1"/>
              </w:rPr>
              <w:t>Office hours</w:t>
            </w:r>
            <w:bookmarkStart w:id="1" w:name="_Hlk14857634"/>
            <w:r w:rsidRPr="0086349D">
              <w:rPr>
                <w:rFonts w:ascii="Corbel" w:hAnsi="Corbel"/>
                <w:b/>
                <w:bCs/>
                <w:color w:val="000000" w:themeColor="text1"/>
              </w:rPr>
              <w:t xml:space="preserve">:  </w:t>
            </w:r>
            <w:r w:rsidRPr="0086349D">
              <w:rPr>
                <w:rFonts w:ascii="Corbel" w:hAnsi="Corbel"/>
                <w:color w:val="000000" w:themeColor="text1"/>
              </w:rPr>
              <w:t>Mondays and Wednesdays from 3.15-4.15 and by appointment</w:t>
            </w:r>
            <w:bookmarkEnd w:id="1"/>
            <w:r w:rsidRPr="0086349D">
              <w:rPr>
                <w:rFonts w:ascii="Corbel" w:hAnsi="Corbel"/>
                <w:color w:val="000000" w:themeColor="text1"/>
              </w:rPr>
              <w:t>.</w:t>
            </w:r>
          </w:p>
          <w:p w14:paraId="795B0D31" w14:textId="77777777" w:rsidR="008009A5" w:rsidRPr="0086349D" w:rsidRDefault="008009A5" w:rsidP="008009A5">
            <w:pPr>
              <w:pStyle w:val="NormalWeb"/>
              <w:spacing w:before="0" w:beforeAutospacing="0" w:after="0" w:afterAutospacing="0" w:line="280" w:lineRule="atLeast"/>
              <w:rPr>
                <w:rFonts w:ascii="Corbel" w:hAnsi="Corbel"/>
                <w:color w:val="000000"/>
              </w:rPr>
            </w:pPr>
          </w:p>
          <w:p w14:paraId="35160444" w14:textId="77777777" w:rsidR="008009A5" w:rsidRPr="0086349D" w:rsidRDefault="008009A5" w:rsidP="00E51DD2">
            <w:pPr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r>
              <w:rPr>
                <w:rFonts w:ascii="Corbel" w:eastAsiaTheme="minorHAnsi" w:hAnsi="Corbel"/>
              </w:rPr>
              <w:t>First Week Assignments</w:t>
            </w:r>
          </w:p>
          <w:p w14:paraId="28AE7B19" w14:textId="77777777" w:rsidR="008009A5" w:rsidRPr="0086349D" w:rsidRDefault="008009A5" w:rsidP="00E51DD2">
            <w:pPr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r w:rsidRPr="0086349D">
              <w:rPr>
                <w:rFonts w:ascii="Corbel" w:eastAsiaTheme="minorHAnsi" w:hAnsi="Corbel"/>
              </w:rPr>
              <w:t xml:space="preserve">Getting in an overview of Public Health and Public </w:t>
            </w:r>
            <w:proofErr w:type="gramStart"/>
            <w:r w:rsidRPr="0086349D">
              <w:rPr>
                <w:rFonts w:ascii="Corbel" w:eastAsiaTheme="minorHAnsi" w:hAnsi="Corbel"/>
              </w:rPr>
              <w:t>Health  Law</w:t>
            </w:r>
            <w:proofErr w:type="gramEnd"/>
            <w:r w:rsidRPr="0086349D">
              <w:rPr>
                <w:rFonts w:ascii="Corbel" w:eastAsiaTheme="minorHAnsi" w:hAnsi="Corbel"/>
              </w:rPr>
              <w:t xml:space="preserve"> </w:t>
            </w:r>
            <w:r>
              <w:rPr>
                <w:rFonts w:ascii="Corbel" w:eastAsiaTheme="minorHAnsi" w:hAnsi="Corbel"/>
              </w:rPr>
              <w:t xml:space="preserve"> </w:t>
            </w:r>
          </w:p>
          <w:p w14:paraId="48B5321E" w14:textId="77777777" w:rsidR="008009A5" w:rsidRDefault="008009A5" w:rsidP="00E51DD2">
            <w:pPr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</w:p>
          <w:p w14:paraId="6A50800A" w14:textId="77777777" w:rsidR="008009A5" w:rsidRPr="0086349D" w:rsidRDefault="008009A5" w:rsidP="00E51DD2">
            <w:pPr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r>
              <w:rPr>
                <w:rFonts w:ascii="Corbel" w:eastAsiaTheme="minorHAnsi" w:hAnsi="Corbel"/>
              </w:rPr>
              <w:t>Monday August 26th</w:t>
            </w:r>
          </w:p>
          <w:p w14:paraId="2D4CE2FD" w14:textId="77777777" w:rsidR="008009A5" w:rsidRPr="0086349D" w:rsidRDefault="008009A5" w:rsidP="008009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r w:rsidRPr="0086349D">
              <w:rPr>
                <w:rFonts w:ascii="Corbel" w:eastAsiaTheme="minorHAnsi" w:hAnsi="Corbel"/>
              </w:rPr>
              <w:t>Watch the American Public Health Association Video</w:t>
            </w:r>
            <w:r>
              <w:rPr>
                <w:rFonts w:ascii="Corbel" w:eastAsiaTheme="minorHAnsi" w:hAnsi="Corbel"/>
              </w:rPr>
              <w:t xml:space="preserve"> </w:t>
            </w:r>
            <w:hyperlink r:id="rId6" w:history="1">
              <w:r w:rsidRPr="00A83B60">
                <w:rPr>
                  <w:rStyle w:val="Hyperlink"/>
                  <w:rFonts w:ascii="Corbel" w:eastAsiaTheme="minorHAnsi" w:hAnsi="Corbel"/>
                </w:rPr>
                <w:t xml:space="preserve"> “What is Public Health?”</w:t>
              </w:r>
            </w:hyperlink>
            <w:r w:rsidRPr="0086349D">
              <w:rPr>
                <w:rFonts w:ascii="Corbel" w:eastAsiaTheme="minorHAnsi" w:hAnsi="Corbel"/>
              </w:rPr>
              <w:t xml:space="preserve"> </w:t>
            </w:r>
            <w:r>
              <w:rPr>
                <w:rFonts w:ascii="Corbel" w:eastAsiaTheme="minorHAnsi" w:hAnsi="Corbel"/>
              </w:rPr>
              <w:t xml:space="preserve"> </w:t>
            </w:r>
            <w:r>
              <w:rPr>
                <w:rFonts w:eastAsiaTheme="minorHAnsi"/>
              </w:rPr>
              <w:t xml:space="preserve">(3.08) (Don’t forget to turn on captions). </w:t>
            </w:r>
            <w:r w:rsidRPr="0086349D">
              <w:rPr>
                <w:rFonts w:ascii="Corbel" w:eastAsiaTheme="minorHAnsi" w:hAnsi="Corbel"/>
              </w:rPr>
              <w:t>Is there anything mentioned that surprises you?</w:t>
            </w:r>
          </w:p>
          <w:p w14:paraId="79ACD834" w14:textId="77777777" w:rsidR="008009A5" w:rsidRPr="0086349D" w:rsidRDefault="008009A5" w:rsidP="008009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r w:rsidRPr="0086349D">
              <w:rPr>
                <w:rFonts w:ascii="Corbel" w:eastAsiaTheme="minorHAnsi" w:hAnsi="Corbel"/>
              </w:rPr>
              <w:t xml:space="preserve">Read the Network for Public Health Law’s introduction to Public Health Law </w:t>
            </w:r>
            <w:hyperlink r:id="rId7" w:history="1">
              <w:r w:rsidRPr="0086349D">
                <w:rPr>
                  <w:rStyle w:val="Hyperlink"/>
                  <w:rFonts w:ascii="Corbel" w:eastAsiaTheme="minorHAnsi" w:hAnsi="Corbel"/>
                </w:rPr>
                <w:t>https://www.apha.org/-/media/files/pdf/factsheets/what_is_public_health_law_factsheet.ashx?la=en&amp;hash=7BCB29295AD654F171D55D4F9CF1A3D9DCF79400</w:t>
              </w:r>
            </w:hyperlink>
          </w:p>
          <w:p w14:paraId="76EF29FD" w14:textId="77777777" w:rsidR="008009A5" w:rsidRPr="0086349D" w:rsidRDefault="008009A5" w:rsidP="008009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r w:rsidRPr="0086349D">
              <w:rPr>
                <w:rFonts w:ascii="Corbel" w:eastAsiaTheme="minorHAnsi" w:hAnsi="Corbel"/>
              </w:rPr>
              <w:t xml:space="preserve">Read Chapter 1 in our book, Larry </w:t>
            </w:r>
            <w:proofErr w:type="spellStart"/>
            <w:r w:rsidRPr="0086349D">
              <w:rPr>
                <w:rFonts w:ascii="Corbel" w:eastAsiaTheme="minorHAnsi" w:hAnsi="Corbel"/>
              </w:rPr>
              <w:t>Gostin</w:t>
            </w:r>
            <w:proofErr w:type="spellEnd"/>
            <w:r w:rsidRPr="0086349D">
              <w:rPr>
                <w:rFonts w:ascii="Corbel" w:eastAsiaTheme="minorHAnsi" w:hAnsi="Corbel"/>
              </w:rPr>
              <w:t xml:space="preserve"> and Wiley and Lindsay Wiley, </w:t>
            </w:r>
            <w:r w:rsidRPr="0086349D">
              <w:rPr>
                <w:rFonts w:ascii="Corbel" w:eastAsiaTheme="minorHAnsi" w:hAnsi="Corbel"/>
                <w:smallCaps/>
              </w:rPr>
              <w:t>Public Health Law: Power, Duty, Restraint</w:t>
            </w:r>
            <w:r w:rsidRPr="0086349D">
              <w:rPr>
                <w:rFonts w:ascii="Corbel" w:eastAsiaTheme="minorHAnsi" w:hAnsi="Corbel"/>
              </w:rPr>
              <w:t xml:space="preserve"> (Third Edition) (</w:t>
            </w:r>
            <w:proofErr w:type="spellStart"/>
            <w:r w:rsidRPr="0086349D">
              <w:rPr>
                <w:rFonts w:ascii="Corbel" w:eastAsiaTheme="minorHAnsi" w:hAnsi="Corbel"/>
              </w:rPr>
              <w:t>Gostin</w:t>
            </w:r>
            <w:proofErr w:type="spellEnd"/>
            <w:r w:rsidRPr="0086349D">
              <w:rPr>
                <w:rFonts w:ascii="Corbel" w:eastAsiaTheme="minorHAnsi" w:hAnsi="Corbel"/>
              </w:rPr>
              <w:t xml:space="preserve"> and Wiley) and consider how you would explain what they identify as the difference between “public health law” and “health law.”</w:t>
            </w:r>
            <w:r>
              <w:rPr>
                <w:rFonts w:ascii="Corbel" w:eastAsiaTheme="minorHAnsi" w:hAnsi="Corbel"/>
              </w:rPr>
              <w:t xml:space="preserve">  Consider the title of the book-and begin thinking about what you see as the federal and state government’s responsibilities to the public in the area of promoting and protecting health.</w:t>
            </w:r>
          </w:p>
          <w:p w14:paraId="502ACCB7" w14:textId="77777777" w:rsidR="008009A5" w:rsidRPr="0086349D" w:rsidRDefault="008009A5" w:rsidP="008009A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Hyperlink"/>
                <w:rFonts w:ascii="Corbel" w:eastAsiaTheme="minorHAnsi" w:hAnsi="Corbel"/>
                <w:color w:val="auto"/>
                <w:u w:val="none"/>
              </w:rPr>
            </w:pPr>
            <w:r>
              <w:rPr>
                <w:rFonts w:ascii="Corbel" w:eastAsiaTheme="minorHAnsi" w:hAnsi="Corbel"/>
              </w:rPr>
              <w:t xml:space="preserve">Visit the CDC Public Health Law News website to get an idea of the range of current public health law issues and subscribe to get monthly updates. </w:t>
            </w:r>
            <w:hyperlink r:id="rId8" w:history="1">
              <w:r w:rsidRPr="00765199">
                <w:rPr>
                  <w:rStyle w:val="Hyperlink"/>
                  <w:rFonts w:ascii="Corbel" w:eastAsiaTheme="minorHAnsi" w:hAnsi="Corbel"/>
                </w:rPr>
                <w:t>https://www.cdc.gov/phlp/index.html</w:t>
              </w:r>
            </w:hyperlink>
            <w:r w:rsidRPr="0086349D">
              <w:rPr>
                <w:rStyle w:val="Hyperlink"/>
                <w:rFonts w:ascii="Corbel" w:eastAsiaTheme="minorHAnsi" w:hAnsi="Corbel"/>
              </w:rPr>
              <w:t xml:space="preserve"> </w:t>
            </w:r>
          </w:p>
          <w:p w14:paraId="14FC616C" w14:textId="77777777" w:rsidR="008009A5" w:rsidRPr="0086349D" w:rsidRDefault="008009A5" w:rsidP="00E51DD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r w:rsidRPr="0086349D">
              <w:rPr>
                <w:rFonts w:ascii="Corbel" w:eastAsiaTheme="minorHAnsi" w:hAnsi="Corbel"/>
              </w:rPr>
              <w:t>.</w:t>
            </w:r>
          </w:p>
          <w:p w14:paraId="31323704" w14:textId="77777777" w:rsidR="008009A5" w:rsidRPr="0086349D" w:rsidRDefault="008009A5" w:rsidP="00E51DD2">
            <w:pPr>
              <w:rPr>
                <w:rFonts w:ascii="Corbel" w:eastAsiaTheme="minorHAnsi" w:hAnsi="Corbel"/>
              </w:rPr>
            </w:pPr>
          </w:p>
          <w:p w14:paraId="6E755291" w14:textId="77777777" w:rsidR="008009A5" w:rsidRPr="0086349D" w:rsidRDefault="008009A5" w:rsidP="00E51DD2">
            <w:pPr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</w:p>
        </w:tc>
      </w:tr>
      <w:tr w:rsidR="008009A5" w:rsidRPr="0086349D" w14:paraId="73B9C895" w14:textId="77777777" w:rsidTr="00E51DD2">
        <w:trPr>
          <w:trHeight w:val="5762"/>
        </w:trPr>
        <w:tc>
          <w:tcPr>
            <w:tcW w:w="0" w:type="auto"/>
          </w:tcPr>
          <w:p w14:paraId="21A57938" w14:textId="77777777" w:rsidR="008009A5" w:rsidRDefault="008009A5" w:rsidP="00E51DD2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Wednesday August 28</w:t>
            </w:r>
            <w:r w:rsidRPr="008009A5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</w:p>
          <w:p w14:paraId="6428100A" w14:textId="77777777" w:rsidR="008009A5" w:rsidRPr="0072577C" w:rsidRDefault="008009A5" w:rsidP="00E51DD2">
            <w:pPr>
              <w:rPr>
                <w:rFonts w:ascii="Corbel" w:hAnsi="Corbel"/>
                <w:sz w:val="28"/>
                <w:szCs w:val="28"/>
              </w:rPr>
            </w:pPr>
            <w:r w:rsidRPr="0072577C">
              <w:rPr>
                <w:rFonts w:ascii="Corbel" w:hAnsi="Corbel"/>
                <w:sz w:val="28"/>
                <w:szCs w:val="28"/>
              </w:rPr>
              <w:t>The clash between the public’s health and individual rights—how do we measure the risks?</w:t>
            </w:r>
          </w:p>
          <w:p w14:paraId="6FFC4066" w14:textId="77777777" w:rsidR="008009A5" w:rsidRPr="0086349D" w:rsidRDefault="008009A5" w:rsidP="00E51DD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Question: </w:t>
            </w:r>
            <w:r w:rsidRPr="0086349D">
              <w:rPr>
                <w:rFonts w:ascii="Corbel" w:hAnsi="Corbel"/>
              </w:rPr>
              <w:t xml:space="preserve">How should the government assess the extent of a risk to the public </w:t>
            </w:r>
            <w:proofErr w:type="gramStart"/>
            <w:r w:rsidRPr="0086349D">
              <w:rPr>
                <w:rFonts w:ascii="Corbel" w:hAnsi="Corbel"/>
              </w:rPr>
              <w:t>as a whole before</w:t>
            </w:r>
            <w:proofErr w:type="gramEnd"/>
            <w:r w:rsidRPr="0086349D">
              <w:rPr>
                <w:rFonts w:ascii="Corbel" w:hAnsi="Corbel"/>
              </w:rPr>
              <w:t xml:space="preserve"> imposing restrictions on an individual?</w:t>
            </w:r>
          </w:p>
          <w:p w14:paraId="3B3F710E" w14:textId="77777777" w:rsidR="008009A5" w:rsidRPr="0086349D" w:rsidRDefault="008009A5" w:rsidP="00E51DD2">
            <w:pPr>
              <w:rPr>
                <w:rFonts w:ascii="Corbel" w:hAnsi="Corbel"/>
              </w:rPr>
            </w:pPr>
            <w:r w:rsidRPr="00BC3C48">
              <w:rPr>
                <w:rFonts w:ascii="Corbel" w:hAnsi="Corbel"/>
                <w:b/>
                <w:bCs/>
              </w:rPr>
              <w:t>Read</w:t>
            </w:r>
            <w:r w:rsidRPr="0086349D">
              <w:rPr>
                <w:rFonts w:ascii="Corbel" w:hAnsi="Corbel"/>
              </w:rPr>
              <w:t xml:space="preserve">: </w:t>
            </w:r>
            <w:proofErr w:type="spellStart"/>
            <w:r w:rsidRPr="0086349D">
              <w:rPr>
                <w:rFonts w:ascii="Corbel" w:hAnsi="Corbel"/>
              </w:rPr>
              <w:t>Gostin</w:t>
            </w:r>
            <w:proofErr w:type="spellEnd"/>
            <w:r w:rsidRPr="0086349D">
              <w:rPr>
                <w:rFonts w:ascii="Corbel" w:hAnsi="Corbel"/>
              </w:rPr>
              <w:t xml:space="preserve"> and Wiley Chapter 2 and consider the justifications governments use to take action to protect public health.  Also consider the role of risk assessment in drafting statutes.</w:t>
            </w:r>
          </w:p>
          <w:p w14:paraId="0BE1046D" w14:textId="77777777" w:rsidR="008009A5" w:rsidRPr="0086349D" w:rsidRDefault="008009A5" w:rsidP="00E51DD2">
            <w:pPr>
              <w:rPr>
                <w:rFonts w:ascii="Corbel" w:hAnsi="Corbel"/>
              </w:rPr>
            </w:pPr>
            <w:r w:rsidRPr="0086349D">
              <w:rPr>
                <w:rFonts w:ascii="Corbel" w:hAnsi="Corbel"/>
              </w:rPr>
              <w:t>What do you think of the “Precautionary Principle”—where would you draw the line between individual liberty and public safety</w:t>
            </w:r>
          </w:p>
          <w:p w14:paraId="52737102" w14:textId="77777777" w:rsidR="008009A5" w:rsidRDefault="008009A5" w:rsidP="00E51DD2">
            <w:pPr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</w:p>
          <w:p w14:paraId="31C34866" w14:textId="77777777" w:rsidR="008009A5" w:rsidRDefault="008009A5" w:rsidP="00E51DD2">
            <w:pPr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r w:rsidRPr="0072577C">
              <w:rPr>
                <w:rFonts w:ascii="Corbel" w:eastAsiaTheme="minorHAnsi" w:hAnsi="Corbel"/>
                <w:b/>
              </w:rPr>
              <w:t xml:space="preserve">Watch </w:t>
            </w:r>
            <w:r w:rsidRPr="0072577C">
              <w:rPr>
                <w:rFonts w:ascii="Corbel" w:eastAsiaTheme="minorHAnsi" w:hAnsi="Corbel"/>
              </w:rPr>
              <w:t xml:space="preserve">CDC Video-Public Health Law: A Tool to Address Emerging Health Concerns.  </w:t>
            </w:r>
          </w:p>
          <w:p w14:paraId="2BBD2F66" w14:textId="77777777" w:rsidR="008009A5" w:rsidRPr="0086349D" w:rsidRDefault="00F84CCA" w:rsidP="00E51DD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hyperlink r:id="rId9" w:history="1">
              <w:r w:rsidR="008009A5" w:rsidRPr="00765199">
                <w:rPr>
                  <w:rStyle w:val="Hyperlink"/>
                  <w:rFonts w:ascii="Corbel" w:eastAsiaTheme="minorHAnsi" w:hAnsi="Corbel"/>
                </w:rPr>
                <w:t>https://www.youtube.com/watch?v=kfavqthww1s</w:t>
              </w:r>
            </w:hyperlink>
            <w:r w:rsidR="008009A5" w:rsidRPr="0086349D">
              <w:rPr>
                <w:rStyle w:val="Hyperlink"/>
                <w:rFonts w:ascii="Corbel" w:eastAsiaTheme="minorHAnsi" w:hAnsi="Corbel"/>
              </w:rPr>
              <w:t xml:space="preserve"> </w:t>
            </w:r>
            <w:r w:rsidR="008009A5">
              <w:rPr>
                <w:rStyle w:val="Hyperlink"/>
                <w:rFonts w:ascii="Corbel" w:eastAsiaTheme="minorHAnsi" w:hAnsi="Corbel"/>
              </w:rPr>
              <w:t xml:space="preserve"> (12.36)  </w:t>
            </w:r>
          </w:p>
          <w:p w14:paraId="13D01454" w14:textId="77777777" w:rsidR="008009A5" w:rsidRPr="0086349D" w:rsidRDefault="008009A5" w:rsidP="00E51DD2">
            <w:pPr>
              <w:rPr>
                <w:rFonts w:ascii="Corbel" w:hAnsi="Corbel"/>
              </w:rPr>
            </w:pPr>
          </w:p>
          <w:p w14:paraId="30A89DCD" w14:textId="77777777" w:rsidR="008009A5" w:rsidRPr="0072577C" w:rsidRDefault="008009A5" w:rsidP="00E51DD2">
            <w:pPr>
              <w:widowControl w:val="0"/>
              <w:autoSpaceDE w:val="0"/>
              <w:autoSpaceDN w:val="0"/>
              <w:adjustRightInd w:val="0"/>
              <w:rPr>
                <w:rFonts w:ascii="Corbel" w:eastAsiaTheme="minorHAnsi" w:hAnsi="Corbel"/>
              </w:rPr>
            </w:pPr>
            <w:r w:rsidRPr="0072577C">
              <w:rPr>
                <w:rFonts w:ascii="Corbel" w:eastAsiaTheme="minorHAnsi" w:hAnsi="Corbel"/>
              </w:rPr>
              <w:t>Begin making a list of areas of law-whether discussed in the reading or video- involved in protecting and promoting the public’s health.  What is Legal Epidemiology?</w:t>
            </w:r>
          </w:p>
          <w:p w14:paraId="4FBA9FA8" w14:textId="77777777" w:rsidR="008009A5" w:rsidRDefault="008009A5" w:rsidP="00E51DD2">
            <w:pPr>
              <w:rPr>
                <w:rStyle w:val="Hyperlink"/>
              </w:rPr>
            </w:pPr>
            <w:r w:rsidRPr="00BC3C48">
              <w:rPr>
                <w:rFonts w:ascii="Corbel" w:hAnsi="Corbel"/>
                <w:b/>
                <w:bCs/>
              </w:rPr>
              <w:t>Watch</w:t>
            </w:r>
            <w:r w:rsidRPr="0086349D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 xml:space="preserve"> This new story about nurse Kaci Hickox who was put in mandatory quarantine after returning from Sierra Leone.  </w:t>
            </w:r>
            <w:r w:rsidRPr="0086349D">
              <w:rPr>
                <w:rFonts w:ascii="Corbel" w:hAnsi="Corbel"/>
              </w:rPr>
              <w:t xml:space="preserve"> </w:t>
            </w:r>
            <w:hyperlink r:id="rId10" w:history="1">
              <w:r w:rsidRPr="0086349D">
                <w:rPr>
                  <w:rStyle w:val="Hyperlink"/>
                  <w:rFonts w:ascii="Corbel" w:hAnsi="Corbel"/>
                </w:rPr>
                <w:t>https://www.wsj.com/video/does-nurse-kaci-hickox-have-a-case-against-maine/17A49CB5-4234-46E8-9724-6BFF34331858.html</w:t>
              </w:r>
            </w:hyperlink>
            <w:r>
              <w:rPr>
                <w:rStyle w:val="Hyperlink"/>
                <w:rFonts w:ascii="Corbel" w:hAnsi="Corbel"/>
              </w:rPr>
              <w:t xml:space="preserve"> </w:t>
            </w:r>
            <w:r>
              <w:rPr>
                <w:rStyle w:val="Hyperlink"/>
              </w:rPr>
              <w:t xml:space="preserve">(3.54).  </w:t>
            </w:r>
          </w:p>
          <w:p w14:paraId="458BD63C" w14:textId="77777777" w:rsidR="008009A5" w:rsidRDefault="008009A5" w:rsidP="00E51DD2">
            <w:pPr>
              <w:rPr>
                <w:rStyle w:val="Hyperlink"/>
              </w:rPr>
            </w:pPr>
          </w:p>
          <w:p w14:paraId="20A68C59" w14:textId="77777777" w:rsidR="008009A5" w:rsidRPr="0086349D" w:rsidRDefault="008009A5" w:rsidP="00E51DD2">
            <w:pPr>
              <w:rPr>
                <w:rStyle w:val="Hyperlink"/>
                <w:rFonts w:ascii="Corbel" w:hAnsi="Corbel"/>
              </w:rPr>
            </w:pPr>
            <w:r>
              <w:rPr>
                <w:rStyle w:val="Hyperlink"/>
              </w:rPr>
              <w:t>We will be learning a lot more about Ms. Hickox over the semester-do you think she acted reasonably?</w:t>
            </w:r>
          </w:p>
          <w:p w14:paraId="3062EFED" w14:textId="77777777" w:rsidR="008009A5" w:rsidRPr="00587738" w:rsidRDefault="008009A5" w:rsidP="00E51DD2">
            <w:pPr>
              <w:rPr>
                <w:rFonts w:ascii="Corbel" w:hAnsi="Corbel"/>
              </w:rPr>
            </w:pPr>
            <w:r w:rsidRPr="00587738">
              <w:rPr>
                <w:rFonts w:ascii="Corbel" w:hAnsi="Corbel"/>
              </w:rPr>
              <w:t>What legal rights is Ms. Hickox asserting?</w:t>
            </w:r>
          </w:p>
          <w:p w14:paraId="5E9B1669" w14:textId="77777777" w:rsidR="008009A5" w:rsidRPr="00587738" w:rsidRDefault="008009A5" w:rsidP="00E51DD2">
            <w:pPr>
              <w:rPr>
                <w:rFonts w:ascii="Corbel" w:hAnsi="Corbel"/>
              </w:rPr>
            </w:pPr>
            <w:r w:rsidRPr="00587738">
              <w:rPr>
                <w:rFonts w:ascii="Corbel" w:hAnsi="Corbel"/>
              </w:rPr>
              <w:t>Who is asserting jurisdiction over her freedom of movement?</w:t>
            </w:r>
          </w:p>
          <w:p w14:paraId="7EB7A6A3" w14:textId="77777777" w:rsidR="008009A5" w:rsidRPr="0086349D" w:rsidRDefault="008009A5" w:rsidP="00E51DD2">
            <w:pPr>
              <w:rPr>
                <w:rFonts w:ascii="Corbel" w:hAnsi="Corbel"/>
              </w:rPr>
            </w:pPr>
            <w:r w:rsidRPr="00587738">
              <w:rPr>
                <w:rFonts w:ascii="Corbel" w:hAnsi="Corbel"/>
              </w:rPr>
              <w:t>How did the state governments (New Jersey and Maine) balance the risk to the public versus Ms. Hickox’ liberty?</w:t>
            </w:r>
          </w:p>
          <w:p w14:paraId="6680BC04" w14:textId="77777777" w:rsidR="008009A5" w:rsidRPr="0086349D" w:rsidRDefault="008009A5" w:rsidP="00E51DD2">
            <w:pPr>
              <w:rPr>
                <w:rFonts w:ascii="Corbel" w:hAnsi="Corbel"/>
              </w:rPr>
            </w:pPr>
          </w:p>
        </w:tc>
      </w:tr>
    </w:tbl>
    <w:p w14:paraId="3950E1E2" w14:textId="77777777" w:rsidR="008009A5" w:rsidRDefault="008009A5"/>
    <w:sectPr w:rsidR="0080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4AF5"/>
    <w:multiLevelType w:val="hybridMultilevel"/>
    <w:tmpl w:val="E27EC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5E"/>
    <w:rsid w:val="0014215E"/>
    <w:rsid w:val="008009A5"/>
    <w:rsid w:val="00F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28F2"/>
  <w15:chartTrackingRefBased/>
  <w15:docId w15:val="{112F95B4-A4D7-43BB-89AF-BAEEEB7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09A5"/>
    <w:rPr>
      <w:color w:val="184091"/>
      <w:u w:val="single"/>
    </w:rPr>
  </w:style>
  <w:style w:type="table" w:styleId="TableGrid">
    <w:name w:val="Table Grid"/>
    <w:basedOn w:val="TableNormal"/>
    <w:uiPriority w:val="59"/>
    <w:rsid w:val="008009A5"/>
    <w:pPr>
      <w:spacing w:after="200" w:line="276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0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hlp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ha.org/-/media/files/pdf/factsheets/what_is_public_health_law_factsheet.ashx?la=en&amp;hash=7BCB29295AD654F171D55D4F9CF1A3D9DCF794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ha.org/what-is-public-healt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rd@uflaw.edu" TargetMode="External"/><Relationship Id="rId10" Type="http://schemas.openxmlformats.org/officeDocument/2006/relationships/hyperlink" Target="https://www.wsj.com/video/does-nurse-kaci-hickox-have-a-case-against-maine/17A49CB5-4234-46E8-9724-6BFF343318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favqthww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Bard,Jennifer Susan</dc:creator>
  <cp:keywords/>
  <dc:description/>
  <cp:lastModifiedBy>Reviewer</cp:lastModifiedBy>
  <cp:revision>2</cp:revision>
  <dcterms:created xsi:type="dcterms:W3CDTF">2019-08-13T14:49:00Z</dcterms:created>
  <dcterms:modified xsi:type="dcterms:W3CDTF">2019-08-13T14:49:00Z</dcterms:modified>
</cp:coreProperties>
</file>