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92B0B" w14:textId="599EF32F" w:rsidR="00AD1397" w:rsidRDefault="00AD1397" w:rsidP="00605184">
      <w:pPr>
        <w:pStyle w:val="Default"/>
        <w:jc w:val="center"/>
        <w:rPr>
          <w:rFonts w:cstheme="minorBidi"/>
          <w:color w:val="auto"/>
          <w:sz w:val="28"/>
          <w:szCs w:val="28"/>
        </w:rPr>
      </w:pPr>
      <w:r>
        <w:rPr>
          <w:rFonts w:cstheme="minorBidi"/>
          <w:b/>
          <w:bCs/>
          <w:color w:val="auto"/>
          <w:sz w:val="28"/>
          <w:szCs w:val="28"/>
        </w:rPr>
        <w:t>UNIVERSITY OF FLORIDA LEVIN COLLEGE OF LAW</w:t>
      </w:r>
    </w:p>
    <w:p w14:paraId="681514DE" w14:textId="41E431AF" w:rsidR="00AD1397" w:rsidRDefault="00AD1397" w:rsidP="00605184">
      <w:pPr>
        <w:pStyle w:val="Default"/>
        <w:jc w:val="center"/>
        <w:rPr>
          <w:rFonts w:cstheme="minorBidi"/>
          <w:color w:val="auto"/>
          <w:sz w:val="28"/>
          <w:szCs w:val="28"/>
        </w:rPr>
      </w:pPr>
      <w:r>
        <w:rPr>
          <w:rFonts w:cstheme="minorBidi"/>
          <w:b/>
          <w:bCs/>
          <w:color w:val="auto"/>
          <w:sz w:val="28"/>
          <w:szCs w:val="28"/>
        </w:rPr>
        <w:t>HEALTH CARE FINANCE AND DELIVERY</w:t>
      </w:r>
    </w:p>
    <w:p w14:paraId="77A6946E" w14:textId="77777777" w:rsidR="00605184" w:rsidRDefault="00605184" w:rsidP="00605184">
      <w:pPr>
        <w:pStyle w:val="Default"/>
        <w:jc w:val="center"/>
        <w:rPr>
          <w:rFonts w:cstheme="minorBidi"/>
          <w:b/>
          <w:bCs/>
          <w:color w:val="auto"/>
          <w:sz w:val="23"/>
          <w:szCs w:val="23"/>
        </w:rPr>
      </w:pPr>
    </w:p>
    <w:p w14:paraId="0BCE7A9E" w14:textId="19E81627" w:rsidR="00AD1397" w:rsidRPr="00605184" w:rsidRDefault="00AD1397" w:rsidP="00605184">
      <w:pPr>
        <w:pStyle w:val="Default"/>
        <w:jc w:val="center"/>
        <w:rPr>
          <w:rFonts w:cstheme="minorBidi"/>
          <w:color w:val="auto"/>
        </w:rPr>
      </w:pPr>
      <w:r w:rsidRPr="00605184">
        <w:rPr>
          <w:rFonts w:cstheme="minorBidi"/>
          <w:b/>
          <w:bCs/>
          <w:color w:val="auto"/>
        </w:rPr>
        <w:t>Syllabus LAW6721/Section 05F6</w:t>
      </w:r>
    </w:p>
    <w:p w14:paraId="0B42BD71" w14:textId="072AA32F" w:rsidR="00AD1397" w:rsidRPr="00605184" w:rsidRDefault="00AD1397" w:rsidP="00605184">
      <w:pPr>
        <w:pStyle w:val="Default"/>
        <w:jc w:val="center"/>
        <w:rPr>
          <w:rFonts w:cstheme="minorBidi"/>
          <w:color w:val="auto"/>
        </w:rPr>
      </w:pPr>
      <w:r w:rsidRPr="00605184">
        <w:rPr>
          <w:rFonts w:cstheme="minorBidi"/>
          <w:b/>
          <w:bCs/>
          <w:color w:val="auto"/>
        </w:rPr>
        <w:t>Spring 2019, Mondays, 5:00 pm – 6:40 pm, Room: 284</w:t>
      </w:r>
    </w:p>
    <w:p w14:paraId="1A6A5AD1" w14:textId="09C306C9" w:rsidR="00AD1397" w:rsidRPr="00605184" w:rsidRDefault="00AD1397" w:rsidP="00605184">
      <w:pPr>
        <w:pStyle w:val="Default"/>
        <w:jc w:val="center"/>
        <w:rPr>
          <w:rFonts w:cstheme="minorBidi"/>
          <w:b/>
          <w:bCs/>
          <w:color w:val="auto"/>
        </w:rPr>
      </w:pPr>
      <w:r w:rsidRPr="00605184">
        <w:rPr>
          <w:rFonts w:cstheme="minorBidi"/>
          <w:b/>
          <w:bCs/>
          <w:color w:val="auto"/>
        </w:rPr>
        <w:t>2 credits</w:t>
      </w:r>
    </w:p>
    <w:p w14:paraId="7D2AB154" w14:textId="77777777" w:rsidR="00EE0177" w:rsidRPr="00605184" w:rsidRDefault="00EE0177" w:rsidP="00EE0177">
      <w:pPr>
        <w:pStyle w:val="Default"/>
        <w:rPr>
          <w:rFonts w:cstheme="minorBidi"/>
          <w:color w:val="auto"/>
        </w:rPr>
      </w:pPr>
    </w:p>
    <w:p w14:paraId="69E1E690" w14:textId="77777777" w:rsidR="00AD1397" w:rsidRPr="00605184" w:rsidRDefault="00AD1397" w:rsidP="00EE0177">
      <w:pPr>
        <w:pStyle w:val="Default"/>
        <w:rPr>
          <w:rFonts w:cstheme="minorBidi"/>
          <w:color w:val="auto"/>
        </w:rPr>
      </w:pPr>
      <w:r w:rsidRPr="00605184">
        <w:rPr>
          <w:rFonts w:cstheme="minorBidi"/>
          <w:b/>
          <w:bCs/>
          <w:color w:val="auto"/>
        </w:rPr>
        <w:t xml:space="preserve">I. Course Objectives </w:t>
      </w:r>
    </w:p>
    <w:p w14:paraId="1A5716AE" w14:textId="77777777" w:rsidR="00AD1397" w:rsidRPr="00605184" w:rsidRDefault="00AD1397" w:rsidP="00EE0177">
      <w:pPr>
        <w:pStyle w:val="Default"/>
        <w:rPr>
          <w:color w:val="auto"/>
        </w:rPr>
      </w:pPr>
      <w:r w:rsidRPr="00605184">
        <w:rPr>
          <w:color w:val="auto"/>
        </w:rPr>
        <w:t>Thank you for signing up! This survey course is intended to be an introduction to health care law. The course shall be taught by a team of professional health care attorneys.</w:t>
      </w:r>
      <w:r w:rsidRPr="00605184">
        <w:rPr>
          <w:rStyle w:val="FootnoteReference"/>
          <w:color w:val="auto"/>
        </w:rPr>
        <w:footnoteReference w:id="1"/>
      </w:r>
      <w:r w:rsidRPr="00605184">
        <w:rPr>
          <w:color w:val="auto"/>
        </w:rPr>
        <w:t xml:space="preserve"> The course shall cover the following subject areas, including but not limited to: access to care, obligations to provide health care (including EMTALA); Florida medical consent law, end of life issues, private health insurance and managed care; Medicare and Medicaid; regulation of health care providers; staff privileges and hospital-physician contracts; the law of tax-exempt organizations, fraud and abuse laws, as well as mergers and acquisitions and the Patient Protection and Affordable Care Act, the reform of the health care industry. </w:t>
      </w:r>
    </w:p>
    <w:p w14:paraId="1A0DC810" w14:textId="77777777" w:rsidR="00EE0177" w:rsidRPr="00605184" w:rsidRDefault="00EE0177" w:rsidP="00EE0177">
      <w:pPr>
        <w:pStyle w:val="Default"/>
        <w:rPr>
          <w:b/>
          <w:bCs/>
          <w:color w:val="auto"/>
        </w:rPr>
      </w:pPr>
    </w:p>
    <w:p w14:paraId="1DC0BFCB" w14:textId="77777777" w:rsidR="00AD1397" w:rsidRPr="00605184" w:rsidRDefault="00AD1397" w:rsidP="00EE0177">
      <w:pPr>
        <w:pStyle w:val="Default"/>
        <w:rPr>
          <w:color w:val="auto"/>
        </w:rPr>
      </w:pPr>
      <w:r w:rsidRPr="00605184">
        <w:rPr>
          <w:b/>
          <w:bCs/>
          <w:color w:val="auto"/>
        </w:rPr>
        <w:t xml:space="preserve">II. Externship Selection Incentive! </w:t>
      </w:r>
    </w:p>
    <w:p w14:paraId="068A8825" w14:textId="77777777" w:rsidR="00AD1397" w:rsidRPr="00605184" w:rsidRDefault="00AD1397" w:rsidP="00EE0177">
      <w:pPr>
        <w:pStyle w:val="Default"/>
        <w:rPr>
          <w:color w:val="auto"/>
        </w:rPr>
      </w:pPr>
      <w:r w:rsidRPr="00605184">
        <w:rPr>
          <w:color w:val="auto"/>
        </w:rPr>
        <w:t xml:space="preserve">Students who take this course and show exceptional participation shall have a priority in competing for an externship placement at the UF Health office of </w:t>
      </w:r>
      <w:r w:rsidRPr="00605184">
        <w:rPr>
          <w:color w:val="auto"/>
        </w:rPr>
        <w:lastRenderedPageBreak/>
        <w:t xml:space="preserve">the UF Vice President and General Counsel and at UF Health Shands Legal Services. </w:t>
      </w:r>
    </w:p>
    <w:p w14:paraId="0B95AC2A" w14:textId="77777777" w:rsidR="00EE0177" w:rsidRPr="00605184" w:rsidRDefault="00EE0177" w:rsidP="00EE0177">
      <w:pPr>
        <w:pStyle w:val="Default"/>
        <w:rPr>
          <w:b/>
          <w:bCs/>
          <w:color w:val="auto"/>
        </w:rPr>
      </w:pPr>
    </w:p>
    <w:p w14:paraId="07FA8DFE" w14:textId="77777777" w:rsidR="00AD1397" w:rsidRPr="00605184" w:rsidRDefault="00AD1397" w:rsidP="00EE0177">
      <w:pPr>
        <w:pStyle w:val="Default"/>
        <w:rPr>
          <w:color w:val="auto"/>
        </w:rPr>
      </w:pPr>
      <w:r w:rsidRPr="00605184">
        <w:rPr>
          <w:b/>
          <w:bCs/>
          <w:color w:val="auto"/>
        </w:rPr>
        <w:t xml:space="preserve">III. Required and recommended textbooks and other course materials </w:t>
      </w:r>
    </w:p>
    <w:p w14:paraId="32260EBC" w14:textId="77777777" w:rsidR="00AD1397" w:rsidRPr="00605184" w:rsidRDefault="00AD1397" w:rsidP="00EE0177">
      <w:pPr>
        <w:pStyle w:val="Default"/>
        <w:rPr>
          <w:color w:val="auto"/>
        </w:rPr>
      </w:pPr>
      <w:r w:rsidRPr="00605184">
        <w:rPr>
          <w:color w:val="auto"/>
        </w:rPr>
        <w:t xml:space="preserve">The required texts for this course are: </w:t>
      </w:r>
    </w:p>
    <w:p w14:paraId="79100461" w14:textId="2DEC00D5" w:rsidR="00AD1397" w:rsidRPr="00605184" w:rsidRDefault="00AD1397" w:rsidP="00EE0177">
      <w:pPr>
        <w:pStyle w:val="Default"/>
        <w:ind w:left="720"/>
        <w:rPr>
          <w:color w:val="auto"/>
        </w:rPr>
      </w:pPr>
      <w:r w:rsidRPr="00605184">
        <w:rPr>
          <w:iCs/>
          <w:color w:val="auto"/>
        </w:rPr>
        <w:sym w:font="Symbol" w:char="F0A8"/>
      </w:r>
      <w:r w:rsidRPr="00605184">
        <w:rPr>
          <w:iCs/>
          <w:color w:val="auto"/>
        </w:rPr>
        <w:t xml:space="preserve">  </w:t>
      </w:r>
      <w:r w:rsidRPr="00605184">
        <w:rPr>
          <w:i/>
          <w:iCs/>
          <w:color w:val="auto"/>
        </w:rPr>
        <w:t xml:space="preserve">The Law of Health Care Organization and Finance </w:t>
      </w:r>
      <w:r w:rsidRPr="00605184">
        <w:rPr>
          <w:color w:val="auto"/>
        </w:rPr>
        <w:t>(8th Edition) (Thomson/West 201</w:t>
      </w:r>
      <w:r w:rsidR="00605184" w:rsidRPr="00605184">
        <w:rPr>
          <w:color w:val="auto"/>
        </w:rPr>
        <w:t>8</w:t>
      </w:r>
      <w:r w:rsidRPr="00605184">
        <w:rPr>
          <w:color w:val="auto"/>
        </w:rPr>
        <w:t>) by Furrow, Greaney, Johnson, Jost and Schwartz; ISBN- 978-</w:t>
      </w:r>
      <w:r w:rsidR="00EE0177" w:rsidRPr="00605184">
        <w:rPr>
          <w:color w:val="auto"/>
        </w:rPr>
        <w:t>1-68328-864-0</w:t>
      </w:r>
      <w:r w:rsidRPr="00605184">
        <w:rPr>
          <w:color w:val="auto"/>
        </w:rPr>
        <w:t xml:space="preserve"> </w:t>
      </w:r>
    </w:p>
    <w:p w14:paraId="76850561" w14:textId="77777777" w:rsidR="00AD1397" w:rsidRPr="00605184" w:rsidRDefault="00AD1397" w:rsidP="00EE0177">
      <w:pPr>
        <w:pStyle w:val="Default"/>
        <w:ind w:left="720"/>
        <w:rPr>
          <w:color w:val="auto"/>
        </w:rPr>
      </w:pPr>
      <w:r w:rsidRPr="00605184">
        <w:rPr>
          <w:iCs/>
          <w:color w:val="auto"/>
        </w:rPr>
        <w:sym w:font="Symbol" w:char="F0A8"/>
      </w:r>
      <w:r w:rsidRPr="00605184">
        <w:rPr>
          <w:iCs/>
          <w:color w:val="auto"/>
        </w:rPr>
        <w:t xml:space="preserve">  </w:t>
      </w:r>
      <w:r w:rsidRPr="00605184">
        <w:rPr>
          <w:color w:val="auto"/>
        </w:rPr>
        <w:t xml:space="preserve">In addition, supplemental materials and problems will be posted on the TWEN site for this course. </w:t>
      </w:r>
    </w:p>
    <w:p w14:paraId="682C5C16" w14:textId="77777777" w:rsidR="00AD1397" w:rsidRPr="00605184" w:rsidRDefault="00AD1397" w:rsidP="00EE0177">
      <w:pPr>
        <w:pStyle w:val="Default"/>
        <w:rPr>
          <w:color w:val="auto"/>
        </w:rPr>
      </w:pPr>
    </w:p>
    <w:p w14:paraId="08D5AFF5" w14:textId="77777777" w:rsidR="00AD1397" w:rsidRPr="00605184" w:rsidRDefault="00AD1397" w:rsidP="00EE0177">
      <w:pPr>
        <w:pStyle w:val="Default"/>
        <w:rPr>
          <w:color w:val="auto"/>
        </w:rPr>
      </w:pPr>
      <w:r w:rsidRPr="00605184">
        <w:rPr>
          <w:b/>
          <w:bCs/>
          <w:color w:val="auto"/>
        </w:rPr>
        <w:t xml:space="preserve">IV. Evaluation </w:t>
      </w:r>
    </w:p>
    <w:p w14:paraId="08CBF611" w14:textId="77777777" w:rsidR="00AD1397" w:rsidRPr="00605184" w:rsidRDefault="00AD1397" w:rsidP="00EE0177">
      <w:pPr>
        <w:pStyle w:val="Default"/>
        <w:rPr>
          <w:color w:val="auto"/>
        </w:rPr>
      </w:pPr>
      <w:r w:rsidRPr="00605184">
        <w:rPr>
          <w:color w:val="auto"/>
        </w:rPr>
        <w:t>Your course grade shall be based primarily on the final exam. Your participation is encouraged and may raise your grade by one grade level (i.e. B to A-). Conversely, your lack of preparation and participation during class may lower your grade by one grade level (i.e. from A- to B). Information on UF Law grading policies is available at: http://www.law.ufl.edu.</w:t>
      </w:r>
      <w:r w:rsidRPr="00605184">
        <w:rPr>
          <w:rFonts w:ascii="Times New Roman" w:hAnsi="Times New Roman" w:cs="Times New Roman"/>
          <w:color w:val="auto"/>
        </w:rPr>
        <w:t xml:space="preserve">  </w:t>
      </w:r>
    </w:p>
    <w:p w14:paraId="13AB9629" w14:textId="77777777" w:rsidR="00AD1397" w:rsidRPr="00605184" w:rsidRDefault="00AD1397" w:rsidP="00EE0177">
      <w:pPr>
        <w:pStyle w:val="Defaul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AD1397" w:rsidRPr="00605184" w14:paraId="2D0B18CC" w14:textId="77777777" w:rsidTr="00AD1397">
        <w:tc>
          <w:tcPr>
            <w:tcW w:w="1558" w:type="dxa"/>
          </w:tcPr>
          <w:p w14:paraId="38AC6E46" w14:textId="77777777" w:rsidR="00AD1397" w:rsidRPr="00605184" w:rsidRDefault="00AD1397" w:rsidP="00EE0177">
            <w:pPr>
              <w:pStyle w:val="Default"/>
              <w:rPr>
                <w:color w:val="auto"/>
              </w:rPr>
            </w:pPr>
            <w:r w:rsidRPr="00605184">
              <w:rPr>
                <w:color w:val="auto"/>
              </w:rPr>
              <w:t>Grade</w:t>
            </w:r>
          </w:p>
        </w:tc>
        <w:tc>
          <w:tcPr>
            <w:tcW w:w="1558" w:type="dxa"/>
          </w:tcPr>
          <w:p w14:paraId="4A0F42EE" w14:textId="77777777" w:rsidR="00AD1397" w:rsidRPr="00605184" w:rsidRDefault="00AD1397" w:rsidP="00EE0177">
            <w:pPr>
              <w:pStyle w:val="Default"/>
              <w:rPr>
                <w:color w:val="auto"/>
              </w:rPr>
            </w:pPr>
            <w:r w:rsidRPr="00605184">
              <w:rPr>
                <w:color w:val="auto"/>
              </w:rPr>
              <w:t>Points</w:t>
            </w:r>
          </w:p>
        </w:tc>
        <w:tc>
          <w:tcPr>
            <w:tcW w:w="1558" w:type="dxa"/>
          </w:tcPr>
          <w:p w14:paraId="46877396" w14:textId="77777777" w:rsidR="00AD1397" w:rsidRPr="00605184" w:rsidRDefault="00AD1397" w:rsidP="00EE0177">
            <w:pPr>
              <w:pStyle w:val="Default"/>
              <w:rPr>
                <w:color w:val="auto"/>
              </w:rPr>
            </w:pPr>
            <w:r w:rsidRPr="00605184">
              <w:rPr>
                <w:color w:val="auto"/>
              </w:rPr>
              <w:t>Grade</w:t>
            </w:r>
          </w:p>
        </w:tc>
        <w:tc>
          <w:tcPr>
            <w:tcW w:w="1558" w:type="dxa"/>
          </w:tcPr>
          <w:p w14:paraId="556A1423" w14:textId="77777777" w:rsidR="00AD1397" w:rsidRPr="00605184" w:rsidRDefault="00AD1397" w:rsidP="00EE0177">
            <w:pPr>
              <w:pStyle w:val="Default"/>
              <w:rPr>
                <w:color w:val="auto"/>
              </w:rPr>
            </w:pPr>
            <w:r w:rsidRPr="00605184">
              <w:rPr>
                <w:color w:val="auto"/>
              </w:rPr>
              <w:t>Points</w:t>
            </w:r>
          </w:p>
        </w:tc>
        <w:tc>
          <w:tcPr>
            <w:tcW w:w="1559" w:type="dxa"/>
          </w:tcPr>
          <w:p w14:paraId="619369F7" w14:textId="77777777" w:rsidR="00AD1397" w:rsidRPr="00605184" w:rsidRDefault="00AD1397" w:rsidP="00EE0177">
            <w:pPr>
              <w:pStyle w:val="Default"/>
              <w:rPr>
                <w:color w:val="auto"/>
              </w:rPr>
            </w:pPr>
            <w:r w:rsidRPr="00605184">
              <w:rPr>
                <w:color w:val="auto"/>
              </w:rPr>
              <w:t xml:space="preserve">Grade </w:t>
            </w:r>
          </w:p>
        </w:tc>
        <w:tc>
          <w:tcPr>
            <w:tcW w:w="1559" w:type="dxa"/>
          </w:tcPr>
          <w:p w14:paraId="6F550E1B" w14:textId="77777777" w:rsidR="00AD1397" w:rsidRPr="00605184" w:rsidRDefault="00AD1397" w:rsidP="00EE0177">
            <w:pPr>
              <w:pStyle w:val="Default"/>
              <w:rPr>
                <w:color w:val="auto"/>
              </w:rPr>
            </w:pPr>
            <w:r w:rsidRPr="00605184">
              <w:rPr>
                <w:color w:val="auto"/>
              </w:rPr>
              <w:t>Points</w:t>
            </w:r>
          </w:p>
        </w:tc>
      </w:tr>
      <w:tr w:rsidR="00AD1397" w:rsidRPr="00605184" w14:paraId="69089B52" w14:textId="77777777" w:rsidTr="00AD1397">
        <w:tc>
          <w:tcPr>
            <w:tcW w:w="1558" w:type="dxa"/>
          </w:tcPr>
          <w:p w14:paraId="1DC30EAC" w14:textId="77777777" w:rsidR="00AD1397" w:rsidRPr="00605184" w:rsidRDefault="00AD1397" w:rsidP="00EE0177">
            <w:pPr>
              <w:pStyle w:val="Default"/>
              <w:rPr>
                <w:color w:val="auto"/>
              </w:rPr>
            </w:pPr>
            <w:r w:rsidRPr="00605184">
              <w:rPr>
                <w:color w:val="auto"/>
              </w:rPr>
              <w:t>A (Excellent)</w:t>
            </w:r>
          </w:p>
        </w:tc>
        <w:tc>
          <w:tcPr>
            <w:tcW w:w="1558" w:type="dxa"/>
          </w:tcPr>
          <w:p w14:paraId="5F1697AD" w14:textId="77777777" w:rsidR="00AD1397" w:rsidRPr="00605184" w:rsidRDefault="00AD1397" w:rsidP="00EE0177">
            <w:pPr>
              <w:pStyle w:val="Default"/>
              <w:rPr>
                <w:color w:val="auto"/>
              </w:rPr>
            </w:pPr>
            <w:r w:rsidRPr="00605184">
              <w:rPr>
                <w:color w:val="auto"/>
              </w:rPr>
              <w:t>4.0</w:t>
            </w:r>
          </w:p>
        </w:tc>
        <w:tc>
          <w:tcPr>
            <w:tcW w:w="1558" w:type="dxa"/>
          </w:tcPr>
          <w:p w14:paraId="00C5B4B9" w14:textId="77777777" w:rsidR="00AD1397" w:rsidRPr="00605184" w:rsidRDefault="00AD1397" w:rsidP="00EE0177">
            <w:pPr>
              <w:pStyle w:val="Default"/>
              <w:rPr>
                <w:color w:val="auto"/>
              </w:rPr>
            </w:pPr>
            <w:r w:rsidRPr="00605184">
              <w:rPr>
                <w:color w:val="auto"/>
              </w:rPr>
              <w:t>C+</w:t>
            </w:r>
          </w:p>
        </w:tc>
        <w:tc>
          <w:tcPr>
            <w:tcW w:w="1558" w:type="dxa"/>
          </w:tcPr>
          <w:p w14:paraId="3BB2CDC3" w14:textId="77777777" w:rsidR="00AD1397" w:rsidRPr="00605184" w:rsidRDefault="00AD1397" w:rsidP="00EE0177">
            <w:pPr>
              <w:pStyle w:val="Default"/>
              <w:rPr>
                <w:color w:val="auto"/>
              </w:rPr>
            </w:pPr>
            <w:r w:rsidRPr="00605184">
              <w:rPr>
                <w:color w:val="auto"/>
              </w:rPr>
              <w:t>2.33</w:t>
            </w:r>
          </w:p>
        </w:tc>
        <w:tc>
          <w:tcPr>
            <w:tcW w:w="1559" w:type="dxa"/>
          </w:tcPr>
          <w:p w14:paraId="558C804A" w14:textId="77777777" w:rsidR="00AD1397" w:rsidRPr="00605184" w:rsidRDefault="00AD1397" w:rsidP="00EE0177">
            <w:pPr>
              <w:pStyle w:val="Default"/>
              <w:rPr>
                <w:color w:val="auto"/>
              </w:rPr>
            </w:pPr>
            <w:r w:rsidRPr="00605184">
              <w:rPr>
                <w:color w:val="auto"/>
              </w:rPr>
              <w:t>D-</w:t>
            </w:r>
          </w:p>
        </w:tc>
        <w:tc>
          <w:tcPr>
            <w:tcW w:w="1559" w:type="dxa"/>
          </w:tcPr>
          <w:p w14:paraId="0A228302" w14:textId="77777777" w:rsidR="00AD1397" w:rsidRPr="00605184" w:rsidRDefault="00AD1397" w:rsidP="00EE0177">
            <w:pPr>
              <w:pStyle w:val="Default"/>
              <w:rPr>
                <w:color w:val="auto"/>
              </w:rPr>
            </w:pPr>
            <w:r w:rsidRPr="00605184">
              <w:rPr>
                <w:color w:val="auto"/>
              </w:rPr>
              <w:t>0.67</w:t>
            </w:r>
          </w:p>
        </w:tc>
      </w:tr>
      <w:tr w:rsidR="00AD1397" w:rsidRPr="00605184" w14:paraId="2CABC772" w14:textId="77777777" w:rsidTr="00AD1397">
        <w:tc>
          <w:tcPr>
            <w:tcW w:w="1558" w:type="dxa"/>
          </w:tcPr>
          <w:p w14:paraId="0A3B9074" w14:textId="77777777" w:rsidR="00AD1397" w:rsidRPr="00605184" w:rsidRDefault="00AD1397" w:rsidP="00EE0177">
            <w:pPr>
              <w:pStyle w:val="Default"/>
              <w:rPr>
                <w:color w:val="auto"/>
              </w:rPr>
            </w:pPr>
            <w:r w:rsidRPr="00605184">
              <w:rPr>
                <w:color w:val="auto"/>
              </w:rPr>
              <w:t>A-</w:t>
            </w:r>
          </w:p>
        </w:tc>
        <w:tc>
          <w:tcPr>
            <w:tcW w:w="1558" w:type="dxa"/>
          </w:tcPr>
          <w:p w14:paraId="2A2168B1" w14:textId="77777777" w:rsidR="00AD1397" w:rsidRPr="00605184" w:rsidRDefault="00AD1397" w:rsidP="00EE0177">
            <w:pPr>
              <w:pStyle w:val="Default"/>
              <w:rPr>
                <w:color w:val="auto"/>
              </w:rPr>
            </w:pPr>
            <w:r w:rsidRPr="00605184">
              <w:rPr>
                <w:color w:val="auto"/>
              </w:rPr>
              <w:t>3.67</w:t>
            </w:r>
          </w:p>
        </w:tc>
        <w:tc>
          <w:tcPr>
            <w:tcW w:w="1558" w:type="dxa"/>
          </w:tcPr>
          <w:p w14:paraId="5EBA0AC4" w14:textId="77777777" w:rsidR="00AD1397" w:rsidRPr="00605184" w:rsidRDefault="00AD1397" w:rsidP="00EE0177">
            <w:pPr>
              <w:pStyle w:val="Default"/>
              <w:rPr>
                <w:color w:val="auto"/>
              </w:rPr>
            </w:pPr>
            <w:r w:rsidRPr="00605184">
              <w:rPr>
                <w:color w:val="auto"/>
              </w:rPr>
              <w:t>C</w:t>
            </w:r>
          </w:p>
        </w:tc>
        <w:tc>
          <w:tcPr>
            <w:tcW w:w="1558" w:type="dxa"/>
          </w:tcPr>
          <w:p w14:paraId="223BF173" w14:textId="77777777" w:rsidR="00AD1397" w:rsidRPr="00605184" w:rsidRDefault="00AD1397" w:rsidP="00EE0177">
            <w:pPr>
              <w:pStyle w:val="Default"/>
              <w:rPr>
                <w:color w:val="auto"/>
              </w:rPr>
            </w:pPr>
            <w:r w:rsidRPr="00605184">
              <w:rPr>
                <w:color w:val="auto"/>
              </w:rPr>
              <w:t>2.00</w:t>
            </w:r>
          </w:p>
        </w:tc>
        <w:tc>
          <w:tcPr>
            <w:tcW w:w="1559" w:type="dxa"/>
          </w:tcPr>
          <w:p w14:paraId="70AA7FFF" w14:textId="77777777" w:rsidR="00AD1397" w:rsidRPr="00605184" w:rsidRDefault="00AD1397" w:rsidP="00EE0177">
            <w:pPr>
              <w:pStyle w:val="Default"/>
              <w:rPr>
                <w:color w:val="auto"/>
              </w:rPr>
            </w:pPr>
            <w:r w:rsidRPr="00605184">
              <w:rPr>
                <w:color w:val="auto"/>
              </w:rPr>
              <w:t>E (Failure)</w:t>
            </w:r>
          </w:p>
        </w:tc>
        <w:tc>
          <w:tcPr>
            <w:tcW w:w="1559" w:type="dxa"/>
          </w:tcPr>
          <w:p w14:paraId="57FD54D1" w14:textId="77777777" w:rsidR="00AD1397" w:rsidRPr="00605184" w:rsidRDefault="00AD1397" w:rsidP="00EE0177">
            <w:pPr>
              <w:pStyle w:val="Default"/>
              <w:rPr>
                <w:color w:val="auto"/>
              </w:rPr>
            </w:pPr>
            <w:r w:rsidRPr="00605184">
              <w:rPr>
                <w:color w:val="auto"/>
              </w:rPr>
              <w:t>0</w:t>
            </w:r>
          </w:p>
        </w:tc>
      </w:tr>
      <w:tr w:rsidR="00AD1397" w:rsidRPr="00605184" w14:paraId="5AE2F213" w14:textId="77777777" w:rsidTr="00AD1397">
        <w:tc>
          <w:tcPr>
            <w:tcW w:w="1558" w:type="dxa"/>
          </w:tcPr>
          <w:p w14:paraId="550F1B02" w14:textId="77777777" w:rsidR="00AD1397" w:rsidRPr="00605184" w:rsidRDefault="00AD1397" w:rsidP="00EE0177">
            <w:pPr>
              <w:pStyle w:val="Default"/>
              <w:rPr>
                <w:color w:val="auto"/>
              </w:rPr>
            </w:pPr>
            <w:r w:rsidRPr="00605184">
              <w:rPr>
                <w:color w:val="auto"/>
              </w:rPr>
              <w:t>B+</w:t>
            </w:r>
          </w:p>
        </w:tc>
        <w:tc>
          <w:tcPr>
            <w:tcW w:w="1558" w:type="dxa"/>
          </w:tcPr>
          <w:p w14:paraId="3F8BF737" w14:textId="77777777" w:rsidR="00AD1397" w:rsidRPr="00605184" w:rsidRDefault="00AD1397" w:rsidP="00EE0177">
            <w:pPr>
              <w:pStyle w:val="Default"/>
              <w:rPr>
                <w:color w:val="auto"/>
              </w:rPr>
            </w:pPr>
            <w:r w:rsidRPr="00605184">
              <w:rPr>
                <w:color w:val="auto"/>
              </w:rPr>
              <w:t>3.33</w:t>
            </w:r>
          </w:p>
        </w:tc>
        <w:tc>
          <w:tcPr>
            <w:tcW w:w="1558" w:type="dxa"/>
          </w:tcPr>
          <w:p w14:paraId="7797CA80" w14:textId="77777777" w:rsidR="00AD1397" w:rsidRPr="00605184" w:rsidRDefault="00AD1397" w:rsidP="00EE0177">
            <w:pPr>
              <w:pStyle w:val="Default"/>
              <w:rPr>
                <w:color w:val="auto"/>
              </w:rPr>
            </w:pPr>
            <w:r w:rsidRPr="00605184">
              <w:rPr>
                <w:color w:val="auto"/>
              </w:rPr>
              <w:t>C-</w:t>
            </w:r>
          </w:p>
        </w:tc>
        <w:tc>
          <w:tcPr>
            <w:tcW w:w="1558" w:type="dxa"/>
          </w:tcPr>
          <w:p w14:paraId="15408252" w14:textId="77777777" w:rsidR="00AD1397" w:rsidRPr="00605184" w:rsidRDefault="00AD1397" w:rsidP="00EE0177">
            <w:pPr>
              <w:pStyle w:val="Default"/>
              <w:rPr>
                <w:color w:val="auto"/>
              </w:rPr>
            </w:pPr>
            <w:r w:rsidRPr="00605184">
              <w:rPr>
                <w:color w:val="auto"/>
              </w:rPr>
              <w:t>1.67</w:t>
            </w:r>
          </w:p>
        </w:tc>
        <w:tc>
          <w:tcPr>
            <w:tcW w:w="1559" w:type="dxa"/>
          </w:tcPr>
          <w:p w14:paraId="66D433F7" w14:textId="77777777" w:rsidR="00AD1397" w:rsidRPr="00605184" w:rsidRDefault="00AD1397" w:rsidP="00EE0177">
            <w:pPr>
              <w:pStyle w:val="Default"/>
              <w:rPr>
                <w:color w:val="auto"/>
              </w:rPr>
            </w:pPr>
          </w:p>
        </w:tc>
        <w:tc>
          <w:tcPr>
            <w:tcW w:w="1559" w:type="dxa"/>
          </w:tcPr>
          <w:p w14:paraId="75DA8310" w14:textId="77777777" w:rsidR="00AD1397" w:rsidRPr="00605184" w:rsidRDefault="00AD1397" w:rsidP="00EE0177">
            <w:pPr>
              <w:pStyle w:val="Default"/>
              <w:rPr>
                <w:color w:val="auto"/>
              </w:rPr>
            </w:pPr>
          </w:p>
        </w:tc>
      </w:tr>
      <w:tr w:rsidR="00AD1397" w:rsidRPr="00605184" w14:paraId="2CC74C1E" w14:textId="77777777" w:rsidTr="00AD1397">
        <w:tc>
          <w:tcPr>
            <w:tcW w:w="1558" w:type="dxa"/>
          </w:tcPr>
          <w:p w14:paraId="4F6DA715" w14:textId="77777777" w:rsidR="00AD1397" w:rsidRPr="00605184" w:rsidRDefault="00AD1397" w:rsidP="00EE0177">
            <w:pPr>
              <w:pStyle w:val="Default"/>
              <w:rPr>
                <w:color w:val="auto"/>
              </w:rPr>
            </w:pPr>
            <w:r w:rsidRPr="00605184">
              <w:rPr>
                <w:color w:val="auto"/>
              </w:rPr>
              <w:t>B (Good)</w:t>
            </w:r>
          </w:p>
        </w:tc>
        <w:tc>
          <w:tcPr>
            <w:tcW w:w="1558" w:type="dxa"/>
          </w:tcPr>
          <w:p w14:paraId="3CAFA4D9" w14:textId="77777777" w:rsidR="00AD1397" w:rsidRPr="00605184" w:rsidRDefault="00AD1397" w:rsidP="00EE0177">
            <w:pPr>
              <w:pStyle w:val="Default"/>
              <w:rPr>
                <w:color w:val="auto"/>
              </w:rPr>
            </w:pPr>
            <w:r w:rsidRPr="00605184">
              <w:rPr>
                <w:color w:val="auto"/>
              </w:rPr>
              <w:t xml:space="preserve">3.0 </w:t>
            </w:r>
          </w:p>
        </w:tc>
        <w:tc>
          <w:tcPr>
            <w:tcW w:w="1558" w:type="dxa"/>
          </w:tcPr>
          <w:p w14:paraId="3953F8F7" w14:textId="77777777" w:rsidR="00AD1397" w:rsidRPr="00605184" w:rsidRDefault="00AD1397" w:rsidP="00EE0177">
            <w:pPr>
              <w:pStyle w:val="Default"/>
              <w:rPr>
                <w:color w:val="auto"/>
              </w:rPr>
            </w:pPr>
            <w:r w:rsidRPr="00605184">
              <w:rPr>
                <w:color w:val="auto"/>
              </w:rPr>
              <w:t>D+</w:t>
            </w:r>
          </w:p>
        </w:tc>
        <w:tc>
          <w:tcPr>
            <w:tcW w:w="1558" w:type="dxa"/>
          </w:tcPr>
          <w:p w14:paraId="6582F74A" w14:textId="77777777" w:rsidR="00AD1397" w:rsidRPr="00605184" w:rsidRDefault="00AD1397" w:rsidP="00EE0177">
            <w:pPr>
              <w:pStyle w:val="Default"/>
              <w:rPr>
                <w:color w:val="auto"/>
              </w:rPr>
            </w:pPr>
            <w:r w:rsidRPr="00605184">
              <w:rPr>
                <w:color w:val="auto"/>
              </w:rPr>
              <w:t>1.33</w:t>
            </w:r>
          </w:p>
        </w:tc>
        <w:tc>
          <w:tcPr>
            <w:tcW w:w="1559" w:type="dxa"/>
          </w:tcPr>
          <w:p w14:paraId="6C55D0BC" w14:textId="77777777" w:rsidR="00AD1397" w:rsidRPr="00605184" w:rsidRDefault="00AD1397" w:rsidP="00EE0177">
            <w:pPr>
              <w:pStyle w:val="Default"/>
              <w:rPr>
                <w:color w:val="auto"/>
              </w:rPr>
            </w:pPr>
          </w:p>
        </w:tc>
        <w:tc>
          <w:tcPr>
            <w:tcW w:w="1559" w:type="dxa"/>
          </w:tcPr>
          <w:p w14:paraId="3335A9FE" w14:textId="77777777" w:rsidR="00AD1397" w:rsidRPr="00605184" w:rsidRDefault="00AD1397" w:rsidP="00EE0177">
            <w:pPr>
              <w:pStyle w:val="Default"/>
              <w:rPr>
                <w:color w:val="auto"/>
              </w:rPr>
            </w:pPr>
          </w:p>
        </w:tc>
      </w:tr>
      <w:tr w:rsidR="00AD1397" w:rsidRPr="00605184" w14:paraId="3C30E6C7" w14:textId="77777777" w:rsidTr="00AD1397">
        <w:tc>
          <w:tcPr>
            <w:tcW w:w="1558" w:type="dxa"/>
          </w:tcPr>
          <w:p w14:paraId="74BFE261" w14:textId="77777777" w:rsidR="00AD1397" w:rsidRPr="00605184" w:rsidRDefault="00AD1397" w:rsidP="00EE0177">
            <w:pPr>
              <w:pStyle w:val="Default"/>
              <w:rPr>
                <w:color w:val="auto"/>
              </w:rPr>
            </w:pPr>
            <w:r w:rsidRPr="00605184">
              <w:rPr>
                <w:color w:val="auto"/>
              </w:rPr>
              <w:t>B-</w:t>
            </w:r>
          </w:p>
        </w:tc>
        <w:tc>
          <w:tcPr>
            <w:tcW w:w="1558" w:type="dxa"/>
          </w:tcPr>
          <w:p w14:paraId="005C8805" w14:textId="77777777" w:rsidR="00AD1397" w:rsidRPr="00605184" w:rsidRDefault="00AD1397" w:rsidP="00EE0177">
            <w:pPr>
              <w:pStyle w:val="Default"/>
              <w:rPr>
                <w:color w:val="auto"/>
              </w:rPr>
            </w:pPr>
            <w:r w:rsidRPr="00605184">
              <w:rPr>
                <w:color w:val="auto"/>
              </w:rPr>
              <w:t>2.67</w:t>
            </w:r>
          </w:p>
        </w:tc>
        <w:tc>
          <w:tcPr>
            <w:tcW w:w="1558" w:type="dxa"/>
          </w:tcPr>
          <w:p w14:paraId="78DAE721" w14:textId="77777777" w:rsidR="00AD1397" w:rsidRPr="00605184" w:rsidRDefault="00AD1397" w:rsidP="00EE0177">
            <w:pPr>
              <w:pStyle w:val="Default"/>
              <w:rPr>
                <w:color w:val="auto"/>
              </w:rPr>
            </w:pPr>
            <w:r w:rsidRPr="00605184">
              <w:rPr>
                <w:color w:val="auto"/>
              </w:rPr>
              <w:t>D</w:t>
            </w:r>
          </w:p>
        </w:tc>
        <w:tc>
          <w:tcPr>
            <w:tcW w:w="1558" w:type="dxa"/>
          </w:tcPr>
          <w:p w14:paraId="00E1C97D" w14:textId="77777777" w:rsidR="00AD1397" w:rsidRPr="00605184" w:rsidRDefault="00AD1397" w:rsidP="00EE0177">
            <w:pPr>
              <w:pStyle w:val="Default"/>
              <w:rPr>
                <w:color w:val="auto"/>
              </w:rPr>
            </w:pPr>
            <w:r w:rsidRPr="00605184">
              <w:rPr>
                <w:color w:val="auto"/>
              </w:rPr>
              <w:t>1.00</w:t>
            </w:r>
          </w:p>
        </w:tc>
        <w:tc>
          <w:tcPr>
            <w:tcW w:w="1559" w:type="dxa"/>
          </w:tcPr>
          <w:p w14:paraId="70FB82DE" w14:textId="77777777" w:rsidR="00AD1397" w:rsidRPr="00605184" w:rsidRDefault="00AD1397" w:rsidP="00EE0177">
            <w:pPr>
              <w:pStyle w:val="Default"/>
              <w:rPr>
                <w:color w:val="auto"/>
              </w:rPr>
            </w:pPr>
          </w:p>
        </w:tc>
        <w:tc>
          <w:tcPr>
            <w:tcW w:w="1559" w:type="dxa"/>
          </w:tcPr>
          <w:p w14:paraId="7BD88345" w14:textId="77777777" w:rsidR="00AD1397" w:rsidRPr="00605184" w:rsidRDefault="00AD1397" w:rsidP="00EE0177">
            <w:pPr>
              <w:pStyle w:val="Default"/>
              <w:rPr>
                <w:color w:val="auto"/>
              </w:rPr>
            </w:pPr>
          </w:p>
        </w:tc>
      </w:tr>
    </w:tbl>
    <w:p w14:paraId="3B122BBF" w14:textId="77777777" w:rsidR="00AD1397" w:rsidRPr="00605184" w:rsidRDefault="00AD1397" w:rsidP="00EE0177">
      <w:pPr>
        <w:pStyle w:val="Default"/>
        <w:rPr>
          <w:color w:val="auto"/>
        </w:rPr>
      </w:pPr>
    </w:p>
    <w:p w14:paraId="432514DB" w14:textId="77777777" w:rsidR="00AD1397" w:rsidRPr="00605184" w:rsidRDefault="00AD1397" w:rsidP="00EE0177">
      <w:pPr>
        <w:pStyle w:val="Default"/>
        <w:rPr>
          <w:color w:val="auto"/>
        </w:rPr>
      </w:pPr>
    </w:p>
    <w:p w14:paraId="48569BE9" w14:textId="77777777" w:rsidR="00AD1397" w:rsidRPr="00605184" w:rsidRDefault="00AD1397" w:rsidP="00EE0177">
      <w:pPr>
        <w:pStyle w:val="Default"/>
        <w:rPr>
          <w:rFonts w:cstheme="minorBidi"/>
          <w:color w:val="auto"/>
        </w:rPr>
      </w:pPr>
      <w:r w:rsidRPr="00605184">
        <w:rPr>
          <w:rFonts w:cstheme="minorBidi"/>
          <w:b/>
          <w:bCs/>
          <w:color w:val="auto"/>
        </w:rPr>
        <w:t xml:space="preserve">V. Class Attendance Policy </w:t>
      </w:r>
    </w:p>
    <w:p w14:paraId="04D55C17" w14:textId="06272712" w:rsidR="00605184" w:rsidRPr="00605184" w:rsidRDefault="00AD1397" w:rsidP="00EE0177">
      <w:pPr>
        <w:pStyle w:val="Default"/>
        <w:rPr>
          <w:color w:val="auto"/>
        </w:rPr>
      </w:pPr>
      <w:r w:rsidRPr="00605184">
        <w:rPr>
          <w:color w:val="auto"/>
        </w:rPr>
        <w:t xml:space="preserve">Active, respectful participation is encouraged. Please come to class not only having read the materials, but also having thought critically about them. Attendance will be taken by passing class roster for signature during each class session. Requirements for class attendance, make-up exams, assignments, and </w:t>
      </w:r>
      <w:r w:rsidRPr="00605184">
        <w:rPr>
          <w:color w:val="auto"/>
        </w:rPr>
        <w:lastRenderedPageBreak/>
        <w:t xml:space="preserve">other work in this course are consistent can be found at student affairs office and at </w:t>
      </w:r>
      <w:hyperlink r:id="rId7" w:history="1">
        <w:r w:rsidR="00605184" w:rsidRPr="00605184">
          <w:rPr>
            <w:rStyle w:val="Hyperlink"/>
          </w:rPr>
          <w:t>https://catalog.ufl.edu/ugrad/current/regulations/info/attendance.aspx</w:t>
        </w:r>
      </w:hyperlink>
      <w:r w:rsidR="00605184" w:rsidRPr="00605184">
        <w:rPr>
          <w:color w:val="auto"/>
        </w:rPr>
        <w:t>.</w:t>
      </w:r>
    </w:p>
    <w:p w14:paraId="71B3083A" w14:textId="77777777" w:rsidR="00AD1397" w:rsidRPr="00605184" w:rsidRDefault="00AD1397" w:rsidP="00EE0177">
      <w:pPr>
        <w:pStyle w:val="Default"/>
        <w:rPr>
          <w:b/>
          <w:bCs/>
          <w:color w:val="auto"/>
        </w:rPr>
      </w:pPr>
    </w:p>
    <w:p w14:paraId="7C4F99A5" w14:textId="77777777" w:rsidR="00AD1397" w:rsidRPr="00605184" w:rsidRDefault="00AD1397" w:rsidP="00EE0177">
      <w:pPr>
        <w:pStyle w:val="Default"/>
        <w:rPr>
          <w:color w:val="auto"/>
        </w:rPr>
      </w:pPr>
      <w:r w:rsidRPr="00605184">
        <w:rPr>
          <w:b/>
          <w:bCs/>
          <w:color w:val="auto"/>
        </w:rPr>
        <w:t xml:space="preserve">VI. Exam </w:t>
      </w:r>
    </w:p>
    <w:p w14:paraId="0E27F1F5" w14:textId="2C2BBCA3" w:rsidR="00605184" w:rsidRPr="00605184" w:rsidRDefault="00AD1397" w:rsidP="00EE0177">
      <w:pPr>
        <w:pStyle w:val="Default"/>
        <w:rPr>
          <w:rFonts w:ascii="Times New Roman" w:hAnsi="Times New Roman" w:cs="Times New Roman"/>
          <w:color w:val="auto"/>
        </w:rPr>
      </w:pPr>
      <w:r w:rsidRPr="00605184">
        <w:rPr>
          <w:color w:val="auto"/>
        </w:rPr>
        <w:t>Exam shall be held during the re</w:t>
      </w:r>
      <w:r w:rsidR="00647561" w:rsidRPr="00605184">
        <w:rPr>
          <w:color w:val="auto"/>
        </w:rPr>
        <w:t>gular exam period (April 26 –May 9</w:t>
      </w:r>
      <w:r w:rsidRPr="00605184">
        <w:rPr>
          <w:color w:val="auto"/>
        </w:rPr>
        <w:t xml:space="preserve">). This year the </w:t>
      </w:r>
      <w:r w:rsidR="00647561" w:rsidRPr="00605184">
        <w:rPr>
          <w:color w:val="auto"/>
        </w:rPr>
        <w:t>exam is scheduled to be on May 7, 2019 at 1:00 PM</w:t>
      </w:r>
      <w:r w:rsidRPr="00605184">
        <w:rPr>
          <w:color w:val="auto"/>
        </w:rPr>
        <w:t xml:space="preserve">. Please check the exam schedule on www.law.ufl.edu to confirm this date and time. Students are encouraged but are not required to use ExamSoft. The samples of prior years’ exams shall be available on TWEN. The law school policy on delay in taking exams can be found at: </w:t>
      </w:r>
      <w:hyperlink r:id="rId8" w:history="1">
        <w:r w:rsidR="00605184" w:rsidRPr="00605184">
          <w:rPr>
            <w:rStyle w:val="Hyperlink"/>
            <w:rFonts w:ascii="Times New Roman" w:hAnsi="Times New Roman" w:cs="Times New Roman"/>
          </w:rPr>
          <w:t>http://www.law.ufl.edu</w:t>
        </w:r>
      </w:hyperlink>
      <w:r w:rsidRPr="00605184">
        <w:rPr>
          <w:rFonts w:ascii="Times New Roman" w:hAnsi="Times New Roman" w:cs="Times New Roman"/>
          <w:color w:val="auto"/>
        </w:rPr>
        <w:t>.</w:t>
      </w:r>
    </w:p>
    <w:p w14:paraId="1516A45E" w14:textId="77777777" w:rsidR="00AD1397" w:rsidRPr="00605184" w:rsidRDefault="00AD1397" w:rsidP="00EE0177">
      <w:pPr>
        <w:pStyle w:val="Default"/>
        <w:rPr>
          <w:b/>
          <w:bCs/>
          <w:color w:val="auto"/>
        </w:rPr>
      </w:pPr>
    </w:p>
    <w:p w14:paraId="20AC5ADB" w14:textId="77777777" w:rsidR="00AD1397" w:rsidRPr="00605184" w:rsidRDefault="00AD1397" w:rsidP="00EE0177">
      <w:pPr>
        <w:pStyle w:val="Default"/>
        <w:rPr>
          <w:color w:val="auto"/>
        </w:rPr>
      </w:pPr>
      <w:r w:rsidRPr="00605184">
        <w:rPr>
          <w:b/>
          <w:bCs/>
          <w:color w:val="auto"/>
        </w:rPr>
        <w:t xml:space="preserve">VII. Professors’ contact information </w:t>
      </w:r>
    </w:p>
    <w:p w14:paraId="0F263996" w14:textId="77777777" w:rsidR="00AD1397" w:rsidRPr="00605184" w:rsidRDefault="00AD1397" w:rsidP="00EE0177">
      <w:pPr>
        <w:pStyle w:val="Default"/>
        <w:rPr>
          <w:color w:val="auto"/>
        </w:rPr>
      </w:pPr>
      <w:r w:rsidRPr="00605184">
        <w:rPr>
          <w:color w:val="auto"/>
        </w:rPr>
        <w:t xml:space="preserve">The professors teaching this course would be glad to meet with you in person or by phone. With initial questions or concerns regarding this course please contact: </w:t>
      </w:r>
    </w:p>
    <w:p w14:paraId="487BE18B" w14:textId="77777777" w:rsidR="00AD1397" w:rsidRPr="00605184" w:rsidRDefault="00AD1397" w:rsidP="00EE0177">
      <w:pPr>
        <w:pStyle w:val="Default"/>
        <w:rPr>
          <w:b/>
          <w:bCs/>
          <w:color w:val="auto"/>
        </w:rPr>
      </w:pPr>
    </w:p>
    <w:p w14:paraId="53887839" w14:textId="77777777" w:rsidR="00AD1397" w:rsidRPr="00605184" w:rsidRDefault="00AD1397" w:rsidP="00EE0177">
      <w:pPr>
        <w:pStyle w:val="Default"/>
        <w:rPr>
          <w:color w:val="auto"/>
        </w:rPr>
      </w:pPr>
      <w:r w:rsidRPr="00605184">
        <w:rPr>
          <w:b/>
          <w:bCs/>
          <w:color w:val="auto"/>
        </w:rPr>
        <w:t xml:space="preserve">Andrei Boyarshinov </w:t>
      </w:r>
    </w:p>
    <w:p w14:paraId="72934E56" w14:textId="77777777" w:rsidR="00605184" w:rsidRPr="00605184" w:rsidRDefault="00AD1397" w:rsidP="00EE0177">
      <w:pPr>
        <w:pStyle w:val="Default"/>
        <w:rPr>
          <w:color w:val="auto"/>
        </w:rPr>
      </w:pPr>
      <w:r w:rsidRPr="00605184">
        <w:rPr>
          <w:color w:val="auto"/>
        </w:rPr>
        <w:t xml:space="preserve">Deputy General Counsel, Health Affairs </w:t>
      </w:r>
    </w:p>
    <w:p w14:paraId="3578FDAC" w14:textId="22E2D1B2" w:rsidR="00AD1397" w:rsidRPr="00605184" w:rsidRDefault="00AD1397" w:rsidP="00EE0177">
      <w:pPr>
        <w:pStyle w:val="Default"/>
        <w:rPr>
          <w:color w:val="auto"/>
        </w:rPr>
      </w:pPr>
      <w:r w:rsidRPr="00605184">
        <w:rPr>
          <w:color w:val="auto"/>
        </w:rPr>
        <w:t xml:space="preserve">University of Florida </w:t>
      </w:r>
    </w:p>
    <w:p w14:paraId="0483AE39" w14:textId="432411B9" w:rsidR="00605184" w:rsidRPr="00605184" w:rsidRDefault="008C7478" w:rsidP="00EE0177">
      <w:pPr>
        <w:pStyle w:val="Default"/>
        <w:rPr>
          <w:rFonts w:cs="Times New Roman"/>
          <w:color w:val="auto"/>
        </w:rPr>
      </w:pPr>
      <w:hyperlink r:id="rId9" w:history="1">
        <w:r w:rsidR="00605184" w:rsidRPr="00605184">
          <w:rPr>
            <w:rStyle w:val="Hyperlink"/>
            <w:rFonts w:cs="Times New Roman"/>
          </w:rPr>
          <w:t>boyarshinov@ufl.edu</w:t>
        </w:r>
      </w:hyperlink>
    </w:p>
    <w:p w14:paraId="42DA6728" w14:textId="77777777" w:rsidR="00AD1397" w:rsidRPr="00605184" w:rsidRDefault="00AD1397" w:rsidP="00EE0177">
      <w:pPr>
        <w:pStyle w:val="Default"/>
        <w:rPr>
          <w:color w:val="auto"/>
        </w:rPr>
      </w:pPr>
      <w:r w:rsidRPr="00605184">
        <w:rPr>
          <w:color w:val="auto"/>
        </w:rPr>
        <w:t xml:space="preserve">(352) 273-6836 </w:t>
      </w:r>
    </w:p>
    <w:p w14:paraId="4FB43D60" w14:textId="77777777" w:rsidR="00AD1397" w:rsidRPr="00605184" w:rsidRDefault="00AD1397" w:rsidP="00EE0177">
      <w:pPr>
        <w:pStyle w:val="Default"/>
        <w:rPr>
          <w:color w:val="auto"/>
        </w:rPr>
      </w:pPr>
      <w:r w:rsidRPr="00605184">
        <w:rPr>
          <w:color w:val="auto"/>
        </w:rPr>
        <w:t xml:space="preserve">Office hours are by appointment. </w:t>
      </w:r>
    </w:p>
    <w:p w14:paraId="50A36F87" w14:textId="77777777" w:rsidR="00AD1397" w:rsidRPr="00605184" w:rsidRDefault="00AD1397" w:rsidP="00EE0177">
      <w:pPr>
        <w:pStyle w:val="Default"/>
        <w:rPr>
          <w:b/>
          <w:bCs/>
          <w:color w:val="auto"/>
        </w:rPr>
      </w:pPr>
    </w:p>
    <w:p w14:paraId="28FA7E36" w14:textId="77777777" w:rsidR="00AD1397" w:rsidRPr="00605184" w:rsidRDefault="00AD1397" w:rsidP="00EE0177">
      <w:pPr>
        <w:pStyle w:val="Default"/>
        <w:rPr>
          <w:color w:val="auto"/>
        </w:rPr>
      </w:pPr>
      <w:r w:rsidRPr="00605184">
        <w:rPr>
          <w:b/>
          <w:bCs/>
          <w:color w:val="auto"/>
        </w:rPr>
        <w:t xml:space="preserve">VIII. Statement related to accommodations for students with disabilities </w:t>
      </w:r>
    </w:p>
    <w:p w14:paraId="2CC8B43C" w14:textId="1B81AE5B" w:rsidR="00AD1397" w:rsidRPr="00605184" w:rsidRDefault="00AD1397" w:rsidP="00EE0177">
      <w:pPr>
        <w:pStyle w:val="Default"/>
        <w:rPr>
          <w:color w:val="auto"/>
        </w:rPr>
      </w:pPr>
      <w:r w:rsidRPr="00605184">
        <w:rPr>
          <w:color w:val="auto"/>
        </w:rPr>
        <w:t xml:space="preserve">Students requesting accommodation for disabilities must first register with the Dean of Students Office ( </w:t>
      </w:r>
      <w:hyperlink r:id="rId10" w:history="1">
        <w:r w:rsidR="00605184" w:rsidRPr="00605184">
          <w:rPr>
            <w:rStyle w:val="Hyperlink"/>
          </w:rPr>
          <w:t>http://www.dso.ufl.edu/drc/</w:t>
        </w:r>
      </w:hyperlink>
      <w:r w:rsidRPr="00605184">
        <w:rPr>
          <w:color w:val="auto"/>
        </w:rPr>
        <w:t xml:space="preserve">). The Dean of Students Office will provide documentation to the student who must then provide </w:t>
      </w:r>
      <w:r w:rsidRPr="00605184">
        <w:rPr>
          <w:color w:val="auto"/>
        </w:rPr>
        <w:lastRenderedPageBreak/>
        <w:t xml:space="preserve">this documentation to the instructor when requesting accommodation. You must submit this documentation prior to submitting assignments or taking the quizzes or exams. Accommodations are not retroactive, therefore, students should contact the office as soon as possible in the term for which they are seeking accommodations. </w:t>
      </w:r>
    </w:p>
    <w:p w14:paraId="2AB73ABD" w14:textId="77777777" w:rsidR="00AD1397" w:rsidRPr="00605184" w:rsidRDefault="00AD1397" w:rsidP="00EE0177">
      <w:pPr>
        <w:pStyle w:val="Default"/>
        <w:rPr>
          <w:b/>
          <w:bCs/>
          <w:color w:val="auto"/>
        </w:rPr>
      </w:pPr>
    </w:p>
    <w:p w14:paraId="52552F70" w14:textId="77777777" w:rsidR="00AD1397" w:rsidRPr="00605184" w:rsidRDefault="00AD1397" w:rsidP="00EE0177">
      <w:pPr>
        <w:pStyle w:val="Default"/>
        <w:rPr>
          <w:b/>
          <w:bCs/>
          <w:color w:val="auto"/>
        </w:rPr>
      </w:pPr>
      <w:r w:rsidRPr="00605184">
        <w:rPr>
          <w:b/>
          <w:bCs/>
          <w:color w:val="auto"/>
        </w:rPr>
        <w:t xml:space="preserve">IX. Learning Outcomes and Expectations </w:t>
      </w:r>
    </w:p>
    <w:p w14:paraId="761DFB59" w14:textId="0D4A1C78" w:rsidR="00AD1397" w:rsidRDefault="00AD1397" w:rsidP="00EE0177">
      <w:pPr>
        <w:pStyle w:val="Default"/>
        <w:rPr>
          <w:rFonts w:cstheme="minorBidi"/>
          <w:b/>
          <w:bCs/>
          <w:color w:val="auto"/>
        </w:rPr>
      </w:pPr>
      <w:r w:rsidRPr="00605184">
        <w:rPr>
          <w:color w:val="auto"/>
        </w:rPr>
        <w:t xml:space="preserve">After completing this course, students should be able to understand the basics of health law and the nature of the in house legal practice within a health system, including without limitation analyzing the following issues - access to care, obligations to provide health care; Florida medical consent law, end of life issues, private health insurance and managed care; Medicare and Medicaid; regulation of health care providers; staff privileges and hospital-physician contracts; the law of tax-exempt organizations, fraud and abuse laws, as well as mergers and acquisitions and the Patient Protection and Affordable Care Act, the reform of the health care industry. </w:t>
      </w:r>
      <w:r w:rsidR="00605184" w:rsidRPr="00605184">
        <w:rPr>
          <w:color w:val="auto"/>
        </w:rPr>
        <w:t xml:space="preserve">Students should expect to spend, on average, approximately two </w:t>
      </w:r>
      <w:bookmarkStart w:id="0" w:name="_GoBack"/>
      <w:r w:rsidR="00605184" w:rsidRPr="00605184">
        <w:rPr>
          <w:color w:val="auto"/>
        </w:rPr>
        <w:t>hour</w:t>
      </w:r>
      <w:bookmarkEnd w:id="0"/>
      <w:r w:rsidR="00605184" w:rsidRPr="00605184">
        <w:rPr>
          <w:color w:val="auto"/>
        </w:rPr>
        <w:t xml:space="preserve">s preparing for every hour of class. </w:t>
      </w:r>
      <w:r w:rsidR="00605184" w:rsidRPr="00605184">
        <w:rPr>
          <w:rFonts w:cstheme="minorBidi"/>
          <w:b/>
          <w:bCs/>
          <w:color w:val="auto"/>
        </w:rPr>
        <w:t xml:space="preserve"> </w:t>
      </w:r>
    </w:p>
    <w:p w14:paraId="6F32EDF3" w14:textId="77777777" w:rsidR="00605184" w:rsidRPr="00605184" w:rsidRDefault="00605184" w:rsidP="00EE0177">
      <w:pPr>
        <w:pStyle w:val="Default"/>
        <w:rPr>
          <w:b/>
          <w:bCs/>
          <w:color w:val="auto"/>
        </w:rPr>
      </w:pPr>
    </w:p>
    <w:p w14:paraId="77407B57" w14:textId="77777777" w:rsidR="00AD1397" w:rsidRPr="00605184" w:rsidRDefault="00AD1397" w:rsidP="00EE0177">
      <w:pPr>
        <w:pStyle w:val="Default"/>
        <w:rPr>
          <w:color w:val="auto"/>
        </w:rPr>
      </w:pPr>
      <w:r w:rsidRPr="00605184">
        <w:rPr>
          <w:b/>
          <w:bCs/>
          <w:color w:val="auto"/>
        </w:rPr>
        <w:t>X. University Policy on Academic Misconduct</w:t>
      </w:r>
      <w:r w:rsidRPr="00605184">
        <w:rPr>
          <w:color w:val="auto"/>
        </w:rPr>
        <w:t xml:space="preserve">: Academic honesty and integrity are fundamental values of the University community. Students should be sure that they understand the UF Student Honor Code at </w:t>
      </w:r>
      <w:hyperlink r:id="rId11" w:history="1">
        <w:r w:rsidR="00EE0177" w:rsidRPr="00605184">
          <w:rPr>
            <w:rStyle w:val="Hyperlink"/>
          </w:rPr>
          <w:t>http://www.dso.ufl.edu/students.php</w:t>
        </w:r>
      </w:hyperlink>
      <w:r w:rsidRPr="00605184">
        <w:rPr>
          <w:rStyle w:val="Hyperlink"/>
        </w:rPr>
        <w:t>.</w:t>
      </w:r>
      <w:r w:rsidRPr="00605184">
        <w:rPr>
          <w:color w:val="auto"/>
        </w:rPr>
        <w:t xml:space="preserve"> </w:t>
      </w:r>
    </w:p>
    <w:p w14:paraId="0700F7DC" w14:textId="0FDF72A0" w:rsidR="00605184" w:rsidRDefault="00605184" w:rsidP="00EE0177">
      <w:pPr>
        <w:pStyle w:val="Default"/>
        <w:rPr>
          <w:rFonts w:cstheme="minorBidi"/>
          <w:b/>
          <w:bCs/>
          <w:color w:val="auto"/>
        </w:rPr>
      </w:pPr>
    </w:p>
    <w:p w14:paraId="0A3D149B" w14:textId="77777777" w:rsidR="00605184" w:rsidRDefault="00605184" w:rsidP="00EE0177">
      <w:pPr>
        <w:pStyle w:val="Default"/>
        <w:rPr>
          <w:rFonts w:cstheme="minorBidi"/>
          <w:b/>
          <w:bCs/>
          <w:color w:val="auto"/>
        </w:rPr>
      </w:pPr>
    </w:p>
    <w:p w14:paraId="2BC11C42" w14:textId="77777777" w:rsidR="00605184" w:rsidRDefault="00605184" w:rsidP="00EE0177">
      <w:pPr>
        <w:pStyle w:val="Default"/>
        <w:rPr>
          <w:rFonts w:cstheme="minorBidi"/>
          <w:b/>
          <w:bCs/>
          <w:color w:val="auto"/>
        </w:rPr>
      </w:pPr>
    </w:p>
    <w:p w14:paraId="52E52941" w14:textId="7DC03721" w:rsidR="00EE0177" w:rsidRDefault="00AD1397" w:rsidP="00EE0177">
      <w:pPr>
        <w:pStyle w:val="Default"/>
        <w:rPr>
          <w:rFonts w:cstheme="minorBidi"/>
          <w:b/>
          <w:bCs/>
          <w:color w:val="auto"/>
        </w:rPr>
      </w:pPr>
      <w:r w:rsidRPr="00605184">
        <w:rPr>
          <w:rFonts w:cstheme="minorBidi"/>
          <w:b/>
          <w:bCs/>
          <w:color w:val="auto"/>
        </w:rPr>
        <w:t>XI. Course Schedule</w:t>
      </w:r>
      <w:r w:rsidR="00605184">
        <w:rPr>
          <w:rFonts w:cstheme="minorBidi"/>
          <w:b/>
          <w:bCs/>
          <w:color w:val="auto"/>
        </w:rPr>
        <w:t xml:space="preserve"> (subject to change)</w:t>
      </w:r>
    </w:p>
    <w:p w14:paraId="7F28DC3D" w14:textId="77777777" w:rsidR="00605184" w:rsidRDefault="00605184" w:rsidP="00605184">
      <w:pPr>
        <w:pStyle w:val="Default"/>
        <w:jc w:val="center"/>
        <w:rPr>
          <w:rFonts w:cstheme="minorBidi"/>
          <w:b/>
          <w:bCs/>
          <w:color w:val="auto"/>
        </w:rPr>
      </w:pPr>
    </w:p>
    <w:p w14:paraId="3CBFB672" w14:textId="2C293868" w:rsidR="00605184" w:rsidRDefault="00605184" w:rsidP="00605184">
      <w:pPr>
        <w:pStyle w:val="Default"/>
        <w:pBdr>
          <w:bottom w:val="single" w:sz="12" w:space="1" w:color="auto"/>
        </w:pBdr>
        <w:jc w:val="center"/>
        <w:rPr>
          <w:rFonts w:cstheme="minorBidi"/>
          <w:b/>
          <w:bCs/>
          <w:color w:val="auto"/>
        </w:rPr>
      </w:pPr>
      <w:r>
        <w:rPr>
          <w:rFonts w:cstheme="minorBidi"/>
          <w:b/>
          <w:bCs/>
          <w:color w:val="auto"/>
        </w:rPr>
        <w:t>INTRODUCTION TO HEALTH LAW AND IN-HOUSE PRACTICE</w:t>
      </w:r>
    </w:p>
    <w:p w14:paraId="752013F3" w14:textId="77777777" w:rsidR="00605184" w:rsidRDefault="00605184" w:rsidP="00EE0177">
      <w:pPr>
        <w:pStyle w:val="Default"/>
        <w:jc w:val="center"/>
        <w:rPr>
          <w:b/>
          <w:bCs/>
          <w:color w:val="auto"/>
        </w:rPr>
      </w:pPr>
    </w:p>
    <w:p w14:paraId="3919B819" w14:textId="01BAC4E4" w:rsidR="00AD1397" w:rsidRPr="00605184" w:rsidRDefault="00EE0177" w:rsidP="00EE0177">
      <w:pPr>
        <w:pStyle w:val="Default"/>
        <w:jc w:val="center"/>
        <w:rPr>
          <w:b/>
          <w:bCs/>
          <w:color w:val="auto"/>
        </w:rPr>
      </w:pPr>
      <w:r w:rsidRPr="00605184">
        <w:rPr>
          <w:b/>
          <w:bCs/>
          <w:color w:val="auto"/>
        </w:rPr>
        <w:t>Week 1 (January 7, 2019</w:t>
      </w:r>
      <w:r w:rsidR="00AD1397" w:rsidRPr="00605184">
        <w:rPr>
          <w:b/>
          <w:bCs/>
          <w:color w:val="auto"/>
        </w:rPr>
        <w:t>)</w:t>
      </w:r>
    </w:p>
    <w:p w14:paraId="2AB86589" w14:textId="5D960C2A" w:rsidR="00AD1397" w:rsidRPr="00605184" w:rsidRDefault="00AD1397" w:rsidP="00EE0177">
      <w:pPr>
        <w:pStyle w:val="Default"/>
        <w:rPr>
          <w:color w:val="auto"/>
        </w:rPr>
      </w:pPr>
      <w:r w:rsidRPr="00605184">
        <w:rPr>
          <w:b/>
          <w:bCs/>
          <w:color w:val="auto"/>
        </w:rPr>
        <w:t xml:space="preserve">Introduction to the Course and In-House Practice </w:t>
      </w:r>
    </w:p>
    <w:p w14:paraId="7F1BF30F" w14:textId="77777777" w:rsidR="00AD1397" w:rsidRPr="00605184" w:rsidRDefault="00AD1397" w:rsidP="00EE0177">
      <w:pPr>
        <w:pStyle w:val="Default"/>
        <w:rPr>
          <w:color w:val="auto"/>
        </w:rPr>
      </w:pPr>
      <w:r w:rsidRPr="00605184">
        <w:rPr>
          <w:color w:val="auto"/>
        </w:rPr>
        <w:t xml:space="preserve">Focus on understanding operations, industry and client; balancing cost, quality, and practicability; advancing the company’s business objectives within legally and commercially acceptable risk parameters. Health care law as a career choice. Slides will be posted on TWEN after class. </w:t>
      </w:r>
    </w:p>
    <w:p w14:paraId="6E4892CA" w14:textId="77777777" w:rsidR="00EE0177" w:rsidRPr="00605184" w:rsidRDefault="00EE0177" w:rsidP="00EE0177">
      <w:pPr>
        <w:pStyle w:val="Default"/>
        <w:rPr>
          <w:b/>
          <w:bCs/>
          <w:color w:val="auto"/>
        </w:rPr>
      </w:pPr>
    </w:p>
    <w:p w14:paraId="71343176" w14:textId="77777777" w:rsidR="00AD1397" w:rsidRPr="00605184" w:rsidRDefault="00EE0177" w:rsidP="00EE0177">
      <w:pPr>
        <w:pStyle w:val="Default"/>
        <w:jc w:val="center"/>
        <w:rPr>
          <w:color w:val="auto"/>
        </w:rPr>
      </w:pPr>
      <w:r w:rsidRPr="00605184">
        <w:rPr>
          <w:b/>
          <w:bCs/>
          <w:i/>
          <w:color w:val="auto"/>
        </w:rPr>
        <w:t>No Class on January 14</w:t>
      </w:r>
      <w:r w:rsidR="00AD1397" w:rsidRPr="00605184">
        <w:rPr>
          <w:b/>
          <w:bCs/>
          <w:color w:val="auto"/>
        </w:rPr>
        <w:t xml:space="preserve"> (MLK Holiday)</w:t>
      </w:r>
    </w:p>
    <w:p w14:paraId="7A5A733A" w14:textId="77777777" w:rsidR="00EE0177" w:rsidRPr="00605184" w:rsidRDefault="00EE0177" w:rsidP="00EE0177">
      <w:pPr>
        <w:pStyle w:val="Default"/>
        <w:jc w:val="center"/>
        <w:rPr>
          <w:b/>
          <w:bCs/>
          <w:color w:val="auto"/>
        </w:rPr>
      </w:pPr>
    </w:p>
    <w:p w14:paraId="7B035F8B" w14:textId="58D83429" w:rsidR="00AD1397" w:rsidRPr="00605184" w:rsidRDefault="00EE0177" w:rsidP="00EE0177">
      <w:pPr>
        <w:pStyle w:val="Default"/>
        <w:jc w:val="center"/>
        <w:rPr>
          <w:color w:val="auto"/>
        </w:rPr>
      </w:pPr>
      <w:r w:rsidRPr="00605184">
        <w:rPr>
          <w:b/>
          <w:bCs/>
          <w:color w:val="auto"/>
        </w:rPr>
        <w:t>Week 2 (January 21</w:t>
      </w:r>
      <w:r w:rsidR="00BC6B3B" w:rsidRPr="00605184">
        <w:rPr>
          <w:b/>
          <w:bCs/>
          <w:color w:val="auto"/>
        </w:rPr>
        <w:t>, 2019</w:t>
      </w:r>
      <w:r w:rsidR="00AD1397" w:rsidRPr="00605184">
        <w:rPr>
          <w:b/>
          <w:bCs/>
          <w:color w:val="auto"/>
        </w:rPr>
        <w:t>)</w:t>
      </w:r>
    </w:p>
    <w:p w14:paraId="7BCA134C" w14:textId="77777777" w:rsidR="00605184" w:rsidRDefault="00AD1397" w:rsidP="00EE0177">
      <w:pPr>
        <w:pStyle w:val="Default"/>
        <w:rPr>
          <w:b/>
          <w:bCs/>
          <w:color w:val="auto"/>
        </w:rPr>
      </w:pPr>
      <w:r w:rsidRPr="00605184">
        <w:rPr>
          <w:b/>
          <w:bCs/>
          <w:color w:val="auto"/>
        </w:rPr>
        <w:t xml:space="preserve">Health Law and Policy </w:t>
      </w:r>
    </w:p>
    <w:p w14:paraId="4B7551DB" w14:textId="60997FD6" w:rsidR="00EE0177" w:rsidRPr="00605184" w:rsidRDefault="00605184" w:rsidP="00EE0177">
      <w:pPr>
        <w:pStyle w:val="Default"/>
        <w:rPr>
          <w:color w:val="auto"/>
        </w:rPr>
      </w:pPr>
      <w:r>
        <w:rPr>
          <w:color w:val="auto"/>
        </w:rPr>
        <w:t>Text: Read pages 1-31</w:t>
      </w:r>
      <w:r w:rsidR="00F825B2" w:rsidRPr="00605184">
        <w:rPr>
          <w:color w:val="auto"/>
        </w:rPr>
        <w:t>, Prepare problem: p. 31-32</w:t>
      </w:r>
      <w:r w:rsidR="00AD1397" w:rsidRPr="00605184">
        <w:rPr>
          <w:color w:val="auto"/>
        </w:rPr>
        <w:t xml:space="preserve"> (“The Couple’s Illness”): Students whose last names begin with A-M prepare to argue for coverage on behalf of the Hendersons; students whose last names begin with N-Z be prepared to argue against coverage. </w:t>
      </w:r>
    </w:p>
    <w:p w14:paraId="6ED209DC" w14:textId="77777777" w:rsidR="00EE0177" w:rsidRPr="00605184" w:rsidRDefault="00EE0177" w:rsidP="00EE0177">
      <w:pPr>
        <w:pStyle w:val="Default"/>
        <w:rPr>
          <w:color w:val="auto"/>
        </w:rPr>
      </w:pPr>
    </w:p>
    <w:p w14:paraId="0AD12BD2" w14:textId="190AD2F5" w:rsidR="00AD1397" w:rsidRPr="00605184" w:rsidRDefault="00605184" w:rsidP="00EE0177">
      <w:pPr>
        <w:pStyle w:val="Default"/>
        <w:rPr>
          <w:b/>
          <w:color w:val="auto"/>
        </w:rPr>
      </w:pPr>
      <w:r w:rsidRPr="00605184">
        <w:rPr>
          <w:b/>
          <w:color w:val="auto"/>
        </w:rPr>
        <w:t>Health Care Reform: The Policy Context</w:t>
      </w:r>
      <w:r>
        <w:rPr>
          <w:b/>
          <w:color w:val="auto"/>
        </w:rPr>
        <w:t xml:space="preserve">. </w:t>
      </w:r>
      <w:r>
        <w:rPr>
          <w:color w:val="auto"/>
        </w:rPr>
        <w:t>Text: Read pages 33-84. Be prepared to discuss material and questions posed in “Notes and Questions.”</w:t>
      </w:r>
    </w:p>
    <w:p w14:paraId="158AC42D" w14:textId="77777777" w:rsidR="00EE0177" w:rsidRPr="00605184" w:rsidRDefault="00EE0177" w:rsidP="00EE0177">
      <w:pPr>
        <w:pStyle w:val="Default"/>
        <w:rPr>
          <w:b/>
          <w:bCs/>
          <w:color w:val="auto"/>
        </w:rPr>
      </w:pPr>
    </w:p>
    <w:p w14:paraId="5EF0CFDB" w14:textId="77777777" w:rsidR="00605184" w:rsidRDefault="00AD1397" w:rsidP="00605184">
      <w:pPr>
        <w:pStyle w:val="Default"/>
        <w:pBdr>
          <w:bottom w:val="single" w:sz="12" w:space="1" w:color="auto"/>
        </w:pBdr>
        <w:jc w:val="center"/>
        <w:rPr>
          <w:b/>
          <w:bCs/>
          <w:color w:val="auto"/>
        </w:rPr>
      </w:pPr>
      <w:r w:rsidRPr="00605184">
        <w:rPr>
          <w:b/>
          <w:bCs/>
          <w:color w:val="auto"/>
        </w:rPr>
        <w:t>HEALTH CARE DELIVERY / PATIENT CARE LAW</w:t>
      </w:r>
    </w:p>
    <w:p w14:paraId="6B880E62" w14:textId="3BA96C79" w:rsidR="00AD1397" w:rsidRPr="00605184" w:rsidRDefault="00AD1397" w:rsidP="00EE0177">
      <w:pPr>
        <w:pStyle w:val="Default"/>
        <w:rPr>
          <w:color w:val="auto"/>
        </w:rPr>
      </w:pPr>
      <w:r w:rsidRPr="00605184">
        <w:rPr>
          <w:b/>
          <w:bCs/>
          <w:color w:val="auto"/>
        </w:rPr>
        <w:t xml:space="preserve"> </w:t>
      </w:r>
    </w:p>
    <w:p w14:paraId="5D9CBF95" w14:textId="3F57B3F4" w:rsidR="00AD1397" w:rsidRPr="00605184" w:rsidRDefault="000204DF" w:rsidP="00605184">
      <w:pPr>
        <w:pStyle w:val="Default"/>
        <w:jc w:val="center"/>
        <w:rPr>
          <w:color w:val="auto"/>
        </w:rPr>
      </w:pPr>
      <w:r w:rsidRPr="00605184">
        <w:rPr>
          <w:b/>
          <w:bCs/>
          <w:color w:val="auto"/>
        </w:rPr>
        <w:t>Week 3 (January 28</w:t>
      </w:r>
      <w:r w:rsidR="00BC6B3B" w:rsidRPr="00605184">
        <w:rPr>
          <w:b/>
          <w:bCs/>
          <w:color w:val="auto"/>
        </w:rPr>
        <w:t>, 2019</w:t>
      </w:r>
      <w:r w:rsidR="00AD1397" w:rsidRPr="00605184">
        <w:rPr>
          <w:b/>
          <w:bCs/>
          <w:color w:val="auto"/>
        </w:rPr>
        <w:t>)</w:t>
      </w:r>
    </w:p>
    <w:p w14:paraId="6DD29CB0" w14:textId="77777777" w:rsidR="00AD1397" w:rsidRPr="00605184" w:rsidRDefault="00AD1397" w:rsidP="00EE0177">
      <w:pPr>
        <w:pStyle w:val="Default"/>
        <w:rPr>
          <w:color w:val="auto"/>
        </w:rPr>
      </w:pPr>
      <w:r w:rsidRPr="00605184">
        <w:rPr>
          <w:b/>
          <w:bCs/>
          <w:color w:val="auto"/>
        </w:rPr>
        <w:t xml:space="preserve">The Obligation to Provide Care: Common Law </w:t>
      </w:r>
    </w:p>
    <w:p w14:paraId="43D207CB" w14:textId="77777777" w:rsidR="00AD1397" w:rsidRPr="00605184" w:rsidRDefault="00044AF6" w:rsidP="00EE0177">
      <w:pPr>
        <w:pStyle w:val="Default"/>
        <w:rPr>
          <w:color w:val="auto"/>
        </w:rPr>
      </w:pPr>
      <w:r w:rsidRPr="00605184">
        <w:rPr>
          <w:color w:val="auto"/>
        </w:rPr>
        <w:t>Text: 165-177</w:t>
      </w:r>
      <w:r w:rsidR="00AD1397" w:rsidRPr="00605184">
        <w:rPr>
          <w:color w:val="auto"/>
        </w:rPr>
        <w:t xml:space="preserve">, Problem: p. </w:t>
      </w:r>
      <w:r w:rsidRPr="00605184">
        <w:rPr>
          <w:color w:val="auto"/>
        </w:rPr>
        <w:t>177</w:t>
      </w:r>
      <w:r w:rsidR="00AD1397" w:rsidRPr="00605184">
        <w:rPr>
          <w:color w:val="auto"/>
        </w:rPr>
        <w:t xml:space="preserve"> (“Cheryl Hanachek”) Students whose last names begin with A-M prepare to arguments on behalf of Ms. Hanachek; students whose last names begin with N-Z prepare arguments in defense of Drs. </w:t>
      </w:r>
      <w:r w:rsidR="00AD1397" w:rsidRPr="00605184">
        <w:rPr>
          <w:color w:val="auto"/>
        </w:rPr>
        <w:lastRenderedPageBreak/>
        <w:t xml:space="preserve">Cunetto and Simms. All students consider whether and how “concierge medicine” should be regulated. </w:t>
      </w:r>
    </w:p>
    <w:p w14:paraId="6B81DA53" w14:textId="77777777" w:rsidR="00EE0177" w:rsidRPr="00605184" w:rsidRDefault="00EE0177" w:rsidP="00EE0177">
      <w:pPr>
        <w:pStyle w:val="Default"/>
        <w:rPr>
          <w:b/>
          <w:bCs/>
          <w:color w:val="auto"/>
        </w:rPr>
      </w:pPr>
    </w:p>
    <w:p w14:paraId="29B03DD1" w14:textId="77777777" w:rsidR="00605184" w:rsidRDefault="00AD1397" w:rsidP="00EE0177">
      <w:pPr>
        <w:pStyle w:val="Default"/>
        <w:rPr>
          <w:b/>
          <w:bCs/>
          <w:color w:val="auto"/>
        </w:rPr>
      </w:pPr>
      <w:r w:rsidRPr="00605184">
        <w:rPr>
          <w:b/>
          <w:bCs/>
          <w:color w:val="auto"/>
        </w:rPr>
        <w:t>EMTALA: The Obligation to Provide Care; Statutory Exceptions</w:t>
      </w:r>
    </w:p>
    <w:p w14:paraId="6FA18B59" w14:textId="694053DD" w:rsidR="00AD1397" w:rsidRPr="00605184" w:rsidRDefault="00044AF6" w:rsidP="00EE0177">
      <w:pPr>
        <w:pStyle w:val="Default"/>
        <w:rPr>
          <w:color w:val="auto"/>
        </w:rPr>
      </w:pPr>
      <w:r w:rsidRPr="00605184">
        <w:rPr>
          <w:color w:val="auto"/>
        </w:rPr>
        <w:t>Text: 177-190</w:t>
      </w:r>
      <w:r w:rsidR="00AD1397" w:rsidRPr="00605184">
        <w:rPr>
          <w:color w:val="auto"/>
        </w:rPr>
        <w:t xml:space="preserve">, Problem: p. </w:t>
      </w:r>
      <w:r w:rsidRPr="00605184">
        <w:rPr>
          <w:color w:val="auto"/>
        </w:rPr>
        <w:t>190-191</w:t>
      </w:r>
      <w:r w:rsidR="00AD1397" w:rsidRPr="00605184">
        <w:rPr>
          <w:color w:val="auto"/>
        </w:rPr>
        <w:t xml:space="preserve"> (“Mrs. Miller”) Assume you are the judge in this case, draft a brief outline of your ruling on this summary judgment motion and be prepared to present it to the class. Consider whether you will call for any changes in the law. </w:t>
      </w:r>
    </w:p>
    <w:p w14:paraId="236BD670" w14:textId="77777777" w:rsidR="00EE0177" w:rsidRPr="00605184" w:rsidRDefault="00EE0177" w:rsidP="00EE0177">
      <w:pPr>
        <w:pStyle w:val="Default"/>
        <w:rPr>
          <w:b/>
          <w:bCs/>
          <w:color w:val="auto"/>
        </w:rPr>
      </w:pPr>
    </w:p>
    <w:p w14:paraId="7B0E38F6" w14:textId="229F63FF" w:rsidR="00AD1397" w:rsidRPr="00605184" w:rsidRDefault="00AD1397" w:rsidP="00605184">
      <w:pPr>
        <w:pStyle w:val="Default"/>
        <w:jc w:val="center"/>
        <w:rPr>
          <w:color w:val="auto"/>
        </w:rPr>
      </w:pPr>
      <w:r w:rsidRPr="00605184">
        <w:rPr>
          <w:b/>
          <w:bCs/>
          <w:color w:val="auto"/>
        </w:rPr>
        <w:t>Week 4 (Fe</w:t>
      </w:r>
      <w:r w:rsidR="000204DF" w:rsidRPr="00605184">
        <w:rPr>
          <w:b/>
          <w:bCs/>
          <w:color w:val="auto"/>
        </w:rPr>
        <w:t>bruary 4</w:t>
      </w:r>
      <w:r w:rsidR="00BC6B3B" w:rsidRPr="00605184">
        <w:rPr>
          <w:b/>
          <w:bCs/>
          <w:color w:val="auto"/>
        </w:rPr>
        <w:t>, 2019)</w:t>
      </w:r>
    </w:p>
    <w:p w14:paraId="5EDAD813" w14:textId="77777777" w:rsidR="00605184" w:rsidRDefault="00AD1397" w:rsidP="00EE0177">
      <w:pPr>
        <w:pStyle w:val="Default"/>
        <w:rPr>
          <w:b/>
          <w:bCs/>
          <w:color w:val="auto"/>
        </w:rPr>
      </w:pPr>
      <w:r w:rsidRPr="00605184">
        <w:rPr>
          <w:b/>
          <w:bCs/>
          <w:color w:val="auto"/>
        </w:rPr>
        <w:t xml:space="preserve">Florida Consent Law </w:t>
      </w:r>
    </w:p>
    <w:p w14:paraId="6BAC30FF" w14:textId="3868C3C1" w:rsidR="00AD1397" w:rsidRPr="00605184" w:rsidRDefault="00AD1397" w:rsidP="00EE0177">
      <w:pPr>
        <w:pStyle w:val="Default"/>
        <w:rPr>
          <w:color w:val="auto"/>
        </w:rPr>
      </w:pPr>
      <w:r w:rsidRPr="00605184">
        <w:rPr>
          <w:color w:val="auto"/>
        </w:rPr>
        <w:t xml:space="preserve">Please read Florida </w:t>
      </w:r>
      <w:r w:rsidR="00605184">
        <w:rPr>
          <w:color w:val="auto"/>
        </w:rPr>
        <w:t>Statutes available on TWEN site.</w:t>
      </w:r>
      <w:r w:rsidRPr="00605184">
        <w:rPr>
          <w:color w:val="auto"/>
        </w:rPr>
        <w:t xml:space="preserve"> </w:t>
      </w:r>
      <w:r w:rsidR="00605184">
        <w:rPr>
          <w:color w:val="auto"/>
        </w:rPr>
        <w:t>Be prepared to work through the d</w:t>
      </w:r>
      <w:r w:rsidRPr="00605184">
        <w:rPr>
          <w:color w:val="auto"/>
        </w:rPr>
        <w:t>iscussion problems</w:t>
      </w:r>
      <w:r w:rsidR="00605184">
        <w:rPr>
          <w:color w:val="auto"/>
        </w:rPr>
        <w:t>, which will be</w:t>
      </w:r>
      <w:r w:rsidRPr="00605184">
        <w:rPr>
          <w:color w:val="auto"/>
        </w:rPr>
        <w:t xml:space="preserve"> posted on TWEN. </w:t>
      </w:r>
    </w:p>
    <w:p w14:paraId="47E09BC0" w14:textId="77777777" w:rsidR="00EE0177" w:rsidRPr="00605184" w:rsidRDefault="00EE0177" w:rsidP="00EE0177">
      <w:pPr>
        <w:pStyle w:val="Default"/>
        <w:rPr>
          <w:b/>
          <w:bCs/>
          <w:color w:val="auto"/>
        </w:rPr>
      </w:pPr>
    </w:p>
    <w:p w14:paraId="0EC3EAFF" w14:textId="57CBE4A2" w:rsidR="00AD1397" w:rsidRPr="00605184" w:rsidRDefault="000204DF" w:rsidP="00605184">
      <w:pPr>
        <w:pStyle w:val="Default"/>
        <w:jc w:val="center"/>
        <w:rPr>
          <w:color w:val="auto"/>
        </w:rPr>
      </w:pPr>
      <w:r w:rsidRPr="00605184">
        <w:rPr>
          <w:b/>
          <w:bCs/>
          <w:color w:val="auto"/>
        </w:rPr>
        <w:t>Week 5 (February 11</w:t>
      </w:r>
      <w:r w:rsidR="00BC6B3B" w:rsidRPr="00605184">
        <w:rPr>
          <w:b/>
          <w:bCs/>
          <w:color w:val="auto"/>
        </w:rPr>
        <w:t>, 2019</w:t>
      </w:r>
      <w:r w:rsidR="00AD1397" w:rsidRPr="00605184">
        <w:rPr>
          <w:b/>
          <w:bCs/>
          <w:color w:val="auto"/>
        </w:rPr>
        <w:t>)</w:t>
      </w:r>
    </w:p>
    <w:p w14:paraId="0D1AEEBD" w14:textId="1DAB823B" w:rsidR="00AD1397" w:rsidRPr="00605184" w:rsidRDefault="00AD1397" w:rsidP="00EE0177">
      <w:pPr>
        <w:pStyle w:val="Default"/>
        <w:rPr>
          <w:color w:val="auto"/>
        </w:rPr>
      </w:pPr>
      <w:r w:rsidRPr="00605184">
        <w:rPr>
          <w:b/>
          <w:bCs/>
          <w:color w:val="auto"/>
        </w:rPr>
        <w:t xml:space="preserve">Issues in Medical Decision-Making; End-of-Life </w:t>
      </w:r>
      <w:r w:rsidRPr="00605184">
        <w:rPr>
          <w:color w:val="auto"/>
        </w:rPr>
        <w:t xml:space="preserve">Please read In re Guardianship of Browning, 568 So.2d 4 (Fla. 1990), and Florida Statutes available on TWEN site. Discussion </w:t>
      </w:r>
      <w:r w:rsidR="000204DF" w:rsidRPr="00605184">
        <w:rPr>
          <w:color w:val="auto"/>
        </w:rPr>
        <w:t xml:space="preserve">problems to be posted on TWEN. </w:t>
      </w:r>
      <w:r w:rsidRPr="00605184">
        <w:rPr>
          <w:color w:val="auto"/>
        </w:rPr>
        <w:t xml:space="preserve"> </w:t>
      </w:r>
    </w:p>
    <w:p w14:paraId="13B5B927" w14:textId="77777777" w:rsidR="002C0935" w:rsidRPr="00605184" w:rsidRDefault="002C0935" w:rsidP="00EE0177">
      <w:pPr>
        <w:pStyle w:val="Default"/>
        <w:rPr>
          <w:rFonts w:cstheme="minorBidi"/>
          <w:color w:val="auto"/>
        </w:rPr>
      </w:pPr>
    </w:p>
    <w:p w14:paraId="4E8CD2D1" w14:textId="440F0121" w:rsidR="00AD1397" w:rsidRPr="00605184" w:rsidRDefault="000204DF" w:rsidP="00605184">
      <w:pPr>
        <w:pStyle w:val="Default"/>
        <w:jc w:val="center"/>
        <w:rPr>
          <w:rFonts w:cstheme="minorBidi"/>
          <w:color w:val="auto"/>
        </w:rPr>
      </w:pPr>
      <w:r w:rsidRPr="00605184">
        <w:rPr>
          <w:rFonts w:cstheme="minorBidi"/>
          <w:b/>
          <w:bCs/>
          <w:color w:val="auto"/>
        </w:rPr>
        <w:t>Week 6 (February 18</w:t>
      </w:r>
      <w:r w:rsidR="00BC6B3B" w:rsidRPr="00605184">
        <w:rPr>
          <w:rFonts w:cstheme="minorBidi"/>
          <w:b/>
          <w:bCs/>
          <w:color w:val="auto"/>
        </w:rPr>
        <w:t>, 2019</w:t>
      </w:r>
      <w:r w:rsidR="00AD1397" w:rsidRPr="00605184">
        <w:rPr>
          <w:rFonts w:cstheme="minorBidi"/>
          <w:b/>
          <w:bCs/>
          <w:color w:val="auto"/>
        </w:rPr>
        <w:t>)</w:t>
      </w:r>
    </w:p>
    <w:p w14:paraId="21BD100D" w14:textId="77777777" w:rsidR="00605184" w:rsidRDefault="00AD1397" w:rsidP="00EE0177">
      <w:pPr>
        <w:pStyle w:val="Default"/>
        <w:rPr>
          <w:rFonts w:cstheme="minorBidi"/>
          <w:b/>
          <w:bCs/>
          <w:color w:val="auto"/>
        </w:rPr>
      </w:pPr>
      <w:r w:rsidRPr="00605184">
        <w:rPr>
          <w:rFonts w:cstheme="minorBidi"/>
          <w:b/>
          <w:bCs/>
          <w:color w:val="auto"/>
        </w:rPr>
        <w:t xml:space="preserve">Staff Privileges, Hospital-Physician Contracts </w:t>
      </w:r>
    </w:p>
    <w:p w14:paraId="0B807744" w14:textId="776B2B4A" w:rsidR="00AD1397" w:rsidRPr="00605184" w:rsidRDefault="00AD1397" w:rsidP="00EE0177">
      <w:pPr>
        <w:pStyle w:val="Default"/>
        <w:rPr>
          <w:color w:val="auto"/>
        </w:rPr>
      </w:pPr>
      <w:r w:rsidRPr="00605184">
        <w:rPr>
          <w:color w:val="auto"/>
        </w:rPr>
        <w:t xml:space="preserve">Text: </w:t>
      </w:r>
      <w:r w:rsidR="00044AF6" w:rsidRPr="00605184">
        <w:rPr>
          <w:color w:val="auto"/>
        </w:rPr>
        <w:t>491-516</w:t>
      </w:r>
      <w:r w:rsidR="00605184">
        <w:rPr>
          <w:color w:val="auto"/>
        </w:rPr>
        <w:t>. Be prepared to discuss “Notes and Questions.”</w:t>
      </w:r>
      <w:r w:rsidRPr="00605184">
        <w:rPr>
          <w:color w:val="auto"/>
        </w:rPr>
        <w:t xml:space="preserve"> </w:t>
      </w:r>
    </w:p>
    <w:p w14:paraId="5A6C2F4A" w14:textId="77777777" w:rsidR="00EE0177" w:rsidRPr="00605184" w:rsidRDefault="00EE0177" w:rsidP="00EE0177">
      <w:pPr>
        <w:pStyle w:val="Default"/>
        <w:rPr>
          <w:b/>
          <w:bCs/>
          <w:color w:val="auto"/>
        </w:rPr>
      </w:pPr>
    </w:p>
    <w:p w14:paraId="035EFD95" w14:textId="6568AF0A" w:rsidR="00AD1397" w:rsidRPr="00605184" w:rsidRDefault="00AD1397" w:rsidP="00605184">
      <w:pPr>
        <w:pStyle w:val="Default"/>
        <w:pBdr>
          <w:bottom w:val="single" w:sz="12" w:space="1" w:color="auto"/>
        </w:pBdr>
        <w:jc w:val="center"/>
        <w:rPr>
          <w:color w:val="auto"/>
        </w:rPr>
      </w:pPr>
      <w:r w:rsidRPr="00605184">
        <w:rPr>
          <w:b/>
          <w:bCs/>
          <w:color w:val="auto"/>
        </w:rPr>
        <w:t xml:space="preserve">HEALTH CARE FINANCE /PROVIDER-PAYOR RELATIONSHIPS / M&amp;A </w:t>
      </w:r>
    </w:p>
    <w:p w14:paraId="424B7347" w14:textId="77777777" w:rsidR="00605184" w:rsidRPr="00605184" w:rsidRDefault="00605184" w:rsidP="00EE0177">
      <w:pPr>
        <w:pStyle w:val="Default"/>
        <w:rPr>
          <w:b/>
          <w:bCs/>
          <w:color w:val="auto"/>
        </w:rPr>
      </w:pPr>
    </w:p>
    <w:p w14:paraId="32A72318" w14:textId="0EAB2682" w:rsidR="00AD1397" w:rsidRPr="00605184" w:rsidRDefault="000204DF" w:rsidP="00605184">
      <w:pPr>
        <w:pStyle w:val="Default"/>
        <w:jc w:val="center"/>
        <w:rPr>
          <w:color w:val="auto"/>
        </w:rPr>
      </w:pPr>
      <w:r w:rsidRPr="00605184">
        <w:rPr>
          <w:b/>
          <w:bCs/>
          <w:color w:val="auto"/>
        </w:rPr>
        <w:t>Week 7 (February 25</w:t>
      </w:r>
      <w:r w:rsidR="00BC6B3B" w:rsidRPr="00605184">
        <w:rPr>
          <w:b/>
          <w:bCs/>
          <w:color w:val="auto"/>
        </w:rPr>
        <w:t>, 2019</w:t>
      </w:r>
      <w:r w:rsidR="00AD1397" w:rsidRPr="00605184">
        <w:rPr>
          <w:b/>
          <w:bCs/>
          <w:color w:val="auto"/>
        </w:rPr>
        <w:t>)</w:t>
      </w:r>
    </w:p>
    <w:p w14:paraId="50FA25A9" w14:textId="50DF6239" w:rsidR="00AD1397" w:rsidRPr="00605184" w:rsidRDefault="00AD1397" w:rsidP="00EE0177">
      <w:pPr>
        <w:pStyle w:val="Default"/>
        <w:rPr>
          <w:color w:val="auto"/>
        </w:rPr>
      </w:pPr>
      <w:r w:rsidRPr="00605184">
        <w:rPr>
          <w:b/>
          <w:bCs/>
          <w:color w:val="auto"/>
        </w:rPr>
        <w:lastRenderedPageBreak/>
        <w:t xml:space="preserve">Medicare </w:t>
      </w:r>
      <w:r w:rsidRPr="00605184">
        <w:rPr>
          <w:color w:val="auto"/>
        </w:rPr>
        <w:t xml:space="preserve">Text: </w:t>
      </w:r>
      <w:r w:rsidR="00A95128" w:rsidRPr="00605184">
        <w:rPr>
          <w:color w:val="auto"/>
        </w:rPr>
        <w:t>381-384</w:t>
      </w:r>
      <w:r w:rsidRPr="00605184">
        <w:rPr>
          <w:color w:val="auto"/>
        </w:rPr>
        <w:t xml:space="preserve">, </w:t>
      </w:r>
      <w:r w:rsidR="00A95128" w:rsidRPr="00605184">
        <w:rPr>
          <w:color w:val="auto"/>
        </w:rPr>
        <w:t>391</w:t>
      </w:r>
      <w:r w:rsidR="001D275D" w:rsidRPr="00605184">
        <w:rPr>
          <w:color w:val="auto"/>
        </w:rPr>
        <w:t>-422</w:t>
      </w:r>
      <w:r w:rsidRPr="00605184">
        <w:rPr>
          <w:color w:val="auto"/>
        </w:rPr>
        <w:t xml:space="preserve">. Additional materials will be posted on TWEN. </w:t>
      </w:r>
    </w:p>
    <w:p w14:paraId="2783AB59" w14:textId="0D376115" w:rsidR="00AD1397" w:rsidRPr="00605184" w:rsidRDefault="00AD1397" w:rsidP="00EE0177">
      <w:pPr>
        <w:pStyle w:val="Default"/>
        <w:rPr>
          <w:color w:val="auto"/>
        </w:rPr>
      </w:pPr>
      <w:r w:rsidRPr="00605184">
        <w:rPr>
          <w:b/>
          <w:bCs/>
          <w:color w:val="auto"/>
        </w:rPr>
        <w:t xml:space="preserve">Medicaid </w:t>
      </w:r>
      <w:r w:rsidR="00DE6BE4" w:rsidRPr="00605184">
        <w:rPr>
          <w:b/>
          <w:bCs/>
          <w:color w:val="auto"/>
        </w:rPr>
        <w:t xml:space="preserve">&amp; SCHIP </w:t>
      </w:r>
      <w:r w:rsidR="003273EC" w:rsidRPr="00605184">
        <w:rPr>
          <w:color w:val="auto"/>
        </w:rPr>
        <w:t>Text: 434-470</w:t>
      </w:r>
      <w:r w:rsidR="00DE6BE4" w:rsidRPr="00605184">
        <w:rPr>
          <w:color w:val="auto"/>
        </w:rPr>
        <w:t>.</w:t>
      </w:r>
    </w:p>
    <w:p w14:paraId="24E478DA" w14:textId="77777777" w:rsidR="00EE0177" w:rsidRPr="00605184" w:rsidRDefault="00EE0177" w:rsidP="00EE0177">
      <w:pPr>
        <w:pStyle w:val="Default"/>
        <w:rPr>
          <w:b/>
          <w:bCs/>
          <w:color w:val="auto"/>
        </w:rPr>
      </w:pPr>
    </w:p>
    <w:p w14:paraId="6BFD0641" w14:textId="14B92308" w:rsidR="00AD1397" w:rsidRPr="00605184" w:rsidRDefault="00A95128" w:rsidP="00605184">
      <w:pPr>
        <w:pStyle w:val="Default"/>
        <w:jc w:val="center"/>
        <w:rPr>
          <w:color w:val="auto"/>
        </w:rPr>
      </w:pPr>
      <w:r w:rsidRPr="00605184">
        <w:rPr>
          <w:b/>
          <w:bCs/>
          <w:color w:val="auto"/>
        </w:rPr>
        <w:t xml:space="preserve">No Class on March 4 </w:t>
      </w:r>
      <w:r w:rsidR="00AD1397" w:rsidRPr="00605184">
        <w:rPr>
          <w:b/>
          <w:bCs/>
          <w:color w:val="auto"/>
        </w:rPr>
        <w:t>(Spring Break)</w:t>
      </w:r>
    </w:p>
    <w:p w14:paraId="64E5E6C2" w14:textId="77777777" w:rsidR="00EE0177" w:rsidRPr="00605184" w:rsidRDefault="00EE0177" w:rsidP="00EE0177">
      <w:pPr>
        <w:pStyle w:val="Default"/>
        <w:rPr>
          <w:b/>
          <w:bCs/>
          <w:color w:val="auto"/>
        </w:rPr>
      </w:pPr>
    </w:p>
    <w:p w14:paraId="62D27B5D" w14:textId="56F102B2" w:rsidR="00AD1397" w:rsidRPr="00605184" w:rsidRDefault="00A95128" w:rsidP="00605184">
      <w:pPr>
        <w:pStyle w:val="Default"/>
        <w:jc w:val="center"/>
        <w:rPr>
          <w:color w:val="auto"/>
        </w:rPr>
      </w:pPr>
      <w:r w:rsidRPr="00605184">
        <w:rPr>
          <w:b/>
          <w:bCs/>
          <w:color w:val="auto"/>
        </w:rPr>
        <w:t>Week 8 (March 11</w:t>
      </w:r>
      <w:r w:rsidR="00BC6B3B" w:rsidRPr="00605184">
        <w:rPr>
          <w:b/>
          <w:bCs/>
          <w:color w:val="auto"/>
        </w:rPr>
        <w:t>, 2019</w:t>
      </w:r>
      <w:r w:rsidR="00AD1397" w:rsidRPr="00605184">
        <w:rPr>
          <w:b/>
          <w:bCs/>
          <w:color w:val="auto"/>
        </w:rPr>
        <w:t>)</w:t>
      </w:r>
    </w:p>
    <w:p w14:paraId="207D62FB" w14:textId="77777777" w:rsidR="00605184" w:rsidRDefault="00AD1397" w:rsidP="00EE0177">
      <w:pPr>
        <w:pStyle w:val="Default"/>
        <w:rPr>
          <w:b/>
          <w:bCs/>
          <w:color w:val="auto"/>
        </w:rPr>
      </w:pPr>
      <w:r w:rsidRPr="00605184">
        <w:rPr>
          <w:b/>
          <w:bCs/>
          <w:color w:val="auto"/>
        </w:rPr>
        <w:t>Finance Primer.</w:t>
      </w:r>
    </w:p>
    <w:p w14:paraId="3FD3854A" w14:textId="054B0D48" w:rsidR="00AD1397" w:rsidRPr="00605184" w:rsidRDefault="00AD1397" w:rsidP="00EE0177">
      <w:pPr>
        <w:pStyle w:val="Default"/>
        <w:rPr>
          <w:color w:val="auto"/>
        </w:rPr>
      </w:pPr>
      <w:r w:rsidRPr="00605184">
        <w:rPr>
          <w:color w:val="auto"/>
        </w:rPr>
        <w:t>During this class we will discuss the core concepts of finance. This class is designed to prepare you for the next class on</w:t>
      </w:r>
      <w:r w:rsidR="00605184">
        <w:rPr>
          <w:color w:val="auto"/>
        </w:rPr>
        <w:t xml:space="preserve"> economics and </w:t>
      </w:r>
      <w:r w:rsidRPr="00605184">
        <w:rPr>
          <w:color w:val="auto"/>
        </w:rPr>
        <w:t xml:space="preserve">Mergers and Acquisitions within health care industry. Additional materials may be posted on TWEN. </w:t>
      </w:r>
    </w:p>
    <w:p w14:paraId="30AD2DF1" w14:textId="77777777" w:rsidR="00EE0177" w:rsidRPr="00605184" w:rsidRDefault="00EE0177" w:rsidP="00EE0177">
      <w:pPr>
        <w:pStyle w:val="Default"/>
        <w:rPr>
          <w:b/>
          <w:bCs/>
          <w:color w:val="auto"/>
        </w:rPr>
      </w:pPr>
    </w:p>
    <w:p w14:paraId="7EC84A04" w14:textId="77014CB7" w:rsidR="00AD1397" w:rsidRPr="00605184" w:rsidRDefault="000204DF" w:rsidP="00605184">
      <w:pPr>
        <w:pStyle w:val="Default"/>
        <w:jc w:val="center"/>
        <w:rPr>
          <w:color w:val="auto"/>
        </w:rPr>
      </w:pPr>
      <w:r w:rsidRPr="00605184">
        <w:rPr>
          <w:b/>
          <w:bCs/>
          <w:color w:val="auto"/>
        </w:rPr>
        <w:t>Week 9 (March 18, 2019</w:t>
      </w:r>
      <w:r w:rsidR="00AD1397" w:rsidRPr="00605184">
        <w:rPr>
          <w:b/>
          <w:bCs/>
          <w:color w:val="auto"/>
        </w:rPr>
        <w:t>)</w:t>
      </w:r>
    </w:p>
    <w:p w14:paraId="19A61D27" w14:textId="77777777" w:rsidR="00605184" w:rsidRDefault="00AD1397" w:rsidP="00EE0177">
      <w:pPr>
        <w:pStyle w:val="Default"/>
        <w:rPr>
          <w:b/>
          <w:bCs/>
          <w:color w:val="auto"/>
        </w:rPr>
      </w:pPr>
      <w:r w:rsidRPr="00605184">
        <w:rPr>
          <w:b/>
          <w:bCs/>
          <w:color w:val="auto"/>
        </w:rPr>
        <w:t xml:space="preserve">Health Care Enterprises / Mergers and Acquisitions </w:t>
      </w:r>
    </w:p>
    <w:p w14:paraId="15B056C3" w14:textId="1587E698" w:rsidR="00AD1397" w:rsidRPr="00605184" w:rsidRDefault="00AD1397" w:rsidP="00EE0177">
      <w:pPr>
        <w:pStyle w:val="Default"/>
        <w:rPr>
          <w:color w:val="auto"/>
        </w:rPr>
      </w:pPr>
      <w:r w:rsidRPr="00605184">
        <w:rPr>
          <w:color w:val="auto"/>
        </w:rPr>
        <w:t xml:space="preserve">Text: Read pages </w:t>
      </w:r>
      <w:r w:rsidR="000204DF" w:rsidRPr="00605184">
        <w:rPr>
          <w:color w:val="auto"/>
        </w:rPr>
        <w:t>757-762</w:t>
      </w:r>
      <w:r w:rsidRPr="00605184">
        <w:rPr>
          <w:color w:val="auto"/>
        </w:rPr>
        <w:t xml:space="preserve"> (Antitrust Introduction), </w:t>
      </w:r>
      <w:r w:rsidR="000204DF" w:rsidRPr="00605184">
        <w:rPr>
          <w:color w:val="auto"/>
        </w:rPr>
        <w:t>787-807</w:t>
      </w:r>
      <w:r w:rsidRPr="00605184">
        <w:rPr>
          <w:color w:val="auto"/>
        </w:rPr>
        <w:t xml:space="preserve"> (Health Care Enterprises, Integration, and Financing). Review/Prepare for Discussion: p.</w:t>
      </w:r>
      <w:r w:rsidR="000204DF" w:rsidRPr="00605184">
        <w:rPr>
          <w:color w:val="auto"/>
        </w:rPr>
        <w:t xml:space="preserve"> 800-802</w:t>
      </w:r>
      <w:r w:rsidRPr="00605184">
        <w:rPr>
          <w:color w:val="auto"/>
        </w:rPr>
        <w:t xml:space="preserve"> ("Notes and Questions"). Skim pages </w:t>
      </w:r>
      <w:r w:rsidR="000204DF" w:rsidRPr="00605184">
        <w:rPr>
          <w:color w:val="auto"/>
        </w:rPr>
        <w:t>807-824</w:t>
      </w:r>
      <w:r w:rsidRPr="00605184">
        <w:rPr>
          <w:color w:val="auto"/>
        </w:rPr>
        <w:t xml:space="preserve"> (Payors with Market Power). Text: Read pages </w:t>
      </w:r>
      <w:r w:rsidR="000204DF" w:rsidRPr="00605184">
        <w:rPr>
          <w:color w:val="auto"/>
        </w:rPr>
        <w:t>825-837</w:t>
      </w:r>
      <w:r w:rsidRPr="00605184">
        <w:rPr>
          <w:color w:val="auto"/>
        </w:rPr>
        <w:t xml:space="preserve"> (Mergers and Acquisitions). Prepare Problem: p. </w:t>
      </w:r>
      <w:r w:rsidR="000204DF" w:rsidRPr="00605184">
        <w:rPr>
          <w:color w:val="auto"/>
        </w:rPr>
        <w:t>837</w:t>
      </w:r>
      <w:r w:rsidRPr="00605184">
        <w:rPr>
          <w:color w:val="auto"/>
        </w:rPr>
        <w:t xml:space="preserve"> ("Evaluating a Hospital Merger in Your Community"). </w:t>
      </w:r>
    </w:p>
    <w:p w14:paraId="28FD2C31" w14:textId="77777777" w:rsidR="00EE0177" w:rsidRPr="00605184" w:rsidRDefault="00EE0177" w:rsidP="00EE0177">
      <w:pPr>
        <w:pStyle w:val="Default"/>
        <w:rPr>
          <w:b/>
          <w:bCs/>
          <w:color w:val="auto"/>
        </w:rPr>
      </w:pPr>
    </w:p>
    <w:p w14:paraId="139513DE" w14:textId="07E8F175" w:rsidR="00AD1397" w:rsidRPr="00605184" w:rsidRDefault="000204DF" w:rsidP="00605184">
      <w:pPr>
        <w:pStyle w:val="Default"/>
        <w:jc w:val="center"/>
        <w:rPr>
          <w:color w:val="auto"/>
        </w:rPr>
      </w:pPr>
      <w:r w:rsidRPr="00605184">
        <w:rPr>
          <w:b/>
          <w:bCs/>
          <w:color w:val="auto"/>
        </w:rPr>
        <w:t>Week 10 (March 25, 2019</w:t>
      </w:r>
      <w:r w:rsidR="00AD1397" w:rsidRPr="00605184">
        <w:rPr>
          <w:b/>
          <w:bCs/>
          <w:color w:val="auto"/>
        </w:rPr>
        <w:t>)</w:t>
      </w:r>
    </w:p>
    <w:p w14:paraId="17F53A04" w14:textId="77777777" w:rsidR="00605184" w:rsidRDefault="00AD1397" w:rsidP="00EE0177">
      <w:pPr>
        <w:pStyle w:val="Default"/>
        <w:rPr>
          <w:b/>
          <w:bCs/>
          <w:color w:val="auto"/>
        </w:rPr>
      </w:pPr>
      <w:r w:rsidRPr="00605184">
        <w:rPr>
          <w:b/>
          <w:bCs/>
          <w:color w:val="auto"/>
        </w:rPr>
        <w:t xml:space="preserve">Managed Care and Private Health Insurance / Regulation and Accountable Care Act </w:t>
      </w:r>
    </w:p>
    <w:p w14:paraId="6B652C40" w14:textId="6C16FA6F" w:rsidR="00AD1397" w:rsidRPr="00605184" w:rsidRDefault="00AD1397" w:rsidP="00605184">
      <w:pPr>
        <w:pStyle w:val="Default"/>
        <w:rPr>
          <w:color w:val="auto"/>
        </w:rPr>
      </w:pPr>
      <w:r w:rsidRPr="00605184">
        <w:rPr>
          <w:color w:val="auto"/>
        </w:rPr>
        <w:t xml:space="preserve">Text: </w:t>
      </w:r>
      <w:r w:rsidR="00605184">
        <w:rPr>
          <w:color w:val="auto"/>
        </w:rPr>
        <w:t>289-377</w:t>
      </w:r>
      <w:r w:rsidRPr="00605184">
        <w:rPr>
          <w:color w:val="auto"/>
        </w:rPr>
        <w:t xml:space="preserve">. </w:t>
      </w:r>
      <w:r w:rsidR="00605184">
        <w:rPr>
          <w:color w:val="auto"/>
        </w:rPr>
        <w:t>Be prepared to discuss “Notes and Questions.”</w:t>
      </w:r>
    </w:p>
    <w:p w14:paraId="235F7A0E" w14:textId="77777777" w:rsidR="00EE0177" w:rsidRPr="00605184" w:rsidRDefault="00EE0177" w:rsidP="00EE0177">
      <w:pPr>
        <w:pStyle w:val="Default"/>
        <w:rPr>
          <w:b/>
          <w:bCs/>
          <w:color w:val="auto"/>
        </w:rPr>
      </w:pPr>
    </w:p>
    <w:p w14:paraId="20DA26A8" w14:textId="0E83DB6A" w:rsidR="00AD1397" w:rsidRPr="00605184" w:rsidRDefault="00EE0177" w:rsidP="00605184">
      <w:pPr>
        <w:pStyle w:val="Default"/>
        <w:jc w:val="center"/>
        <w:rPr>
          <w:color w:val="auto"/>
        </w:rPr>
      </w:pPr>
      <w:r w:rsidRPr="00605184">
        <w:rPr>
          <w:b/>
          <w:bCs/>
          <w:color w:val="auto"/>
        </w:rPr>
        <w:t>Week 11</w:t>
      </w:r>
      <w:r w:rsidR="000204DF" w:rsidRPr="00605184">
        <w:rPr>
          <w:b/>
          <w:bCs/>
          <w:color w:val="auto"/>
        </w:rPr>
        <w:t xml:space="preserve"> (April 1, 2019</w:t>
      </w:r>
      <w:r w:rsidR="00AD1397" w:rsidRPr="00605184">
        <w:rPr>
          <w:b/>
          <w:bCs/>
          <w:color w:val="auto"/>
        </w:rPr>
        <w:t>)</w:t>
      </w:r>
    </w:p>
    <w:p w14:paraId="6C09BE04" w14:textId="35BF7B2E" w:rsidR="00AD1397" w:rsidRDefault="00AD1397" w:rsidP="00EE0177">
      <w:pPr>
        <w:pStyle w:val="Default"/>
        <w:rPr>
          <w:color w:val="auto"/>
        </w:rPr>
      </w:pPr>
      <w:r w:rsidRPr="00605184">
        <w:rPr>
          <w:b/>
          <w:bCs/>
          <w:color w:val="auto"/>
        </w:rPr>
        <w:t>Tax Exempt Organizations and / or Structure of Health Care Organizations</w:t>
      </w:r>
      <w:r w:rsidRPr="00605184">
        <w:rPr>
          <w:color w:val="auto"/>
        </w:rPr>
        <w:t xml:space="preserve">. </w:t>
      </w:r>
    </w:p>
    <w:p w14:paraId="0DE55161" w14:textId="30C787D4" w:rsidR="00605184" w:rsidRPr="00605184" w:rsidRDefault="00605184" w:rsidP="00605184">
      <w:pPr>
        <w:pStyle w:val="Default"/>
        <w:rPr>
          <w:color w:val="auto"/>
        </w:rPr>
      </w:pPr>
      <w:r w:rsidRPr="00605184">
        <w:rPr>
          <w:color w:val="auto"/>
        </w:rPr>
        <w:lastRenderedPageBreak/>
        <w:t xml:space="preserve">Text: </w:t>
      </w:r>
      <w:r>
        <w:rPr>
          <w:color w:val="auto"/>
        </w:rPr>
        <w:t>589-652</w:t>
      </w:r>
      <w:r w:rsidRPr="00605184">
        <w:rPr>
          <w:color w:val="auto"/>
        </w:rPr>
        <w:t xml:space="preserve">. </w:t>
      </w:r>
      <w:r>
        <w:rPr>
          <w:color w:val="auto"/>
        </w:rPr>
        <w:t>Be prepared to discuss “Notes and Questions.”</w:t>
      </w:r>
    </w:p>
    <w:p w14:paraId="4CCB8821" w14:textId="7F0A0B12" w:rsidR="00AD1397" w:rsidRPr="00605184" w:rsidRDefault="00EE0177" w:rsidP="00605184">
      <w:pPr>
        <w:pStyle w:val="Default"/>
        <w:pBdr>
          <w:bottom w:val="single" w:sz="12" w:space="1" w:color="auto"/>
        </w:pBdr>
        <w:jc w:val="center"/>
        <w:rPr>
          <w:color w:val="auto"/>
        </w:rPr>
      </w:pPr>
      <w:r w:rsidRPr="00605184">
        <w:rPr>
          <w:b/>
          <w:bCs/>
          <w:color w:val="auto"/>
        </w:rPr>
        <w:br/>
      </w:r>
      <w:r w:rsidR="00AD1397" w:rsidRPr="00605184">
        <w:rPr>
          <w:b/>
          <w:bCs/>
          <w:color w:val="auto"/>
        </w:rPr>
        <w:t>HEALTH CARE REGULATION / CORPORATE COMPLIANCE AND PRIVACY PERSPECTIVE</w:t>
      </w:r>
    </w:p>
    <w:p w14:paraId="04BDC3B8" w14:textId="77777777" w:rsidR="00605184" w:rsidRPr="00605184" w:rsidRDefault="00605184" w:rsidP="00EE0177">
      <w:pPr>
        <w:pStyle w:val="Default"/>
        <w:rPr>
          <w:b/>
          <w:bCs/>
          <w:color w:val="auto"/>
        </w:rPr>
      </w:pPr>
    </w:p>
    <w:p w14:paraId="1A90EDFC" w14:textId="7385370A" w:rsidR="00AD1397" w:rsidRPr="00605184" w:rsidRDefault="000204DF" w:rsidP="00605184">
      <w:pPr>
        <w:pStyle w:val="Default"/>
        <w:jc w:val="center"/>
        <w:rPr>
          <w:color w:val="auto"/>
        </w:rPr>
      </w:pPr>
      <w:r w:rsidRPr="00605184">
        <w:rPr>
          <w:b/>
          <w:bCs/>
          <w:color w:val="auto"/>
        </w:rPr>
        <w:t>Week 12 (April 8, 2019</w:t>
      </w:r>
      <w:r w:rsidR="00AD1397" w:rsidRPr="00605184">
        <w:rPr>
          <w:b/>
          <w:bCs/>
          <w:color w:val="auto"/>
        </w:rPr>
        <w:t>)</w:t>
      </w:r>
    </w:p>
    <w:p w14:paraId="2AD26532" w14:textId="7850B9A5" w:rsidR="00EE0177" w:rsidRDefault="00605184" w:rsidP="00EE0177">
      <w:pPr>
        <w:pStyle w:val="Default"/>
        <w:rPr>
          <w:color w:val="auto"/>
        </w:rPr>
      </w:pPr>
      <w:r>
        <w:rPr>
          <w:b/>
          <w:bCs/>
          <w:color w:val="auto"/>
        </w:rPr>
        <w:t>Fraud and Abuse /</w:t>
      </w:r>
      <w:r w:rsidR="00AD1397" w:rsidRPr="00605184">
        <w:rPr>
          <w:b/>
          <w:bCs/>
          <w:color w:val="auto"/>
        </w:rPr>
        <w:t xml:space="preserve"> </w:t>
      </w:r>
      <w:r w:rsidRPr="00605184">
        <w:rPr>
          <w:b/>
          <w:bCs/>
          <w:color w:val="auto"/>
        </w:rPr>
        <w:t xml:space="preserve">False Claims Act and Anti-Kickback Statute </w:t>
      </w:r>
    </w:p>
    <w:p w14:paraId="2E39F6AB" w14:textId="0D1804D5" w:rsidR="00605184" w:rsidRPr="00605184" w:rsidRDefault="00605184" w:rsidP="00605184">
      <w:pPr>
        <w:pStyle w:val="Default"/>
        <w:rPr>
          <w:b/>
          <w:bCs/>
          <w:color w:val="auto"/>
        </w:rPr>
      </w:pPr>
      <w:r>
        <w:rPr>
          <w:color w:val="auto"/>
        </w:rPr>
        <w:t>Text: 653-712.  Be prepared to discuss “Notes and Questions.”</w:t>
      </w:r>
    </w:p>
    <w:p w14:paraId="6C961F1D" w14:textId="77777777" w:rsidR="00605184" w:rsidRDefault="00605184" w:rsidP="00605184">
      <w:pPr>
        <w:pStyle w:val="Default"/>
        <w:jc w:val="center"/>
        <w:rPr>
          <w:b/>
          <w:bCs/>
          <w:color w:val="auto"/>
        </w:rPr>
      </w:pPr>
    </w:p>
    <w:p w14:paraId="6480EA48" w14:textId="4D6D139C" w:rsidR="00AD1397" w:rsidRPr="00605184" w:rsidRDefault="000204DF" w:rsidP="00605184">
      <w:pPr>
        <w:pStyle w:val="Default"/>
        <w:jc w:val="center"/>
        <w:rPr>
          <w:color w:val="auto"/>
        </w:rPr>
      </w:pPr>
      <w:r w:rsidRPr="00605184">
        <w:rPr>
          <w:b/>
          <w:bCs/>
          <w:color w:val="auto"/>
        </w:rPr>
        <w:t>Week 13 (April 15, 2019</w:t>
      </w:r>
      <w:r w:rsidR="00AD1397" w:rsidRPr="00605184">
        <w:rPr>
          <w:b/>
          <w:bCs/>
          <w:color w:val="auto"/>
        </w:rPr>
        <w:t>)</w:t>
      </w:r>
    </w:p>
    <w:p w14:paraId="46404BF4" w14:textId="2824F68D" w:rsidR="00605184" w:rsidRDefault="00605184" w:rsidP="00605184">
      <w:pPr>
        <w:pStyle w:val="Default"/>
        <w:rPr>
          <w:color w:val="auto"/>
        </w:rPr>
      </w:pPr>
      <w:r>
        <w:rPr>
          <w:b/>
          <w:bCs/>
          <w:color w:val="auto"/>
        </w:rPr>
        <w:t>Fraud and Abuse /</w:t>
      </w:r>
      <w:r w:rsidR="00AD1397" w:rsidRPr="00605184">
        <w:rPr>
          <w:b/>
          <w:bCs/>
          <w:color w:val="auto"/>
        </w:rPr>
        <w:t xml:space="preserve"> </w:t>
      </w:r>
      <w:r w:rsidRPr="00605184">
        <w:rPr>
          <w:b/>
          <w:bCs/>
          <w:color w:val="auto"/>
        </w:rPr>
        <w:t xml:space="preserve">The Stark Law </w:t>
      </w:r>
    </w:p>
    <w:p w14:paraId="37ABDD94" w14:textId="1718DDE9" w:rsidR="00605184" w:rsidRPr="00605184" w:rsidRDefault="00605184" w:rsidP="00605184">
      <w:pPr>
        <w:pStyle w:val="Default"/>
        <w:rPr>
          <w:b/>
          <w:bCs/>
          <w:color w:val="auto"/>
        </w:rPr>
      </w:pPr>
      <w:r>
        <w:rPr>
          <w:color w:val="auto"/>
        </w:rPr>
        <w:t>Text: 720-756.  Be prepared to discuss “Notes and Questions.”</w:t>
      </w:r>
    </w:p>
    <w:p w14:paraId="3353223A" w14:textId="77777777" w:rsidR="00EE0177" w:rsidRPr="00605184" w:rsidRDefault="00EE0177" w:rsidP="00EE0177">
      <w:pPr>
        <w:pStyle w:val="Default"/>
        <w:rPr>
          <w:b/>
          <w:bCs/>
          <w:color w:val="auto"/>
        </w:rPr>
      </w:pPr>
    </w:p>
    <w:p w14:paraId="1754DF4B" w14:textId="29FA5276" w:rsidR="00AD1397" w:rsidRPr="00605184" w:rsidRDefault="000204DF" w:rsidP="00605184">
      <w:pPr>
        <w:pStyle w:val="Default"/>
        <w:jc w:val="center"/>
        <w:rPr>
          <w:color w:val="auto"/>
        </w:rPr>
      </w:pPr>
      <w:r w:rsidRPr="00605184">
        <w:rPr>
          <w:b/>
          <w:bCs/>
          <w:color w:val="auto"/>
        </w:rPr>
        <w:t>Week 14 (April 22, 2019</w:t>
      </w:r>
      <w:r w:rsidR="00AD1397" w:rsidRPr="00605184">
        <w:rPr>
          <w:b/>
          <w:bCs/>
          <w:color w:val="auto"/>
        </w:rPr>
        <w:t>)</w:t>
      </w:r>
    </w:p>
    <w:p w14:paraId="38CA964F" w14:textId="77777777" w:rsidR="00605184" w:rsidRDefault="00605184" w:rsidP="00EE0177">
      <w:pPr>
        <w:rPr>
          <w:rFonts w:ascii="Garamond" w:hAnsi="Garamond" w:cs="Garamond"/>
        </w:rPr>
      </w:pPr>
      <w:r>
        <w:rPr>
          <w:rFonts w:ascii="Garamond" w:hAnsi="Garamond" w:cs="Garamond"/>
          <w:b/>
        </w:rPr>
        <w:t xml:space="preserve">Privacy Laws / </w:t>
      </w:r>
      <w:r w:rsidR="00AD1397" w:rsidRPr="00605184">
        <w:rPr>
          <w:rFonts w:ascii="Garamond" w:hAnsi="Garamond" w:cs="Garamond"/>
          <w:b/>
        </w:rPr>
        <w:t>HIPAA goes HITECH</w:t>
      </w:r>
      <w:r w:rsidR="00AD1397" w:rsidRPr="00605184">
        <w:rPr>
          <w:rFonts w:ascii="Garamond" w:hAnsi="Garamond" w:cs="Garamond"/>
        </w:rPr>
        <w:t xml:space="preserve"> </w:t>
      </w:r>
    </w:p>
    <w:p w14:paraId="2E06FA04" w14:textId="4BEEF9A2" w:rsidR="00107E1B" w:rsidRDefault="00AD1397" w:rsidP="00EE0177">
      <w:pPr>
        <w:rPr>
          <w:rFonts w:ascii="Garamond" w:hAnsi="Garamond" w:cs="Garamond"/>
        </w:rPr>
      </w:pPr>
      <w:r w:rsidRPr="00605184">
        <w:rPr>
          <w:rFonts w:ascii="Garamond" w:hAnsi="Garamond" w:cs="Garamond"/>
        </w:rPr>
        <w:t xml:space="preserve">Description of HIPAA and HITECH violations and the enforcement. Breach Notification, Guidance on “Minimally Necessary,” Tiered Increases in Amount of Civil Monetary Penalties, Restrictions on Certain Disclosures and Sales of Health Information. </w:t>
      </w:r>
      <w:r w:rsidR="00605184">
        <w:rPr>
          <w:rFonts w:ascii="Garamond" w:hAnsi="Garamond" w:cs="Garamond"/>
        </w:rPr>
        <w:t>Reading and d</w:t>
      </w:r>
      <w:r w:rsidRPr="00605184">
        <w:rPr>
          <w:rFonts w:ascii="Garamond" w:hAnsi="Garamond" w:cs="Garamond"/>
        </w:rPr>
        <w:t>iscussion problems to be posted on TWEN.</w:t>
      </w:r>
    </w:p>
    <w:p w14:paraId="102E159B" w14:textId="52FF86C4" w:rsidR="00605184" w:rsidRPr="00605184" w:rsidRDefault="00605184" w:rsidP="00EE0177">
      <w:pPr>
        <w:rPr>
          <w:rFonts w:ascii="Garamond" w:hAnsi="Garamond" w:cs="Garamond"/>
        </w:rPr>
      </w:pPr>
    </w:p>
    <w:sectPr w:rsidR="00605184" w:rsidRPr="00605184" w:rsidSect="00605184">
      <w:pgSz w:w="12240" w:h="15840"/>
      <w:pgMar w:top="1296" w:right="1296" w:bottom="1296" w:left="1296"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7D72A2" w16cid:durableId="1F7B17A9"/>
  <w16cid:commentId w16cid:paraId="24C81554" w16cid:durableId="1F7B16D9"/>
  <w16cid:commentId w16cid:paraId="1F2FF349" w16cid:durableId="1F843CCC"/>
  <w16cid:commentId w16cid:paraId="210D3A33" w16cid:durableId="1F844394"/>
  <w16cid:commentId w16cid:paraId="1CC51C10" w16cid:durableId="1F844523"/>
  <w16cid:commentId w16cid:paraId="17F5531D" w16cid:durableId="1F8445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E104" w14:textId="77777777" w:rsidR="00887DBC" w:rsidRDefault="00887DBC" w:rsidP="00AD1397">
      <w:r>
        <w:separator/>
      </w:r>
    </w:p>
  </w:endnote>
  <w:endnote w:type="continuationSeparator" w:id="0">
    <w:p w14:paraId="2794B5DE" w14:textId="77777777" w:rsidR="00887DBC" w:rsidRDefault="00887DBC" w:rsidP="00AD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656D9" w14:textId="77777777" w:rsidR="00887DBC" w:rsidRDefault="00887DBC" w:rsidP="00AD1397">
      <w:r>
        <w:separator/>
      </w:r>
    </w:p>
  </w:footnote>
  <w:footnote w:type="continuationSeparator" w:id="0">
    <w:p w14:paraId="2C69BC79" w14:textId="77777777" w:rsidR="00887DBC" w:rsidRDefault="00887DBC" w:rsidP="00AD1397">
      <w:r>
        <w:continuationSeparator/>
      </w:r>
    </w:p>
  </w:footnote>
  <w:footnote w:id="1">
    <w:p w14:paraId="093DF736" w14:textId="77777777" w:rsidR="00AD1397" w:rsidRDefault="00AD1397" w:rsidP="00AD1397">
      <w:pPr>
        <w:pStyle w:val="Default"/>
        <w:rPr>
          <w:color w:val="auto"/>
          <w:sz w:val="23"/>
          <w:szCs w:val="23"/>
        </w:rPr>
      </w:pPr>
      <w:r>
        <w:rPr>
          <w:rStyle w:val="FootnoteReference"/>
        </w:rPr>
        <w:footnoteRef/>
      </w:r>
      <w:r>
        <w:t xml:space="preserve"> </w:t>
      </w:r>
      <w:r w:rsidRPr="00605184">
        <w:rPr>
          <w:rFonts w:ascii="Times New Roman" w:hAnsi="Times New Roman" w:cs="Times New Roman"/>
          <w:b/>
          <w:bCs/>
          <w:sz w:val="20"/>
          <w:szCs w:val="20"/>
        </w:rPr>
        <w:t xml:space="preserve">Disclaimer: </w:t>
      </w:r>
      <w:r w:rsidRPr="00605184">
        <w:rPr>
          <w:rFonts w:ascii="Times New Roman" w:hAnsi="Times New Roman" w:cs="Times New Roman"/>
          <w:sz w:val="20"/>
          <w:szCs w:val="20"/>
        </w:rPr>
        <w:t>Even though attorneys teaching this course are employees of various entities within UF Health, the views and opinions expressed in this course are those of the attorneys and do not necessarily reflect the official policy or position of UF Health. Examples of analysis performed within this course are only examples. Assumptions made within the analysis are not reflective of the position of UF Health.</w:t>
      </w:r>
      <w:r>
        <w:rPr>
          <w:rFonts w:ascii="Times New Roman" w:hAnsi="Times New Roman" w:cs="Times New Roman"/>
          <w:sz w:val="16"/>
          <w:szCs w:val="16"/>
        </w:rPr>
        <w:t xml:space="preserve"> </w:t>
      </w:r>
    </w:p>
    <w:p w14:paraId="29419515" w14:textId="77777777" w:rsidR="00AD1397" w:rsidRDefault="00AD139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E2C47"/>
    <w:multiLevelType w:val="hybridMultilevel"/>
    <w:tmpl w:val="BB9C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97"/>
    <w:rsid w:val="000204DF"/>
    <w:rsid w:val="00027845"/>
    <w:rsid w:val="00044AF6"/>
    <w:rsid w:val="000D217D"/>
    <w:rsid w:val="001131F9"/>
    <w:rsid w:val="001A6C43"/>
    <w:rsid w:val="001D275D"/>
    <w:rsid w:val="002043D1"/>
    <w:rsid w:val="002C0935"/>
    <w:rsid w:val="002C74D2"/>
    <w:rsid w:val="003273EC"/>
    <w:rsid w:val="003D0C95"/>
    <w:rsid w:val="003D5FA3"/>
    <w:rsid w:val="00542D8F"/>
    <w:rsid w:val="00605184"/>
    <w:rsid w:val="00647561"/>
    <w:rsid w:val="00685EBA"/>
    <w:rsid w:val="00887DBC"/>
    <w:rsid w:val="008C7478"/>
    <w:rsid w:val="009D0675"/>
    <w:rsid w:val="00A3684F"/>
    <w:rsid w:val="00A95128"/>
    <w:rsid w:val="00AD1397"/>
    <w:rsid w:val="00B46C19"/>
    <w:rsid w:val="00BC6B3B"/>
    <w:rsid w:val="00BD6750"/>
    <w:rsid w:val="00DE6BE4"/>
    <w:rsid w:val="00EE0177"/>
    <w:rsid w:val="00F77C7E"/>
    <w:rsid w:val="00F82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E42A0"/>
  <w15:chartTrackingRefBased/>
  <w15:docId w15:val="{AC9AA39A-A927-9F41-8546-1E5FCFB4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397"/>
    <w:pPr>
      <w:autoSpaceDE w:val="0"/>
      <w:autoSpaceDN w:val="0"/>
      <w:adjustRightInd w:val="0"/>
    </w:pPr>
    <w:rPr>
      <w:rFonts w:ascii="Garamond" w:hAnsi="Garamond" w:cs="Garamond"/>
      <w:color w:val="000000"/>
    </w:rPr>
  </w:style>
  <w:style w:type="paragraph" w:styleId="FootnoteText">
    <w:name w:val="footnote text"/>
    <w:basedOn w:val="Normal"/>
    <w:link w:val="FootnoteTextChar"/>
    <w:uiPriority w:val="99"/>
    <w:semiHidden/>
    <w:unhideWhenUsed/>
    <w:rsid w:val="00AD1397"/>
    <w:rPr>
      <w:sz w:val="20"/>
      <w:szCs w:val="20"/>
    </w:rPr>
  </w:style>
  <w:style w:type="character" w:customStyle="1" w:styleId="FootnoteTextChar">
    <w:name w:val="Footnote Text Char"/>
    <w:basedOn w:val="DefaultParagraphFont"/>
    <w:link w:val="FootnoteText"/>
    <w:uiPriority w:val="99"/>
    <w:semiHidden/>
    <w:rsid w:val="00AD1397"/>
    <w:rPr>
      <w:sz w:val="20"/>
      <w:szCs w:val="20"/>
    </w:rPr>
  </w:style>
  <w:style w:type="character" w:styleId="FootnoteReference">
    <w:name w:val="footnote reference"/>
    <w:basedOn w:val="DefaultParagraphFont"/>
    <w:uiPriority w:val="99"/>
    <w:semiHidden/>
    <w:unhideWhenUsed/>
    <w:rsid w:val="00AD1397"/>
    <w:rPr>
      <w:vertAlign w:val="superscript"/>
    </w:rPr>
  </w:style>
  <w:style w:type="table" w:styleId="TableGrid">
    <w:name w:val="Table Grid"/>
    <w:basedOn w:val="TableNormal"/>
    <w:uiPriority w:val="39"/>
    <w:rsid w:val="00AD1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177"/>
    <w:rPr>
      <w:color w:val="0563C1" w:themeColor="hyperlink"/>
      <w:u w:val="single"/>
    </w:rPr>
  </w:style>
  <w:style w:type="character" w:customStyle="1" w:styleId="UnresolvedMention">
    <w:name w:val="Unresolved Mention"/>
    <w:basedOn w:val="DefaultParagraphFont"/>
    <w:uiPriority w:val="99"/>
    <w:semiHidden/>
    <w:unhideWhenUsed/>
    <w:rsid w:val="00EE0177"/>
    <w:rPr>
      <w:color w:val="605E5C"/>
      <w:shd w:val="clear" w:color="auto" w:fill="E1DFDD"/>
    </w:rPr>
  </w:style>
  <w:style w:type="character" w:styleId="CommentReference">
    <w:name w:val="annotation reference"/>
    <w:basedOn w:val="DefaultParagraphFont"/>
    <w:uiPriority w:val="99"/>
    <w:semiHidden/>
    <w:unhideWhenUsed/>
    <w:rsid w:val="00BD6750"/>
    <w:rPr>
      <w:sz w:val="16"/>
      <w:szCs w:val="16"/>
    </w:rPr>
  </w:style>
  <w:style w:type="paragraph" w:styleId="CommentText">
    <w:name w:val="annotation text"/>
    <w:basedOn w:val="Normal"/>
    <w:link w:val="CommentTextChar"/>
    <w:uiPriority w:val="99"/>
    <w:semiHidden/>
    <w:unhideWhenUsed/>
    <w:rsid w:val="00BD6750"/>
    <w:rPr>
      <w:sz w:val="20"/>
      <w:szCs w:val="20"/>
    </w:rPr>
  </w:style>
  <w:style w:type="character" w:customStyle="1" w:styleId="CommentTextChar">
    <w:name w:val="Comment Text Char"/>
    <w:basedOn w:val="DefaultParagraphFont"/>
    <w:link w:val="CommentText"/>
    <w:uiPriority w:val="99"/>
    <w:semiHidden/>
    <w:rsid w:val="00BD6750"/>
    <w:rPr>
      <w:sz w:val="20"/>
      <w:szCs w:val="20"/>
    </w:rPr>
  </w:style>
  <w:style w:type="paragraph" w:styleId="CommentSubject">
    <w:name w:val="annotation subject"/>
    <w:basedOn w:val="CommentText"/>
    <w:next w:val="CommentText"/>
    <w:link w:val="CommentSubjectChar"/>
    <w:uiPriority w:val="99"/>
    <w:semiHidden/>
    <w:unhideWhenUsed/>
    <w:rsid w:val="00BD6750"/>
    <w:rPr>
      <w:b/>
      <w:bCs/>
    </w:rPr>
  </w:style>
  <w:style w:type="character" w:customStyle="1" w:styleId="CommentSubjectChar">
    <w:name w:val="Comment Subject Char"/>
    <w:basedOn w:val="CommentTextChar"/>
    <w:link w:val="CommentSubject"/>
    <w:uiPriority w:val="99"/>
    <w:semiHidden/>
    <w:rsid w:val="00BD6750"/>
    <w:rPr>
      <w:b/>
      <w:bCs/>
      <w:sz w:val="20"/>
      <w:szCs w:val="20"/>
    </w:rPr>
  </w:style>
  <w:style w:type="paragraph" w:styleId="BalloonText">
    <w:name w:val="Balloon Text"/>
    <w:basedOn w:val="Normal"/>
    <w:link w:val="BalloonTextChar"/>
    <w:uiPriority w:val="99"/>
    <w:semiHidden/>
    <w:unhideWhenUsed/>
    <w:rsid w:val="00BD67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67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talog.ufl.edu/ugrad/current/regulations/info/attendance.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5" Type="http://schemas.openxmlformats.org/officeDocument/2006/relationships/footnotes" Target="footnotes.xml"/><Relationship Id="rId10" Type="http://schemas.openxmlformats.org/officeDocument/2006/relationships/hyperlink" Target="http://www.dso.ufl.edu/drc/" TargetMode="External"/><Relationship Id="rId4" Type="http://schemas.openxmlformats.org/officeDocument/2006/relationships/webSettings" Target="webSettings.xml"/><Relationship Id="rId9" Type="http://schemas.openxmlformats.org/officeDocument/2006/relationships/hyperlink" Target="mailto:boyarshinov@ufl.edu"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8150</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Badida</dc:creator>
  <cp:keywords/>
  <dc:description/>
  <cp:lastModifiedBy>Vaught,Krista</cp:lastModifiedBy>
  <cp:revision>2</cp:revision>
  <dcterms:created xsi:type="dcterms:W3CDTF">2018-12-20T21:17:00Z</dcterms:created>
  <dcterms:modified xsi:type="dcterms:W3CDTF">2018-12-20T21:17:00Z</dcterms:modified>
</cp:coreProperties>
</file>