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46EC" w14:textId="67AD4097" w:rsidR="00A75396" w:rsidRPr="00D92A70" w:rsidRDefault="00FD4669" w:rsidP="00FD4669">
      <w:pPr>
        <w:jc w:val="center"/>
        <w:rPr>
          <w:b/>
          <w:bCs/>
        </w:rPr>
      </w:pPr>
      <w:r w:rsidRPr="00D92A70">
        <w:rPr>
          <w:b/>
          <w:bCs/>
        </w:rPr>
        <w:t>Business Ethics and Compliance for Lawyers</w:t>
      </w:r>
    </w:p>
    <w:p w14:paraId="124D364C" w14:textId="518DF3D6" w:rsidR="00207CFB" w:rsidRPr="00D92A70" w:rsidRDefault="00207CFB" w:rsidP="00207CFB">
      <w:pPr>
        <w:jc w:val="center"/>
        <w:rPr>
          <w:bCs/>
        </w:rPr>
      </w:pPr>
      <w:r w:rsidRPr="00D92A70">
        <w:rPr>
          <w:bCs/>
        </w:rPr>
        <w:t xml:space="preserve">LAW 6936 </w:t>
      </w:r>
      <w:r w:rsidR="00A040A3">
        <w:rPr>
          <w:bCs/>
        </w:rPr>
        <w:t>– 2 credits</w:t>
      </w:r>
    </w:p>
    <w:p w14:paraId="22611018" w14:textId="28C7B8CA" w:rsidR="00DA5353" w:rsidRPr="00D92A70" w:rsidRDefault="00DA5353" w:rsidP="00207CFB">
      <w:pPr>
        <w:jc w:val="center"/>
        <w:rPr>
          <w:bCs/>
        </w:rPr>
      </w:pPr>
      <w:r w:rsidRPr="00D92A70">
        <w:rPr>
          <w:bCs/>
        </w:rPr>
        <w:t>Fall 2022- Syllabus</w:t>
      </w:r>
    </w:p>
    <w:p w14:paraId="062361D4" w14:textId="628780DE" w:rsidR="00FD4669" w:rsidRDefault="00FD4669" w:rsidP="00FD4669">
      <w:pPr>
        <w:jc w:val="center"/>
      </w:pPr>
      <w:r>
        <w:t>Mark P. Graves, JD, MBA</w:t>
      </w:r>
    </w:p>
    <w:p w14:paraId="0367AC94" w14:textId="3F471E4F" w:rsidR="00FD4669" w:rsidRDefault="00FD4669" w:rsidP="00FD4669">
      <w:pPr>
        <w:jc w:val="center"/>
      </w:pPr>
      <w:r>
        <w:t>University of Florida Levin College of Law</w:t>
      </w:r>
    </w:p>
    <w:p w14:paraId="7F0487C3" w14:textId="4007049A" w:rsidR="00FD4669" w:rsidRDefault="00FD4669" w:rsidP="00FD4669">
      <w:pPr>
        <w:jc w:val="center"/>
      </w:pPr>
    </w:p>
    <w:p w14:paraId="68486AEC" w14:textId="77777777" w:rsidR="00DA5353" w:rsidRDefault="00DA5353" w:rsidP="00FD4669">
      <w:pPr>
        <w:jc w:val="center"/>
      </w:pPr>
    </w:p>
    <w:p w14:paraId="27D1D565" w14:textId="20AFE5AE" w:rsidR="00FD4669" w:rsidRDefault="00FD4669" w:rsidP="00FD4669">
      <w:pPr>
        <w:jc w:val="both"/>
      </w:pPr>
      <w:r>
        <w:t>Mark P. Graves, JD, MBA</w:t>
      </w:r>
    </w:p>
    <w:p w14:paraId="170B0C85" w14:textId="6470A8DA" w:rsidR="00FD4669" w:rsidRDefault="00FD4669" w:rsidP="00FD4669">
      <w:pPr>
        <w:jc w:val="both"/>
      </w:pPr>
      <w:r>
        <w:t>Senior Vice President &amp; Chief Compliance Officer</w:t>
      </w:r>
    </w:p>
    <w:p w14:paraId="510AA90F" w14:textId="68CA72D0" w:rsidR="00FD4669" w:rsidRDefault="00FD4669" w:rsidP="00FD4669">
      <w:pPr>
        <w:jc w:val="both"/>
      </w:pPr>
      <w:r>
        <w:t>MIMEDX Group, Inc.</w:t>
      </w:r>
    </w:p>
    <w:p w14:paraId="39A37998" w14:textId="4A70BB5D" w:rsidR="00FD4669" w:rsidRDefault="00D63E66" w:rsidP="00FD4669">
      <w:pPr>
        <w:jc w:val="both"/>
      </w:pPr>
      <w:r>
        <w:t>Phone: 678-662-5331</w:t>
      </w:r>
    </w:p>
    <w:p w14:paraId="61D0B7B9" w14:textId="159C8C86" w:rsidR="00D63E66" w:rsidRDefault="00D63E66" w:rsidP="00FD4669">
      <w:pPr>
        <w:jc w:val="both"/>
      </w:pPr>
      <w:r>
        <w:t xml:space="preserve">Email:   </w:t>
      </w:r>
      <w:hyperlink r:id="rId6" w:history="1">
        <w:r w:rsidRPr="008C3054">
          <w:rPr>
            <w:rStyle w:val="Hyperlink"/>
          </w:rPr>
          <w:t>markpg65@gmail.com</w:t>
        </w:r>
      </w:hyperlink>
    </w:p>
    <w:p w14:paraId="34D91877" w14:textId="01398F24" w:rsidR="00D63E66" w:rsidRDefault="00D92A70" w:rsidP="00FD4669">
      <w:pPr>
        <w:jc w:val="both"/>
      </w:pPr>
      <w:r>
        <w:t>Office Hours: Thursdays, 2:00pm to 2:45pm &amp; 5:15pm to 6:00pm</w:t>
      </w:r>
      <w:r w:rsidR="00C16006">
        <w:t xml:space="preserve"> in the Adjunct Faculty office</w:t>
      </w:r>
      <w:r>
        <w:t>,</w:t>
      </w:r>
      <w:r w:rsidR="00D63E66">
        <w:t xml:space="preserve"> </w:t>
      </w:r>
      <w:r w:rsidR="00AF2384">
        <w:t>and by appointment</w:t>
      </w:r>
      <w:r w:rsidR="001C5A8C">
        <w:t>, in room 323</w:t>
      </w:r>
      <w:r w:rsidR="006074FB">
        <w:t>.</w:t>
      </w:r>
      <w:r w:rsidR="00DD44EA" w:rsidRPr="00F632DB">
        <w:rPr>
          <w:color w:val="FF0000"/>
        </w:rPr>
        <w:t xml:space="preserve">  </w:t>
      </w:r>
      <w:r w:rsidR="00DD44EA">
        <w:t xml:space="preserve">I enjoy talking about all things legal, compliance and ethics.  However, I am happy to talk about whatever might be helpful as you prepare for your post-law school career.  </w:t>
      </w:r>
    </w:p>
    <w:p w14:paraId="3E7C5A38" w14:textId="439DD8F5" w:rsidR="00AF2384" w:rsidRDefault="00AF2384" w:rsidP="00FD4669">
      <w:pPr>
        <w:jc w:val="both"/>
      </w:pPr>
    </w:p>
    <w:p w14:paraId="1998F4D7" w14:textId="0BC700E8" w:rsidR="00AF2384" w:rsidRDefault="00AF2384" w:rsidP="00FD4669">
      <w:pPr>
        <w:jc w:val="both"/>
      </w:pPr>
      <w:r w:rsidRPr="00766FF6">
        <w:rPr>
          <w:b/>
          <w:bCs/>
        </w:rPr>
        <w:t>Meeting Time:</w:t>
      </w:r>
      <w:r>
        <w:t xml:space="preserve"> T</w:t>
      </w:r>
      <w:r w:rsidR="009C3718">
        <w:t>hur</w:t>
      </w:r>
      <w:r>
        <w:t xml:space="preserve">sdays, </w:t>
      </w:r>
      <w:r w:rsidR="009C3718">
        <w:t>3:00pm</w:t>
      </w:r>
      <w:r>
        <w:t xml:space="preserve"> to </w:t>
      </w:r>
      <w:r w:rsidR="009C3718">
        <w:t>5</w:t>
      </w:r>
      <w:r>
        <w:t>:00pm</w:t>
      </w:r>
    </w:p>
    <w:p w14:paraId="7DF415D9" w14:textId="672669FE" w:rsidR="00AF2384" w:rsidRDefault="00AF2384" w:rsidP="00FD4669">
      <w:pPr>
        <w:jc w:val="both"/>
      </w:pPr>
      <w:r w:rsidRPr="00766FF6">
        <w:rPr>
          <w:b/>
          <w:bCs/>
        </w:rPr>
        <w:t>Location:</w:t>
      </w:r>
      <w:r w:rsidR="00207CFB">
        <w:t xml:space="preserve">  Levin College of Law, Room:  HH-285A</w:t>
      </w:r>
    </w:p>
    <w:p w14:paraId="2E206C86" w14:textId="2CF00BA6" w:rsidR="00D63E66" w:rsidRDefault="00D63E66" w:rsidP="00FD4669">
      <w:pPr>
        <w:jc w:val="both"/>
      </w:pPr>
    </w:p>
    <w:p w14:paraId="0FFBB746" w14:textId="52C718ED" w:rsidR="00D63E66" w:rsidRDefault="00766FF6" w:rsidP="00EF7675">
      <w:pPr>
        <w:rPr>
          <w:rFonts w:eastAsia="Times New Roman" w:cstheme="minorHAnsi"/>
          <w:color w:val="222222"/>
          <w:shd w:val="clear" w:color="auto" w:fill="FFFFFF"/>
        </w:rPr>
      </w:pPr>
      <w:r w:rsidRPr="00EF7675">
        <w:rPr>
          <w:rFonts w:eastAsia="Times New Roman" w:cstheme="minorHAnsi"/>
          <w:b/>
          <w:bCs/>
          <w:color w:val="222222"/>
          <w:shd w:val="clear" w:color="auto" w:fill="FFFFFF"/>
        </w:rPr>
        <w:t>Course Descri</w:t>
      </w:r>
      <w:r w:rsidR="00EF7675" w:rsidRPr="00EF7675">
        <w:rPr>
          <w:rFonts w:eastAsia="Times New Roman" w:cstheme="minorHAnsi"/>
          <w:b/>
          <w:bCs/>
          <w:color w:val="222222"/>
          <w:shd w:val="clear" w:color="auto" w:fill="FFFFFF"/>
        </w:rPr>
        <w:t>ption:</w:t>
      </w:r>
      <w:r w:rsidR="00EF7675">
        <w:rPr>
          <w:rFonts w:eastAsia="Times New Roman" w:cstheme="minorHAnsi"/>
          <w:color w:val="222222"/>
          <w:shd w:val="clear" w:color="auto" w:fill="FFFFFF"/>
        </w:rPr>
        <w:t xml:space="preserve">  </w:t>
      </w:r>
      <w:r w:rsidR="00D63E66" w:rsidRPr="00D63E66">
        <w:rPr>
          <w:rFonts w:eastAsia="Times New Roman" w:cstheme="minorHAnsi"/>
          <w:color w:val="222222"/>
          <w:shd w:val="clear" w:color="auto" w:fill="FFFFFF"/>
        </w:rPr>
        <w:t xml:space="preserve">This seminar will help students develop both substantive legal knowledge and practical skills in the areas of business ethics and compliance.  On the compliance front, students will gain an understanding of the legal and regulatory framework surrounding the design, implementation, and execution of an effective corporate compliance program, as well as current issues in corporate governance. On the ethics front, students will learn to deal with business ethics issues in a rational, pragmatic, responsible, and decisive manner through acquiring critical thinking skills. The course will involve </w:t>
      </w:r>
      <w:proofErr w:type="gramStart"/>
      <w:r w:rsidR="00D63E66" w:rsidRPr="00D63E66">
        <w:rPr>
          <w:rFonts w:eastAsia="Times New Roman" w:cstheme="minorHAnsi"/>
          <w:color w:val="222222"/>
          <w:shd w:val="clear" w:color="auto" w:fill="FFFFFF"/>
        </w:rPr>
        <w:t>a number of</w:t>
      </w:r>
      <w:proofErr w:type="gramEnd"/>
      <w:r w:rsidR="00D63E66" w:rsidRPr="00D63E66">
        <w:rPr>
          <w:rFonts w:eastAsia="Times New Roman" w:cstheme="minorHAnsi"/>
          <w:color w:val="222222"/>
          <w:shd w:val="clear" w:color="auto" w:fill="FFFFFF"/>
        </w:rPr>
        <w:t xml:space="preserve"> case studies that allow students to identify biases and logical fallacies that can affect the persuasiveness of one’s arguments, evaluate frameworks for reconciling legal ethical dilemmas, and an opportunity to satisfy the advanced writing requirement. </w:t>
      </w:r>
    </w:p>
    <w:p w14:paraId="3B1414D0" w14:textId="0C6F4BCD" w:rsidR="00821B70" w:rsidRDefault="00821B70" w:rsidP="00EF7675">
      <w:pPr>
        <w:rPr>
          <w:rFonts w:eastAsia="Times New Roman" w:cstheme="minorHAnsi"/>
          <w:color w:val="222222"/>
          <w:shd w:val="clear" w:color="auto" w:fill="FFFFFF"/>
        </w:rPr>
      </w:pPr>
    </w:p>
    <w:p w14:paraId="24BBC1F4" w14:textId="5F992F26" w:rsidR="00821B70" w:rsidRDefault="00821B70" w:rsidP="00EF7675">
      <w:pPr>
        <w:rPr>
          <w:rFonts w:eastAsia="Times New Roman" w:cstheme="minorHAnsi"/>
          <w:color w:val="222222"/>
          <w:shd w:val="clear" w:color="auto" w:fill="FFFFFF"/>
        </w:rPr>
      </w:pPr>
      <w:r>
        <w:rPr>
          <w:rFonts w:eastAsia="Times New Roman" w:cstheme="minorHAnsi"/>
          <w:color w:val="222222"/>
          <w:shd w:val="clear" w:color="auto" w:fill="FFFFFF"/>
        </w:rPr>
        <w:t xml:space="preserve">The class will be interactive, with frequent discussion around case studies and subject matter expert guest speakers where appropriate.  </w:t>
      </w:r>
    </w:p>
    <w:p w14:paraId="39D392D7" w14:textId="04B50372" w:rsidR="00EF7675" w:rsidRDefault="00EF7675" w:rsidP="00EF7675">
      <w:pPr>
        <w:rPr>
          <w:rFonts w:eastAsia="Times New Roman" w:cstheme="minorHAnsi"/>
          <w:color w:val="222222"/>
          <w:shd w:val="clear" w:color="auto" w:fill="FFFFFF"/>
        </w:rPr>
      </w:pPr>
    </w:p>
    <w:p w14:paraId="2F51EEE0" w14:textId="79CA9A31" w:rsidR="00EF7675" w:rsidRDefault="00EF7675" w:rsidP="00EF7675">
      <w:pPr>
        <w:rPr>
          <w:rFonts w:eastAsia="Times New Roman" w:cstheme="minorHAnsi"/>
          <w:b/>
          <w:bCs/>
          <w:color w:val="222222"/>
          <w:shd w:val="clear" w:color="auto" w:fill="FFFFFF"/>
        </w:rPr>
      </w:pPr>
      <w:r w:rsidRPr="00EF7675">
        <w:rPr>
          <w:rFonts w:eastAsia="Times New Roman" w:cstheme="minorHAnsi"/>
          <w:b/>
          <w:bCs/>
          <w:color w:val="222222"/>
          <w:shd w:val="clear" w:color="auto" w:fill="FFFFFF"/>
        </w:rPr>
        <w:t>Course Objectives/Learning Objectives:</w:t>
      </w:r>
    </w:p>
    <w:p w14:paraId="6C8A3FA9" w14:textId="77777777" w:rsidR="00840FE2" w:rsidRDefault="00840FE2" w:rsidP="00EF7675">
      <w:pPr>
        <w:rPr>
          <w:rFonts w:eastAsia="Times New Roman" w:cstheme="minorHAnsi"/>
          <w:b/>
          <w:bCs/>
          <w:color w:val="222222"/>
          <w:shd w:val="clear" w:color="auto" w:fill="FFFFFF"/>
        </w:rPr>
      </w:pPr>
    </w:p>
    <w:p w14:paraId="7793701D" w14:textId="5070BC23" w:rsidR="003828EE" w:rsidRDefault="003828EE" w:rsidP="003828EE">
      <w:pPr>
        <w:rPr>
          <w:rFonts w:eastAsia="Times New Roman" w:cstheme="minorHAnsi"/>
          <w:color w:val="222222"/>
          <w:shd w:val="clear" w:color="auto" w:fill="FFFFFF"/>
        </w:rPr>
      </w:pPr>
      <w:r>
        <w:rPr>
          <w:rFonts w:eastAsia="Times New Roman" w:cstheme="minorHAnsi"/>
          <w:color w:val="222222"/>
          <w:shd w:val="clear" w:color="auto" w:fill="FFFFFF"/>
        </w:rPr>
        <w:t>After completing this course, students should be able to:</w:t>
      </w:r>
    </w:p>
    <w:p w14:paraId="55D1974D" w14:textId="77777777" w:rsidR="00AA187F" w:rsidRDefault="00AA187F" w:rsidP="003828EE">
      <w:pPr>
        <w:rPr>
          <w:rFonts w:eastAsia="Times New Roman" w:cstheme="minorHAnsi"/>
          <w:color w:val="222222"/>
          <w:shd w:val="clear" w:color="auto" w:fill="FFFFFF"/>
        </w:rPr>
      </w:pPr>
    </w:p>
    <w:p w14:paraId="726865F1" w14:textId="1DCA31FB" w:rsidR="003828EE" w:rsidRDefault="00A46905" w:rsidP="00487CE5">
      <w:pPr>
        <w:pStyle w:val="ListParagraph"/>
        <w:numPr>
          <w:ilvl w:val="0"/>
          <w:numId w:val="4"/>
        </w:numPr>
        <w:rPr>
          <w:rFonts w:eastAsia="Times New Roman" w:cstheme="minorHAnsi"/>
          <w:color w:val="222222"/>
          <w:shd w:val="clear" w:color="auto" w:fill="FFFFFF"/>
        </w:rPr>
      </w:pPr>
      <w:r>
        <w:rPr>
          <w:rFonts w:eastAsia="Times New Roman" w:cstheme="minorHAnsi"/>
          <w:color w:val="222222"/>
          <w:shd w:val="clear" w:color="auto" w:fill="FFFFFF"/>
        </w:rPr>
        <w:t>Demonstrate an understanding of the origin and evolution of an effective corporate compliance program</w:t>
      </w:r>
      <w:r w:rsidR="00AF6E2C">
        <w:rPr>
          <w:rFonts w:eastAsia="Times New Roman" w:cstheme="minorHAnsi"/>
          <w:color w:val="222222"/>
          <w:shd w:val="clear" w:color="auto" w:fill="FFFFFF"/>
        </w:rPr>
        <w:t xml:space="preserve"> and the </w:t>
      </w:r>
      <w:r w:rsidR="00F9376E">
        <w:rPr>
          <w:rFonts w:eastAsia="Times New Roman" w:cstheme="minorHAnsi"/>
          <w:color w:val="222222"/>
          <w:shd w:val="clear" w:color="auto" w:fill="FFFFFF"/>
        </w:rPr>
        <w:t xml:space="preserve">seven </w:t>
      </w:r>
      <w:r w:rsidR="00AF6E2C">
        <w:rPr>
          <w:rFonts w:eastAsia="Times New Roman" w:cstheme="minorHAnsi"/>
          <w:color w:val="222222"/>
          <w:shd w:val="clear" w:color="auto" w:fill="FFFFFF"/>
        </w:rPr>
        <w:t>elements thereof</w:t>
      </w:r>
      <w:r w:rsidR="005B6060">
        <w:rPr>
          <w:rFonts w:eastAsia="Times New Roman" w:cstheme="minorHAnsi"/>
          <w:color w:val="222222"/>
          <w:shd w:val="clear" w:color="auto" w:fill="FFFFFF"/>
        </w:rPr>
        <w:t xml:space="preserve"> (</w:t>
      </w:r>
      <w:r>
        <w:rPr>
          <w:rFonts w:eastAsia="Times New Roman" w:cstheme="minorHAnsi"/>
          <w:color w:val="222222"/>
          <w:shd w:val="clear" w:color="auto" w:fill="FFFFFF"/>
        </w:rPr>
        <w:t xml:space="preserve">from Chapter </w:t>
      </w:r>
      <w:r w:rsidR="006B3773">
        <w:rPr>
          <w:rFonts w:eastAsia="Times New Roman" w:cstheme="minorHAnsi"/>
          <w:color w:val="222222"/>
          <w:shd w:val="clear" w:color="auto" w:fill="FFFFFF"/>
        </w:rPr>
        <w:t>Eight of the Federal Sentencing Guidelines</w:t>
      </w:r>
      <w:r w:rsidR="00300373">
        <w:rPr>
          <w:rFonts w:eastAsia="Times New Roman" w:cstheme="minorHAnsi"/>
          <w:color w:val="222222"/>
          <w:shd w:val="clear" w:color="auto" w:fill="FFFFFF"/>
        </w:rPr>
        <w:t xml:space="preserve"> (1991)</w:t>
      </w:r>
      <w:r w:rsidR="006B3773">
        <w:rPr>
          <w:rFonts w:eastAsia="Times New Roman" w:cstheme="minorHAnsi"/>
          <w:color w:val="222222"/>
          <w:shd w:val="clear" w:color="auto" w:fill="FFFFFF"/>
        </w:rPr>
        <w:t xml:space="preserve"> to more current government guidance and case law </w:t>
      </w:r>
      <w:r w:rsidR="00FC1EBE">
        <w:rPr>
          <w:rFonts w:eastAsia="Times New Roman" w:cstheme="minorHAnsi"/>
          <w:color w:val="222222"/>
          <w:shd w:val="clear" w:color="auto" w:fill="FFFFFF"/>
        </w:rPr>
        <w:t>regarding</w:t>
      </w:r>
      <w:r w:rsidR="006B3773">
        <w:rPr>
          <w:rFonts w:eastAsia="Times New Roman" w:cstheme="minorHAnsi"/>
          <w:color w:val="222222"/>
          <w:shd w:val="clear" w:color="auto" w:fill="FFFFFF"/>
        </w:rPr>
        <w:t xml:space="preserve"> specific </w:t>
      </w:r>
      <w:proofErr w:type="gramStart"/>
      <w:r w:rsidR="00C16006">
        <w:rPr>
          <w:rFonts w:eastAsia="Times New Roman" w:cstheme="minorHAnsi"/>
          <w:color w:val="222222"/>
          <w:shd w:val="clear" w:color="auto" w:fill="FFFFFF"/>
        </w:rPr>
        <w:t>industries</w:t>
      </w:r>
      <w:r w:rsidR="00813FB1">
        <w:rPr>
          <w:rFonts w:eastAsia="Times New Roman" w:cstheme="minorHAnsi"/>
          <w:color w:val="222222"/>
          <w:shd w:val="clear" w:color="auto" w:fill="FFFFFF"/>
        </w:rPr>
        <w:t>;</w:t>
      </w:r>
      <w:proofErr w:type="gramEnd"/>
    </w:p>
    <w:p w14:paraId="31F01FA7" w14:textId="14269687" w:rsidR="001F578C" w:rsidRDefault="00F9376E" w:rsidP="00487CE5">
      <w:pPr>
        <w:pStyle w:val="ListParagraph"/>
        <w:numPr>
          <w:ilvl w:val="0"/>
          <w:numId w:val="4"/>
        </w:numPr>
        <w:rPr>
          <w:rFonts w:eastAsia="Times New Roman" w:cstheme="minorHAnsi"/>
          <w:color w:val="222222"/>
          <w:shd w:val="clear" w:color="auto" w:fill="FFFFFF"/>
        </w:rPr>
      </w:pPr>
      <w:r>
        <w:rPr>
          <w:rFonts w:eastAsia="Times New Roman" w:cstheme="minorHAnsi"/>
          <w:color w:val="222222"/>
          <w:shd w:val="clear" w:color="auto" w:fill="FFFFFF"/>
        </w:rPr>
        <w:lastRenderedPageBreak/>
        <w:t>Demonstrate an understanding of specific compliance risks beyond the “seven elements,” such as anti-corruption and anti-bribery</w:t>
      </w:r>
      <w:r w:rsidR="001F578C">
        <w:rPr>
          <w:rFonts w:eastAsia="Times New Roman" w:cstheme="minorHAnsi"/>
          <w:color w:val="222222"/>
          <w:shd w:val="clear" w:color="auto" w:fill="FFFFFF"/>
        </w:rPr>
        <w:t xml:space="preserve"> (domestic and OUS</w:t>
      </w:r>
      <w:r w:rsidR="00FC1EBE">
        <w:rPr>
          <w:rFonts w:eastAsia="Times New Roman" w:cstheme="minorHAnsi"/>
          <w:color w:val="222222"/>
          <w:shd w:val="clear" w:color="auto" w:fill="FFFFFF"/>
        </w:rPr>
        <w:t>)</w:t>
      </w:r>
      <w:r>
        <w:rPr>
          <w:rFonts w:eastAsia="Times New Roman" w:cstheme="minorHAnsi"/>
          <w:color w:val="222222"/>
          <w:shd w:val="clear" w:color="auto" w:fill="FFFFFF"/>
        </w:rPr>
        <w:t xml:space="preserve">, conflicts of interest, government contracting, government enforcement actions and </w:t>
      </w:r>
      <w:proofErr w:type="gramStart"/>
      <w:r>
        <w:rPr>
          <w:rFonts w:eastAsia="Times New Roman" w:cstheme="minorHAnsi"/>
          <w:color w:val="222222"/>
          <w:shd w:val="clear" w:color="auto" w:fill="FFFFFF"/>
        </w:rPr>
        <w:t>disclosures</w:t>
      </w:r>
      <w:r w:rsidR="000451FD">
        <w:rPr>
          <w:rFonts w:eastAsia="Times New Roman" w:cstheme="minorHAnsi"/>
          <w:color w:val="222222"/>
          <w:shd w:val="clear" w:color="auto" w:fill="FFFFFF"/>
        </w:rPr>
        <w:t>;</w:t>
      </w:r>
      <w:proofErr w:type="gramEnd"/>
    </w:p>
    <w:p w14:paraId="6B2D4E71" w14:textId="72D22924" w:rsidR="00300373" w:rsidRDefault="00216C03" w:rsidP="00487CE5">
      <w:pPr>
        <w:pStyle w:val="ListParagraph"/>
        <w:numPr>
          <w:ilvl w:val="0"/>
          <w:numId w:val="4"/>
        </w:numPr>
        <w:rPr>
          <w:rFonts w:eastAsia="Times New Roman" w:cstheme="minorHAnsi"/>
          <w:color w:val="222222"/>
          <w:shd w:val="clear" w:color="auto" w:fill="FFFFFF"/>
        </w:rPr>
      </w:pPr>
      <w:r>
        <w:rPr>
          <w:rFonts w:eastAsia="Times New Roman" w:cstheme="minorHAnsi"/>
          <w:color w:val="222222"/>
          <w:shd w:val="clear" w:color="auto" w:fill="FFFFFF"/>
        </w:rPr>
        <w:t xml:space="preserve">Demonstrate an understanding of how personal and organizational </w:t>
      </w:r>
      <w:r w:rsidR="00FC1EBE">
        <w:rPr>
          <w:rFonts w:eastAsia="Times New Roman" w:cstheme="minorHAnsi"/>
          <w:color w:val="222222"/>
          <w:shd w:val="clear" w:color="auto" w:fill="FFFFFF"/>
        </w:rPr>
        <w:t xml:space="preserve">ethical decision-making </w:t>
      </w:r>
      <w:proofErr w:type="gramStart"/>
      <w:r w:rsidR="00FC1EBE">
        <w:rPr>
          <w:rFonts w:eastAsia="Times New Roman" w:cstheme="minorHAnsi"/>
          <w:color w:val="222222"/>
          <w:shd w:val="clear" w:color="auto" w:fill="FFFFFF"/>
        </w:rPr>
        <w:t>works;</w:t>
      </w:r>
      <w:proofErr w:type="gramEnd"/>
    </w:p>
    <w:p w14:paraId="0381500E" w14:textId="7B7789DE" w:rsidR="004220D2" w:rsidRDefault="004220D2" w:rsidP="00487CE5">
      <w:pPr>
        <w:pStyle w:val="ListParagraph"/>
        <w:numPr>
          <w:ilvl w:val="0"/>
          <w:numId w:val="4"/>
        </w:numPr>
        <w:rPr>
          <w:rFonts w:eastAsia="Times New Roman" w:cstheme="minorHAnsi"/>
          <w:color w:val="222222"/>
          <w:shd w:val="clear" w:color="auto" w:fill="FFFFFF"/>
        </w:rPr>
      </w:pPr>
      <w:r>
        <w:rPr>
          <w:rFonts w:eastAsia="Times New Roman" w:cstheme="minorHAnsi"/>
          <w:color w:val="222222"/>
          <w:shd w:val="clear" w:color="auto" w:fill="FFFFFF"/>
        </w:rPr>
        <w:t xml:space="preserve">Identify key organizational tools, systems, and policies that apply to identifying and effectively navigating specific categories of ethical </w:t>
      </w:r>
      <w:proofErr w:type="gramStart"/>
      <w:r>
        <w:rPr>
          <w:rFonts w:eastAsia="Times New Roman" w:cstheme="minorHAnsi"/>
          <w:color w:val="222222"/>
          <w:shd w:val="clear" w:color="auto" w:fill="FFFFFF"/>
        </w:rPr>
        <w:t>dilemmas;</w:t>
      </w:r>
      <w:proofErr w:type="gramEnd"/>
    </w:p>
    <w:p w14:paraId="44AC802B" w14:textId="78FEBAD4" w:rsidR="00FC1EBE" w:rsidRDefault="00FC1EBE" w:rsidP="00487CE5">
      <w:pPr>
        <w:pStyle w:val="ListParagraph"/>
        <w:numPr>
          <w:ilvl w:val="0"/>
          <w:numId w:val="4"/>
        </w:numPr>
        <w:rPr>
          <w:rFonts w:eastAsia="Times New Roman" w:cstheme="minorHAnsi"/>
          <w:color w:val="222222"/>
          <w:shd w:val="clear" w:color="auto" w:fill="FFFFFF"/>
        </w:rPr>
      </w:pPr>
      <w:r>
        <w:rPr>
          <w:rFonts w:eastAsia="Times New Roman" w:cstheme="minorHAnsi"/>
          <w:color w:val="222222"/>
          <w:shd w:val="clear" w:color="auto" w:fill="FFFFFF"/>
        </w:rPr>
        <w:t xml:space="preserve">Understand why business ethics is a crucial underpinning to </w:t>
      </w:r>
      <w:r w:rsidR="004220D2">
        <w:rPr>
          <w:rFonts w:eastAsia="Times New Roman" w:cstheme="minorHAnsi"/>
          <w:color w:val="222222"/>
          <w:shd w:val="clear" w:color="auto" w:fill="FFFFFF"/>
        </w:rPr>
        <w:t xml:space="preserve">helping ensure an organization complies with external legal </w:t>
      </w:r>
      <w:proofErr w:type="gramStart"/>
      <w:r w:rsidR="004220D2">
        <w:rPr>
          <w:rFonts w:eastAsia="Times New Roman" w:cstheme="minorHAnsi"/>
          <w:color w:val="222222"/>
          <w:shd w:val="clear" w:color="auto" w:fill="FFFFFF"/>
        </w:rPr>
        <w:t>norms;</w:t>
      </w:r>
      <w:proofErr w:type="gramEnd"/>
    </w:p>
    <w:p w14:paraId="5F524948" w14:textId="2F8E6F95" w:rsidR="004220D2" w:rsidRDefault="002D7270" w:rsidP="00487CE5">
      <w:pPr>
        <w:pStyle w:val="ListParagraph"/>
        <w:numPr>
          <w:ilvl w:val="0"/>
          <w:numId w:val="4"/>
        </w:numPr>
        <w:rPr>
          <w:rFonts w:eastAsia="Times New Roman" w:cstheme="minorHAnsi"/>
          <w:color w:val="222222"/>
          <w:shd w:val="clear" w:color="auto" w:fill="FFFFFF"/>
        </w:rPr>
      </w:pPr>
      <w:r>
        <w:rPr>
          <w:rFonts w:eastAsia="Times New Roman" w:cstheme="minorHAnsi"/>
          <w:color w:val="222222"/>
          <w:shd w:val="clear" w:color="auto" w:fill="FFFFFF"/>
        </w:rPr>
        <w:t>Apply</w:t>
      </w:r>
      <w:r w:rsidR="0031410D">
        <w:rPr>
          <w:rFonts w:eastAsia="Times New Roman" w:cstheme="minorHAnsi"/>
          <w:color w:val="222222"/>
          <w:shd w:val="clear" w:color="auto" w:fill="FFFFFF"/>
        </w:rPr>
        <w:t xml:space="preserve"> their learned, substantive legal knowledge surrounding effective compliance programs with their acquired ethical decision-making framework, to add value in advising business clients on compliance, ethical, and risk management issues, and to successfully advise in-house compliance programs.  </w:t>
      </w:r>
    </w:p>
    <w:p w14:paraId="065B6699" w14:textId="77777777" w:rsidR="00A05376" w:rsidRPr="00A05376" w:rsidRDefault="00A05376" w:rsidP="00A05376">
      <w:pPr>
        <w:jc w:val="both"/>
        <w:rPr>
          <w:rFonts w:eastAsia="Times New Roman" w:cstheme="minorHAnsi"/>
          <w:color w:val="222222"/>
          <w:shd w:val="clear" w:color="auto" w:fill="FFFFFF"/>
        </w:rPr>
      </w:pPr>
    </w:p>
    <w:p w14:paraId="632918F1" w14:textId="0DC78002" w:rsidR="00EF7675" w:rsidRDefault="004F236F" w:rsidP="00EF7675">
      <w:pPr>
        <w:rPr>
          <w:rFonts w:eastAsia="Times New Roman" w:cstheme="minorHAnsi"/>
          <w:b/>
          <w:bCs/>
          <w:color w:val="222222"/>
          <w:shd w:val="clear" w:color="auto" w:fill="FFFFFF"/>
        </w:rPr>
      </w:pPr>
      <w:r w:rsidRPr="004F236F">
        <w:rPr>
          <w:rFonts w:eastAsia="Times New Roman" w:cstheme="minorHAnsi"/>
          <w:b/>
          <w:bCs/>
          <w:color w:val="222222"/>
          <w:shd w:val="clear" w:color="auto" w:fill="FFFFFF"/>
        </w:rPr>
        <w:t>Required Reading Materials:</w:t>
      </w:r>
    </w:p>
    <w:p w14:paraId="398679FC" w14:textId="7702874B" w:rsidR="004F236F" w:rsidRDefault="004F236F" w:rsidP="00EF7675">
      <w:pPr>
        <w:rPr>
          <w:rFonts w:eastAsia="Times New Roman" w:cstheme="minorHAnsi"/>
          <w:b/>
          <w:bCs/>
          <w:color w:val="222222"/>
          <w:shd w:val="clear" w:color="auto" w:fill="FFFFFF"/>
        </w:rPr>
      </w:pPr>
    </w:p>
    <w:p w14:paraId="4CEF2FFE" w14:textId="77777777" w:rsidR="004E2115" w:rsidRDefault="004F236F" w:rsidP="00EF7675">
      <w:pPr>
        <w:rPr>
          <w:rFonts w:eastAsia="Times New Roman" w:cstheme="minorHAnsi"/>
          <w:color w:val="222222"/>
          <w:shd w:val="clear" w:color="auto" w:fill="FFFFFF"/>
        </w:rPr>
      </w:pPr>
      <w:r>
        <w:rPr>
          <w:rFonts w:eastAsia="Times New Roman" w:cstheme="minorHAnsi"/>
          <w:i/>
          <w:iCs/>
          <w:color w:val="222222"/>
          <w:shd w:val="clear" w:color="auto" w:fill="FFFFFF"/>
        </w:rPr>
        <w:t>The Business Ethics Field Guide</w:t>
      </w:r>
      <w:r>
        <w:rPr>
          <w:rFonts w:eastAsia="Times New Roman" w:cstheme="minorHAnsi"/>
          <w:color w:val="222222"/>
          <w:shd w:val="clear" w:color="auto" w:fill="FFFFFF"/>
        </w:rPr>
        <w:t xml:space="preserve">, by Brad </w:t>
      </w:r>
      <w:proofErr w:type="spellStart"/>
      <w:r>
        <w:rPr>
          <w:rFonts w:eastAsia="Times New Roman" w:cstheme="minorHAnsi"/>
          <w:color w:val="222222"/>
          <w:shd w:val="clear" w:color="auto" w:fill="FFFFFF"/>
        </w:rPr>
        <w:t>Agle</w:t>
      </w:r>
      <w:proofErr w:type="spellEnd"/>
      <w:r>
        <w:rPr>
          <w:rFonts w:eastAsia="Times New Roman" w:cstheme="minorHAnsi"/>
          <w:color w:val="222222"/>
          <w:shd w:val="clear" w:color="auto" w:fill="FFFFFF"/>
        </w:rPr>
        <w:t>, Aaron Miller, and Bill O’Rourke is the only required textbook (it is paperb</w:t>
      </w:r>
      <w:r w:rsidR="00AA187F">
        <w:rPr>
          <w:rFonts w:eastAsia="Times New Roman" w:cstheme="minorHAnsi"/>
          <w:color w:val="222222"/>
          <w:shd w:val="clear" w:color="auto" w:fill="FFFFFF"/>
        </w:rPr>
        <w:t>ac</w:t>
      </w:r>
      <w:r>
        <w:rPr>
          <w:rFonts w:eastAsia="Times New Roman" w:cstheme="minorHAnsi"/>
          <w:color w:val="222222"/>
          <w:shd w:val="clear" w:color="auto" w:fill="FFFFFF"/>
        </w:rPr>
        <w:t xml:space="preserve">k for $29.95 on Amazon).  </w:t>
      </w:r>
    </w:p>
    <w:p w14:paraId="1AD38750" w14:textId="77777777" w:rsidR="004E2115" w:rsidRDefault="004E2115" w:rsidP="00EF7675">
      <w:pPr>
        <w:rPr>
          <w:rFonts w:eastAsia="Times New Roman" w:cstheme="minorHAnsi"/>
          <w:color w:val="222222"/>
          <w:shd w:val="clear" w:color="auto" w:fill="FFFFFF"/>
        </w:rPr>
      </w:pPr>
    </w:p>
    <w:p w14:paraId="4C50B644" w14:textId="275043EC" w:rsidR="004E2115" w:rsidRDefault="004E2115" w:rsidP="004E2115">
      <w:pPr>
        <w:rPr>
          <w:rFonts w:eastAsia="Times New Roman" w:cstheme="minorHAnsi"/>
          <w:b/>
          <w:bCs/>
          <w:color w:val="222222"/>
          <w:shd w:val="clear" w:color="auto" w:fill="FFFFFF"/>
        </w:rPr>
      </w:pPr>
      <w:r>
        <w:rPr>
          <w:rFonts w:eastAsia="Times New Roman" w:cstheme="minorHAnsi"/>
          <w:b/>
          <w:color w:val="222222"/>
          <w:shd w:val="clear" w:color="auto" w:fill="FFFFFF"/>
        </w:rPr>
        <w:t>Links to a</w:t>
      </w:r>
      <w:r w:rsidR="00D945A4" w:rsidRPr="00F632DB">
        <w:rPr>
          <w:rFonts w:eastAsia="Times New Roman" w:cstheme="minorHAnsi"/>
          <w:b/>
          <w:color w:val="222222"/>
          <w:shd w:val="clear" w:color="auto" w:fill="FFFFFF"/>
        </w:rPr>
        <w:t xml:space="preserve">dditional required materials </w:t>
      </w:r>
      <w:r>
        <w:rPr>
          <w:rFonts w:eastAsia="Times New Roman" w:cstheme="minorHAnsi"/>
          <w:b/>
          <w:color w:val="222222"/>
          <w:shd w:val="clear" w:color="auto" w:fill="FFFFFF"/>
        </w:rPr>
        <w:t>are provided below in the section entitled, “</w:t>
      </w:r>
      <w:r>
        <w:rPr>
          <w:rFonts w:eastAsia="Times New Roman" w:cstheme="minorHAnsi"/>
          <w:b/>
          <w:bCs/>
          <w:color w:val="222222"/>
          <w:shd w:val="clear" w:color="auto" w:fill="FFFFFF"/>
        </w:rPr>
        <w:t>Weekly Course Schedule of Topics and Assignments”</w:t>
      </w:r>
    </w:p>
    <w:p w14:paraId="02DBA279" w14:textId="3EF4BEA5" w:rsidR="00B47E94" w:rsidRDefault="00B47E94" w:rsidP="00EF7675">
      <w:pPr>
        <w:rPr>
          <w:rFonts w:eastAsia="Times New Roman" w:cstheme="minorHAnsi"/>
          <w:color w:val="222222"/>
          <w:shd w:val="clear" w:color="auto" w:fill="FFFFFF"/>
        </w:rPr>
      </w:pPr>
    </w:p>
    <w:p w14:paraId="4AB86EF8" w14:textId="4B16A314" w:rsidR="00B47E94" w:rsidRDefault="00B47E94" w:rsidP="00EF7675">
      <w:pPr>
        <w:rPr>
          <w:rFonts w:eastAsia="Times New Roman" w:cstheme="minorHAnsi"/>
          <w:b/>
          <w:bCs/>
          <w:color w:val="222222"/>
          <w:shd w:val="clear" w:color="auto" w:fill="FFFFFF"/>
        </w:rPr>
      </w:pPr>
      <w:r>
        <w:rPr>
          <w:rFonts w:eastAsia="Times New Roman" w:cstheme="minorHAnsi"/>
          <w:b/>
          <w:bCs/>
          <w:color w:val="222222"/>
          <w:shd w:val="clear" w:color="auto" w:fill="FFFFFF"/>
        </w:rPr>
        <w:t>Optional Resources:</w:t>
      </w:r>
    </w:p>
    <w:p w14:paraId="3E7B1C05" w14:textId="13EEB8EC" w:rsidR="00B47E94" w:rsidRDefault="00B47E94" w:rsidP="00EF7675">
      <w:pPr>
        <w:rPr>
          <w:rFonts w:eastAsia="Times New Roman" w:cstheme="minorHAnsi"/>
          <w:b/>
          <w:bCs/>
          <w:color w:val="222222"/>
          <w:shd w:val="clear" w:color="auto" w:fill="FFFFFF"/>
        </w:rPr>
      </w:pPr>
    </w:p>
    <w:p w14:paraId="4838E5B0" w14:textId="59AB6C03" w:rsidR="00B47E94" w:rsidRDefault="00B47E94" w:rsidP="00EF7675">
      <w:pPr>
        <w:rPr>
          <w:rFonts w:eastAsia="Times New Roman" w:cstheme="minorHAnsi"/>
          <w:color w:val="222222"/>
          <w:shd w:val="clear" w:color="auto" w:fill="FFFFFF"/>
        </w:rPr>
      </w:pPr>
      <w:r>
        <w:rPr>
          <w:rFonts w:eastAsia="Times New Roman" w:cstheme="minorHAnsi"/>
          <w:i/>
          <w:iCs/>
          <w:color w:val="222222"/>
          <w:shd w:val="clear" w:color="auto" w:fill="FFFFFF"/>
        </w:rPr>
        <w:t>Blind Spot: Hidden Biases of Good People</w:t>
      </w:r>
      <w:r>
        <w:rPr>
          <w:rFonts w:eastAsia="Times New Roman" w:cstheme="minorHAnsi"/>
          <w:color w:val="222222"/>
          <w:shd w:val="clear" w:color="auto" w:fill="FFFFFF"/>
        </w:rPr>
        <w:t xml:space="preserve">, by </w:t>
      </w:r>
      <w:proofErr w:type="spellStart"/>
      <w:r>
        <w:rPr>
          <w:rFonts w:eastAsia="Times New Roman" w:cstheme="minorHAnsi"/>
          <w:color w:val="222222"/>
          <w:shd w:val="clear" w:color="auto" w:fill="FFFFFF"/>
        </w:rPr>
        <w:t>Mahzarin</w:t>
      </w:r>
      <w:proofErr w:type="spellEnd"/>
      <w:r>
        <w:rPr>
          <w:rFonts w:eastAsia="Times New Roman" w:cstheme="minorHAnsi"/>
          <w:color w:val="222222"/>
          <w:shd w:val="clear" w:color="auto" w:fill="FFFFFF"/>
        </w:rPr>
        <w:t xml:space="preserve"> R. Banaji and Anthony G. Greenwald</w:t>
      </w:r>
    </w:p>
    <w:p w14:paraId="205B98BE" w14:textId="77777777" w:rsidR="00F3516C" w:rsidRDefault="00F3516C" w:rsidP="00EF7675">
      <w:pPr>
        <w:rPr>
          <w:rFonts w:eastAsia="Times New Roman" w:cstheme="minorHAnsi"/>
          <w:color w:val="222222"/>
          <w:shd w:val="clear" w:color="auto" w:fill="FFFFFF"/>
        </w:rPr>
      </w:pPr>
    </w:p>
    <w:p w14:paraId="31E669A2" w14:textId="7A263623" w:rsidR="000B3534" w:rsidRDefault="000B3534" w:rsidP="00EF7675">
      <w:pPr>
        <w:rPr>
          <w:rFonts w:eastAsia="Times New Roman" w:cstheme="minorHAnsi"/>
          <w:color w:val="222222"/>
          <w:shd w:val="clear" w:color="auto" w:fill="FFFFFF"/>
        </w:rPr>
      </w:pPr>
      <w:r>
        <w:rPr>
          <w:rFonts w:eastAsia="Times New Roman" w:cstheme="minorHAnsi"/>
          <w:i/>
          <w:iCs/>
          <w:color w:val="222222"/>
          <w:shd w:val="clear" w:color="auto" w:fill="FFFFFF"/>
        </w:rPr>
        <w:t xml:space="preserve">Moral Courage: </w:t>
      </w:r>
      <w:proofErr w:type="gramStart"/>
      <w:r>
        <w:rPr>
          <w:rFonts w:eastAsia="Times New Roman" w:cstheme="minorHAnsi"/>
          <w:i/>
          <w:iCs/>
          <w:color w:val="222222"/>
          <w:shd w:val="clear" w:color="auto" w:fill="FFFFFF"/>
        </w:rPr>
        <w:t>Taking Action</w:t>
      </w:r>
      <w:proofErr w:type="gramEnd"/>
      <w:r>
        <w:rPr>
          <w:rFonts w:eastAsia="Times New Roman" w:cstheme="minorHAnsi"/>
          <w:i/>
          <w:iCs/>
          <w:color w:val="222222"/>
          <w:shd w:val="clear" w:color="auto" w:fill="FFFFFF"/>
        </w:rPr>
        <w:t xml:space="preserve"> When Your Values Are Put </w:t>
      </w:r>
      <w:r w:rsidR="00487CE5">
        <w:rPr>
          <w:rFonts w:eastAsia="Times New Roman" w:cstheme="minorHAnsi"/>
          <w:i/>
          <w:iCs/>
          <w:color w:val="222222"/>
          <w:shd w:val="clear" w:color="auto" w:fill="FFFFFF"/>
        </w:rPr>
        <w:t>to</w:t>
      </w:r>
      <w:r>
        <w:rPr>
          <w:rFonts w:eastAsia="Times New Roman" w:cstheme="minorHAnsi"/>
          <w:i/>
          <w:iCs/>
          <w:color w:val="222222"/>
          <w:shd w:val="clear" w:color="auto" w:fill="FFFFFF"/>
        </w:rPr>
        <w:t xml:space="preserve"> The Test</w:t>
      </w:r>
      <w:r w:rsidR="00F3516C">
        <w:rPr>
          <w:rFonts w:eastAsia="Times New Roman" w:cstheme="minorHAnsi"/>
          <w:color w:val="222222"/>
          <w:shd w:val="clear" w:color="auto" w:fill="FFFFFF"/>
        </w:rPr>
        <w:t>, by Rushworth M. Kidder</w:t>
      </w:r>
    </w:p>
    <w:p w14:paraId="17DE56ED" w14:textId="47B9744D" w:rsidR="00F3516C" w:rsidRDefault="00F3516C" w:rsidP="00EF7675">
      <w:pPr>
        <w:rPr>
          <w:rFonts w:eastAsia="Times New Roman" w:cstheme="minorHAnsi"/>
          <w:color w:val="222222"/>
          <w:shd w:val="clear" w:color="auto" w:fill="FFFFFF"/>
        </w:rPr>
      </w:pPr>
    </w:p>
    <w:p w14:paraId="30AF7C46" w14:textId="0C5926EA" w:rsidR="00F3516C" w:rsidRDefault="00F3516C" w:rsidP="00EF7675">
      <w:pPr>
        <w:rPr>
          <w:rFonts w:eastAsia="Times New Roman" w:cstheme="minorHAnsi"/>
          <w:color w:val="222222"/>
          <w:shd w:val="clear" w:color="auto" w:fill="FFFFFF"/>
        </w:rPr>
      </w:pPr>
      <w:r w:rsidRPr="00F3516C">
        <w:rPr>
          <w:rFonts w:eastAsia="Times New Roman" w:cstheme="minorHAnsi"/>
          <w:i/>
          <w:iCs/>
          <w:color w:val="222222"/>
          <w:shd w:val="clear" w:color="auto" w:fill="FFFFFF"/>
        </w:rPr>
        <w:t xml:space="preserve">Intentional Integrity: How Smart Companies Can Lead </w:t>
      </w:r>
      <w:r w:rsidR="00487CE5" w:rsidRPr="00F3516C">
        <w:rPr>
          <w:rFonts w:eastAsia="Times New Roman" w:cstheme="minorHAnsi"/>
          <w:i/>
          <w:iCs/>
          <w:color w:val="222222"/>
          <w:shd w:val="clear" w:color="auto" w:fill="FFFFFF"/>
        </w:rPr>
        <w:t>an</w:t>
      </w:r>
      <w:r w:rsidRPr="00F3516C">
        <w:rPr>
          <w:rFonts w:eastAsia="Times New Roman" w:cstheme="minorHAnsi"/>
          <w:i/>
          <w:iCs/>
          <w:color w:val="222222"/>
          <w:shd w:val="clear" w:color="auto" w:fill="FFFFFF"/>
        </w:rPr>
        <w:t xml:space="preserve"> Ethical Revolution</w:t>
      </w:r>
      <w:r>
        <w:rPr>
          <w:rFonts w:eastAsia="Times New Roman" w:cstheme="minorHAnsi"/>
          <w:color w:val="222222"/>
          <w:shd w:val="clear" w:color="auto" w:fill="FFFFFF"/>
        </w:rPr>
        <w:t>, by Robert Chestnut</w:t>
      </w:r>
    </w:p>
    <w:p w14:paraId="27C22C62" w14:textId="5F2D73C2" w:rsidR="00BF520F" w:rsidRDefault="00BF520F" w:rsidP="00EF7675">
      <w:pPr>
        <w:rPr>
          <w:rFonts w:eastAsia="Times New Roman" w:cstheme="minorHAnsi"/>
          <w:color w:val="222222"/>
          <w:shd w:val="clear" w:color="auto" w:fill="FFFFFF"/>
        </w:rPr>
      </w:pPr>
    </w:p>
    <w:p w14:paraId="718B96AD" w14:textId="77777777" w:rsidR="00810924" w:rsidRDefault="00BF520F" w:rsidP="00EF7675">
      <w:pPr>
        <w:rPr>
          <w:rFonts w:eastAsia="Times New Roman" w:cstheme="minorHAnsi"/>
          <w:color w:val="222222"/>
          <w:shd w:val="clear" w:color="auto" w:fill="FFFFFF"/>
        </w:rPr>
      </w:pPr>
      <w:r>
        <w:rPr>
          <w:rFonts w:eastAsia="Times New Roman" w:cstheme="minorHAnsi"/>
          <w:i/>
          <w:iCs/>
          <w:color w:val="222222"/>
          <w:shd w:val="clear" w:color="auto" w:fill="FFFFFF"/>
        </w:rPr>
        <w:t>Business Ethics: Ethical Decision Making and Cases,</w:t>
      </w:r>
      <w:r w:rsidRPr="00BF520F">
        <w:rPr>
          <w:rFonts w:eastAsia="Times New Roman" w:cstheme="minorHAnsi"/>
          <w:color w:val="222222"/>
          <w:shd w:val="clear" w:color="auto" w:fill="FFFFFF"/>
        </w:rPr>
        <w:t xml:space="preserve"> by O.C. Ferrell, John Fraedrich, and Linda </w:t>
      </w:r>
    </w:p>
    <w:p w14:paraId="6DBEB03E" w14:textId="0AF3924D" w:rsidR="00BF520F" w:rsidRDefault="00BF520F" w:rsidP="00EF7675">
      <w:pPr>
        <w:rPr>
          <w:rFonts w:eastAsia="Times New Roman" w:cstheme="minorHAnsi"/>
          <w:color w:val="222222"/>
          <w:shd w:val="clear" w:color="auto" w:fill="FFFFFF"/>
        </w:rPr>
      </w:pPr>
      <w:r w:rsidRPr="00BF520F">
        <w:rPr>
          <w:rFonts w:eastAsia="Times New Roman" w:cstheme="minorHAnsi"/>
          <w:color w:val="222222"/>
          <w:shd w:val="clear" w:color="auto" w:fill="FFFFFF"/>
        </w:rPr>
        <w:t>Ferrell</w:t>
      </w:r>
    </w:p>
    <w:p w14:paraId="3D404F64" w14:textId="67328ABD" w:rsidR="00810924" w:rsidRDefault="00810924" w:rsidP="00EF7675">
      <w:pPr>
        <w:rPr>
          <w:rFonts w:eastAsia="Times New Roman" w:cstheme="minorHAnsi"/>
          <w:color w:val="222222"/>
          <w:shd w:val="clear" w:color="auto" w:fill="FFFFFF"/>
        </w:rPr>
      </w:pPr>
    </w:p>
    <w:p w14:paraId="19016594" w14:textId="5F619097" w:rsidR="00810924" w:rsidRDefault="00D81A7D" w:rsidP="00EF7675">
      <w:pPr>
        <w:rPr>
          <w:rFonts w:eastAsia="Times New Roman" w:cstheme="minorHAnsi"/>
          <w:color w:val="222222"/>
          <w:shd w:val="clear" w:color="auto" w:fill="FFFFFF"/>
        </w:rPr>
      </w:pPr>
      <w:r w:rsidRPr="00D81A7D">
        <w:rPr>
          <w:rFonts w:eastAsia="Times New Roman" w:cstheme="minorHAnsi"/>
          <w:i/>
          <w:iCs/>
          <w:color w:val="222222"/>
          <w:shd w:val="clear" w:color="auto" w:fill="FFFFFF"/>
        </w:rPr>
        <w:t xml:space="preserve">The Complete Compliance </w:t>
      </w:r>
      <w:r w:rsidR="00AA187F" w:rsidRPr="00D81A7D">
        <w:rPr>
          <w:rFonts w:eastAsia="Times New Roman" w:cstheme="minorHAnsi"/>
          <w:i/>
          <w:iCs/>
          <w:color w:val="222222"/>
          <w:shd w:val="clear" w:color="auto" w:fill="FFFFFF"/>
        </w:rPr>
        <w:t>and</w:t>
      </w:r>
      <w:r w:rsidRPr="00D81A7D">
        <w:rPr>
          <w:rFonts w:eastAsia="Times New Roman" w:cstheme="minorHAnsi"/>
          <w:i/>
          <w:iCs/>
          <w:color w:val="222222"/>
          <w:shd w:val="clear" w:color="auto" w:fill="FFFFFF"/>
        </w:rPr>
        <w:t xml:space="preserve"> Ethics Manual</w:t>
      </w:r>
      <w:r>
        <w:rPr>
          <w:rFonts w:eastAsia="Times New Roman" w:cstheme="minorHAnsi"/>
          <w:color w:val="222222"/>
          <w:shd w:val="clear" w:color="auto" w:fill="FFFFFF"/>
        </w:rPr>
        <w:t>, by the Society of Corporate Compliance and Ethics</w:t>
      </w:r>
    </w:p>
    <w:p w14:paraId="0F7A8A91" w14:textId="6B2293D2" w:rsidR="00464887" w:rsidRDefault="00464887" w:rsidP="00EF7675">
      <w:pPr>
        <w:rPr>
          <w:rFonts w:eastAsia="Times New Roman" w:cstheme="minorHAnsi"/>
          <w:color w:val="222222"/>
          <w:shd w:val="clear" w:color="auto" w:fill="FFFFFF"/>
        </w:rPr>
      </w:pPr>
    </w:p>
    <w:p w14:paraId="288DD381" w14:textId="5C200511" w:rsidR="00464887" w:rsidRDefault="00464887" w:rsidP="00EF7675">
      <w:pPr>
        <w:rPr>
          <w:rFonts w:eastAsia="Times New Roman" w:cstheme="minorHAnsi"/>
          <w:b/>
          <w:bCs/>
          <w:color w:val="222222"/>
          <w:shd w:val="clear" w:color="auto" w:fill="FFFFFF"/>
        </w:rPr>
      </w:pPr>
      <w:r>
        <w:rPr>
          <w:rFonts w:eastAsia="Times New Roman" w:cstheme="minorHAnsi"/>
          <w:b/>
          <w:bCs/>
          <w:color w:val="222222"/>
          <w:shd w:val="clear" w:color="auto" w:fill="FFFFFF"/>
        </w:rPr>
        <w:t>Class Attendance:</w:t>
      </w:r>
    </w:p>
    <w:p w14:paraId="536F4CD1" w14:textId="6FE2E07D" w:rsidR="00464887" w:rsidRDefault="00464887" w:rsidP="00EF7675">
      <w:pPr>
        <w:rPr>
          <w:rFonts w:eastAsia="Times New Roman" w:cstheme="minorHAnsi"/>
          <w:b/>
          <w:bCs/>
          <w:color w:val="222222"/>
          <w:shd w:val="clear" w:color="auto" w:fill="FFFFFF"/>
        </w:rPr>
      </w:pPr>
    </w:p>
    <w:p w14:paraId="6DCB1132" w14:textId="350E75EB" w:rsidR="00464887" w:rsidRPr="00E330DA" w:rsidRDefault="00464887" w:rsidP="00EF7675">
      <w:pPr>
        <w:rPr>
          <w:rFonts w:eastAsia="Times New Roman" w:cstheme="minorHAnsi"/>
          <w:color w:val="222222"/>
          <w:shd w:val="clear" w:color="auto" w:fill="FFFFFF"/>
        </w:rPr>
      </w:pPr>
      <w:r>
        <w:rPr>
          <w:rFonts w:eastAsia="Times New Roman" w:cstheme="minorHAnsi"/>
          <w:color w:val="222222"/>
          <w:shd w:val="clear" w:color="auto" w:fill="FFFFFF"/>
        </w:rPr>
        <w:t xml:space="preserve">Attendance and participation are mandatory and an essential part of the </w:t>
      </w:r>
      <w:r w:rsidR="008E1A96">
        <w:rPr>
          <w:rFonts w:eastAsia="Times New Roman" w:cstheme="minorHAnsi"/>
          <w:color w:val="222222"/>
          <w:shd w:val="clear" w:color="auto" w:fill="FFFFFF"/>
        </w:rPr>
        <w:t xml:space="preserve">seminar and the learning experience.  </w:t>
      </w:r>
      <w:r w:rsidR="00F80969">
        <w:rPr>
          <w:rFonts w:eastAsia="Times New Roman" w:cstheme="minorHAnsi"/>
          <w:color w:val="222222"/>
          <w:shd w:val="clear" w:color="auto" w:fill="FFFFFF"/>
        </w:rPr>
        <w:t xml:space="preserve">Class attendance is required by both the ABA and the Law School.  However, I understand that “life happens” outside of your law school commitments and </w:t>
      </w:r>
      <w:r w:rsidR="00F80969" w:rsidRPr="00E330DA">
        <w:rPr>
          <w:rFonts w:eastAsia="Times New Roman" w:cstheme="minorHAnsi"/>
          <w:color w:val="222222"/>
          <w:shd w:val="clear" w:color="auto" w:fill="FFFFFF"/>
        </w:rPr>
        <w:t xml:space="preserve">therefore you are permitted two </w:t>
      </w:r>
      <w:r w:rsidR="005B6060" w:rsidRPr="00E330DA">
        <w:rPr>
          <w:rFonts w:eastAsia="Times New Roman" w:cstheme="minorHAnsi"/>
          <w:color w:val="222222"/>
          <w:shd w:val="clear" w:color="auto" w:fill="FFFFFF"/>
        </w:rPr>
        <w:t xml:space="preserve">unexcused </w:t>
      </w:r>
      <w:r w:rsidR="00F80969" w:rsidRPr="00E330DA">
        <w:rPr>
          <w:rFonts w:eastAsia="Times New Roman" w:cstheme="minorHAnsi"/>
          <w:color w:val="222222"/>
          <w:shd w:val="clear" w:color="auto" w:fill="FFFFFF"/>
        </w:rPr>
        <w:t xml:space="preserve">absences from class during the semester.  </w:t>
      </w:r>
    </w:p>
    <w:p w14:paraId="06C9AD1E" w14:textId="77777777" w:rsidR="005B6060" w:rsidRPr="00E330DA" w:rsidRDefault="005B6060" w:rsidP="00EF7675">
      <w:pPr>
        <w:rPr>
          <w:rFonts w:eastAsia="Times New Roman" w:cstheme="minorHAnsi"/>
          <w:color w:val="222222"/>
          <w:shd w:val="clear" w:color="auto" w:fill="FFFFFF"/>
        </w:rPr>
      </w:pPr>
    </w:p>
    <w:p w14:paraId="51A95A38" w14:textId="01C0EE00" w:rsidR="005B6060" w:rsidRPr="00F632DB" w:rsidRDefault="005B6060" w:rsidP="005B6060">
      <w:pPr>
        <w:rPr>
          <w:rFonts w:eastAsia="Times New Roman" w:cstheme="minorHAnsi"/>
        </w:rPr>
      </w:pPr>
      <w:r w:rsidRPr="00F632DB">
        <w:rPr>
          <w:rFonts w:eastAsia="Times New Roman" w:cstheme="minorHAnsi"/>
          <w:color w:val="000000"/>
          <w:shd w:val="clear" w:color="auto" w:fill="FFFFFF"/>
        </w:rPr>
        <w:lastRenderedPageBreak/>
        <w:t xml:space="preserve">This does not include excused absences, including </w:t>
      </w:r>
      <w:hyperlink r:id="rId7" w:tgtFrame="_blank" w:history="1">
        <w:r w:rsidRPr="00F632DB">
          <w:rPr>
            <w:rFonts w:eastAsia="Times New Roman" w:cstheme="minorHAnsi"/>
            <w:color w:val="0000FF"/>
            <w:u w:val="single"/>
            <w:shd w:val="clear" w:color="auto" w:fill="FFFFFF"/>
          </w:rPr>
          <w:t>observance of religious holidays</w:t>
        </w:r>
      </w:hyperlink>
      <w:r w:rsidRPr="00F632DB">
        <w:rPr>
          <w:rFonts w:eastAsia="Times New Roman" w:cstheme="minorHAnsi"/>
          <w:color w:val="000000"/>
          <w:shd w:val="clear" w:color="auto" w:fill="FFFFFF"/>
        </w:rPr>
        <w:t xml:space="preserve">, which are allowed and are consistent with </w:t>
      </w:r>
      <w:hyperlink r:id="rId8" w:anchor="religiousholidaystext" w:history="1">
        <w:r w:rsidRPr="00F632DB">
          <w:rPr>
            <w:rStyle w:val="Hyperlink"/>
            <w:rFonts w:eastAsia="Times New Roman" w:cstheme="minorHAnsi"/>
            <w:shd w:val="clear" w:color="auto" w:fill="FFFFFF"/>
          </w:rPr>
          <w:t>University policies</w:t>
        </w:r>
      </w:hyperlink>
      <w:r w:rsidRPr="00F632DB">
        <w:rPr>
          <w:rFonts w:eastAsia="Times New Roman" w:cstheme="minorHAnsi"/>
          <w:color w:val="000000"/>
          <w:shd w:val="clear" w:color="auto" w:fill="FFFFFF"/>
        </w:rPr>
        <w:t xml:space="preserve">. Such absences require appropriate documents and/or notification before or shortly after class. If you have a religious holiday, exceptional illness, or emergency that causes you to miss class, you must contact me before class </w:t>
      </w:r>
      <w:r w:rsidR="00E330DA" w:rsidRPr="00F632DB">
        <w:rPr>
          <w:rFonts w:eastAsia="Times New Roman" w:cstheme="minorHAnsi"/>
          <w:color w:val="000000"/>
          <w:shd w:val="clear" w:color="auto" w:fill="FFFFFF"/>
        </w:rPr>
        <w:t xml:space="preserve">(for religious holidays) or soon after (for emergencies) </w:t>
      </w:r>
      <w:r w:rsidRPr="00F632DB">
        <w:rPr>
          <w:rFonts w:eastAsia="Times New Roman" w:cstheme="minorHAnsi"/>
          <w:color w:val="000000"/>
          <w:shd w:val="clear" w:color="auto" w:fill="FFFFFF"/>
        </w:rPr>
        <w:t xml:space="preserve">for your absence to be excused.  The law school’s policy on attendance can be found </w:t>
      </w:r>
      <w:hyperlink r:id="rId9" w:anchor=":~:text=co%2Dcurricular%20activities.-,Attendance,regular%20and%20punctual%20class%20attendance.&amp;text=UF%20Law%20policy%20permits%20dismissal,of%2012%20credits%20per%20semester." w:tgtFrame="_blank" w:history="1">
        <w:r w:rsidRPr="00F632DB">
          <w:rPr>
            <w:rFonts w:eastAsia="Times New Roman" w:cstheme="minorHAnsi"/>
            <w:color w:val="0000FF"/>
            <w:u w:val="single"/>
            <w:shd w:val="clear" w:color="auto" w:fill="FFFFFF"/>
          </w:rPr>
          <w:t>here</w:t>
        </w:r>
      </w:hyperlink>
      <w:r w:rsidRPr="00F632DB">
        <w:rPr>
          <w:rFonts w:eastAsia="Times New Roman" w:cstheme="minorHAnsi"/>
          <w:color w:val="0000FF"/>
          <w:u w:val="single"/>
          <w:shd w:val="clear" w:color="auto" w:fill="FFFFFF"/>
        </w:rPr>
        <w:t>.</w:t>
      </w:r>
    </w:p>
    <w:p w14:paraId="078B8585" w14:textId="0E8DFA70" w:rsidR="00A676EE" w:rsidRDefault="00A676EE" w:rsidP="00EF7675">
      <w:pPr>
        <w:rPr>
          <w:rFonts w:eastAsia="Times New Roman" w:cstheme="minorHAnsi"/>
          <w:color w:val="222222"/>
          <w:shd w:val="clear" w:color="auto" w:fill="FFFFFF"/>
        </w:rPr>
      </w:pPr>
    </w:p>
    <w:p w14:paraId="77CD5A39" w14:textId="06CE9463" w:rsidR="00A676EE" w:rsidRDefault="00A676EE" w:rsidP="00EF7675">
      <w:pPr>
        <w:rPr>
          <w:rFonts w:eastAsia="Times New Roman" w:cstheme="minorHAnsi"/>
          <w:b/>
          <w:bCs/>
          <w:color w:val="222222"/>
          <w:shd w:val="clear" w:color="auto" w:fill="FFFFFF"/>
        </w:rPr>
      </w:pPr>
      <w:r w:rsidRPr="00A676EE">
        <w:rPr>
          <w:rFonts w:eastAsia="Times New Roman" w:cstheme="minorHAnsi"/>
          <w:b/>
          <w:bCs/>
          <w:color w:val="222222"/>
          <w:shd w:val="clear" w:color="auto" w:fill="FFFFFF"/>
        </w:rPr>
        <w:t>Grades and Advanced Writing Requirement:</w:t>
      </w:r>
    </w:p>
    <w:p w14:paraId="521ECD7F" w14:textId="02BE66E5" w:rsidR="00A676EE" w:rsidRDefault="00A676EE" w:rsidP="00EF7675">
      <w:pPr>
        <w:rPr>
          <w:rFonts w:eastAsia="Times New Roman" w:cstheme="minorHAnsi"/>
          <w:b/>
          <w:bCs/>
          <w:color w:val="222222"/>
          <w:shd w:val="clear" w:color="auto" w:fill="FFFFFF"/>
        </w:rPr>
      </w:pPr>
    </w:p>
    <w:p w14:paraId="5D7E05EE" w14:textId="6A3D4D2D" w:rsidR="00A676EE" w:rsidRDefault="00A676EE" w:rsidP="00EF7675">
      <w:pPr>
        <w:rPr>
          <w:rFonts w:eastAsia="Times New Roman" w:cstheme="minorHAnsi"/>
          <w:color w:val="222222"/>
          <w:shd w:val="clear" w:color="auto" w:fill="FFFFFF"/>
        </w:rPr>
      </w:pPr>
      <w:r>
        <w:rPr>
          <w:rFonts w:eastAsia="Times New Roman" w:cstheme="minorHAnsi"/>
          <w:color w:val="222222"/>
          <w:shd w:val="clear" w:color="auto" w:fill="FFFFFF"/>
        </w:rPr>
        <w:t>Students will earn grade points according to the following scale:</w:t>
      </w:r>
    </w:p>
    <w:p w14:paraId="4CC6A724" w14:textId="7C06EA37" w:rsidR="00A676EE" w:rsidRDefault="00A676EE" w:rsidP="00EF7675">
      <w:pPr>
        <w:rPr>
          <w:rFonts w:eastAsia="Times New Roman" w:cstheme="minorHAnsi"/>
          <w:color w:val="222222"/>
          <w:shd w:val="clear" w:color="auto" w:fill="FFFFFF"/>
        </w:rPr>
      </w:pPr>
    </w:p>
    <w:p w14:paraId="14AA56F1" w14:textId="176079E0" w:rsidR="00A676EE" w:rsidRDefault="00A676EE" w:rsidP="00EF7675">
      <w:pPr>
        <w:rPr>
          <w:rFonts w:eastAsia="Times New Roman" w:cstheme="minorHAnsi"/>
          <w:color w:val="222222"/>
          <w:shd w:val="clear" w:color="auto" w:fill="FFFFFF"/>
        </w:rPr>
      </w:pPr>
      <w:r>
        <w:rPr>
          <w:rFonts w:eastAsia="Times New Roman" w:cstheme="minorHAnsi"/>
          <w:color w:val="222222"/>
          <w:shd w:val="clear" w:color="auto" w:fill="FFFFFF"/>
        </w:rPr>
        <w:t>A (Excellent)</w:t>
      </w:r>
      <w:r>
        <w:rPr>
          <w:rFonts w:eastAsia="Times New Roman" w:cstheme="minorHAnsi"/>
          <w:color w:val="222222"/>
          <w:shd w:val="clear" w:color="auto" w:fill="FFFFFF"/>
        </w:rPr>
        <w:tab/>
      </w:r>
      <w:r>
        <w:rPr>
          <w:rFonts w:eastAsia="Times New Roman" w:cstheme="minorHAnsi"/>
          <w:color w:val="222222"/>
          <w:shd w:val="clear" w:color="auto" w:fill="FFFFFF"/>
        </w:rPr>
        <w:tab/>
        <w:t>4.00</w:t>
      </w:r>
      <w:r>
        <w:rPr>
          <w:rFonts w:eastAsia="Times New Roman" w:cstheme="minorHAnsi"/>
          <w:color w:val="222222"/>
          <w:shd w:val="clear" w:color="auto" w:fill="FFFFFF"/>
        </w:rPr>
        <w:tab/>
      </w:r>
      <w:r>
        <w:rPr>
          <w:rFonts w:eastAsia="Times New Roman" w:cstheme="minorHAnsi"/>
          <w:color w:val="222222"/>
          <w:shd w:val="clear" w:color="auto" w:fill="FFFFFF"/>
        </w:rPr>
        <w:tab/>
        <w:t>B-</w:t>
      </w:r>
      <w:r>
        <w:rPr>
          <w:rFonts w:eastAsia="Times New Roman" w:cstheme="minorHAnsi"/>
          <w:color w:val="222222"/>
          <w:shd w:val="clear" w:color="auto" w:fill="FFFFFF"/>
        </w:rPr>
        <w:tab/>
      </w:r>
      <w:r>
        <w:rPr>
          <w:rFonts w:eastAsia="Times New Roman" w:cstheme="minorHAnsi"/>
          <w:color w:val="222222"/>
          <w:shd w:val="clear" w:color="auto" w:fill="FFFFFF"/>
        </w:rPr>
        <w:tab/>
      </w:r>
      <w:r>
        <w:rPr>
          <w:rFonts w:eastAsia="Times New Roman" w:cstheme="minorHAnsi"/>
          <w:color w:val="222222"/>
          <w:shd w:val="clear" w:color="auto" w:fill="FFFFFF"/>
        </w:rPr>
        <w:tab/>
        <w:t>2.67</w:t>
      </w:r>
      <w:r w:rsidR="009C410E">
        <w:rPr>
          <w:rFonts w:eastAsia="Times New Roman" w:cstheme="minorHAnsi"/>
          <w:color w:val="222222"/>
          <w:shd w:val="clear" w:color="auto" w:fill="FFFFFF"/>
        </w:rPr>
        <w:tab/>
      </w:r>
      <w:r w:rsidR="009C410E">
        <w:rPr>
          <w:rFonts w:eastAsia="Times New Roman" w:cstheme="minorHAnsi"/>
          <w:color w:val="222222"/>
          <w:shd w:val="clear" w:color="auto" w:fill="FFFFFF"/>
        </w:rPr>
        <w:tab/>
        <w:t>D (Poor)</w:t>
      </w:r>
      <w:r w:rsidR="009C410E">
        <w:rPr>
          <w:rFonts w:eastAsia="Times New Roman" w:cstheme="minorHAnsi"/>
          <w:color w:val="222222"/>
          <w:shd w:val="clear" w:color="auto" w:fill="FFFFFF"/>
        </w:rPr>
        <w:tab/>
        <w:t>1.00</w:t>
      </w:r>
    </w:p>
    <w:p w14:paraId="6866873C" w14:textId="1E985161" w:rsidR="00A676EE" w:rsidRDefault="00F71851" w:rsidP="00EF7675">
      <w:pPr>
        <w:rPr>
          <w:rFonts w:eastAsia="Times New Roman" w:cstheme="minorHAnsi"/>
          <w:color w:val="222222"/>
          <w:shd w:val="clear" w:color="auto" w:fill="FFFFFF"/>
        </w:rPr>
      </w:pPr>
      <w:r>
        <w:rPr>
          <w:rFonts w:eastAsia="Times New Roman" w:cstheme="minorHAnsi"/>
          <w:color w:val="222222"/>
          <w:shd w:val="clear" w:color="auto" w:fill="FFFFFF"/>
        </w:rPr>
        <w:t>A-</w:t>
      </w:r>
      <w:r w:rsidR="00A676EE">
        <w:rPr>
          <w:rFonts w:eastAsia="Times New Roman" w:cstheme="minorHAnsi"/>
          <w:color w:val="222222"/>
          <w:shd w:val="clear" w:color="auto" w:fill="FFFFFF"/>
        </w:rPr>
        <w:tab/>
      </w:r>
      <w:r w:rsidR="00A676EE">
        <w:rPr>
          <w:rFonts w:eastAsia="Times New Roman" w:cstheme="minorHAnsi"/>
          <w:color w:val="222222"/>
          <w:shd w:val="clear" w:color="auto" w:fill="FFFFFF"/>
        </w:rPr>
        <w:tab/>
      </w:r>
      <w:r w:rsidR="00A676EE">
        <w:rPr>
          <w:rFonts w:eastAsia="Times New Roman" w:cstheme="minorHAnsi"/>
          <w:color w:val="222222"/>
          <w:shd w:val="clear" w:color="auto" w:fill="FFFFFF"/>
        </w:rPr>
        <w:tab/>
        <w:t>3.67</w:t>
      </w:r>
      <w:r w:rsidR="00A676EE">
        <w:rPr>
          <w:rFonts w:eastAsia="Times New Roman" w:cstheme="minorHAnsi"/>
          <w:color w:val="222222"/>
          <w:shd w:val="clear" w:color="auto" w:fill="FFFFFF"/>
        </w:rPr>
        <w:tab/>
      </w:r>
      <w:r w:rsidR="00A676EE">
        <w:rPr>
          <w:rFonts w:eastAsia="Times New Roman" w:cstheme="minorHAnsi"/>
          <w:color w:val="222222"/>
          <w:shd w:val="clear" w:color="auto" w:fill="FFFFFF"/>
        </w:rPr>
        <w:tab/>
        <w:t>C+</w:t>
      </w:r>
      <w:r w:rsidR="00A676EE">
        <w:rPr>
          <w:rFonts w:eastAsia="Times New Roman" w:cstheme="minorHAnsi"/>
          <w:color w:val="222222"/>
          <w:shd w:val="clear" w:color="auto" w:fill="FFFFFF"/>
        </w:rPr>
        <w:tab/>
      </w:r>
      <w:r w:rsidR="00A676EE">
        <w:rPr>
          <w:rFonts w:eastAsia="Times New Roman" w:cstheme="minorHAnsi"/>
          <w:color w:val="222222"/>
          <w:shd w:val="clear" w:color="auto" w:fill="FFFFFF"/>
        </w:rPr>
        <w:tab/>
      </w:r>
      <w:r w:rsidR="00A676EE">
        <w:rPr>
          <w:rFonts w:eastAsia="Times New Roman" w:cstheme="minorHAnsi"/>
          <w:color w:val="222222"/>
          <w:shd w:val="clear" w:color="auto" w:fill="FFFFFF"/>
        </w:rPr>
        <w:tab/>
        <w:t>2.</w:t>
      </w:r>
      <w:proofErr w:type="gramStart"/>
      <w:r w:rsidR="00A676EE">
        <w:rPr>
          <w:rFonts w:eastAsia="Times New Roman" w:cstheme="minorHAnsi"/>
          <w:color w:val="222222"/>
          <w:shd w:val="clear" w:color="auto" w:fill="FFFFFF"/>
        </w:rPr>
        <w:t>33</w:t>
      </w:r>
      <w:r w:rsidR="009C410E">
        <w:rPr>
          <w:rFonts w:eastAsia="Times New Roman" w:cstheme="minorHAnsi"/>
          <w:color w:val="222222"/>
          <w:shd w:val="clear" w:color="auto" w:fill="FFFFFF"/>
        </w:rPr>
        <w:t xml:space="preserve">  </w:t>
      </w:r>
      <w:r w:rsidR="009C410E">
        <w:rPr>
          <w:rFonts w:eastAsia="Times New Roman" w:cstheme="minorHAnsi"/>
          <w:color w:val="222222"/>
          <w:shd w:val="clear" w:color="auto" w:fill="FFFFFF"/>
        </w:rPr>
        <w:tab/>
      </w:r>
      <w:proofErr w:type="gramEnd"/>
      <w:r w:rsidR="009C410E">
        <w:rPr>
          <w:rFonts w:eastAsia="Times New Roman" w:cstheme="minorHAnsi"/>
          <w:color w:val="222222"/>
          <w:shd w:val="clear" w:color="auto" w:fill="FFFFFF"/>
        </w:rPr>
        <w:tab/>
        <w:t>D-</w:t>
      </w:r>
      <w:r w:rsidR="009C410E">
        <w:rPr>
          <w:rFonts w:eastAsia="Times New Roman" w:cstheme="minorHAnsi"/>
          <w:color w:val="222222"/>
          <w:shd w:val="clear" w:color="auto" w:fill="FFFFFF"/>
        </w:rPr>
        <w:tab/>
      </w:r>
      <w:r w:rsidR="009C410E">
        <w:rPr>
          <w:rFonts w:eastAsia="Times New Roman" w:cstheme="minorHAnsi"/>
          <w:color w:val="222222"/>
          <w:shd w:val="clear" w:color="auto" w:fill="FFFFFF"/>
        </w:rPr>
        <w:tab/>
        <w:t>0.67</w:t>
      </w:r>
    </w:p>
    <w:p w14:paraId="7E2DA085" w14:textId="23181CB8" w:rsidR="00A676EE" w:rsidRDefault="00A676EE" w:rsidP="00EF7675">
      <w:pPr>
        <w:rPr>
          <w:rFonts w:eastAsia="Times New Roman" w:cstheme="minorHAnsi"/>
          <w:color w:val="222222"/>
          <w:shd w:val="clear" w:color="auto" w:fill="FFFFFF"/>
        </w:rPr>
      </w:pPr>
      <w:r>
        <w:rPr>
          <w:rFonts w:eastAsia="Times New Roman" w:cstheme="minorHAnsi"/>
          <w:color w:val="222222"/>
          <w:shd w:val="clear" w:color="auto" w:fill="FFFFFF"/>
        </w:rPr>
        <w:t>B</w:t>
      </w:r>
      <w:r w:rsidR="00F71851">
        <w:rPr>
          <w:rFonts w:eastAsia="Times New Roman" w:cstheme="minorHAnsi"/>
          <w:color w:val="222222"/>
          <w:shd w:val="clear" w:color="auto" w:fill="FFFFFF"/>
        </w:rPr>
        <w:t>+</w:t>
      </w:r>
      <w:r>
        <w:rPr>
          <w:rFonts w:eastAsia="Times New Roman" w:cstheme="minorHAnsi"/>
          <w:color w:val="222222"/>
          <w:shd w:val="clear" w:color="auto" w:fill="FFFFFF"/>
        </w:rPr>
        <w:tab/>
      </w:r>
      <w:r>
        <w:rPr>
          <w:rFonts w:eastAsia="Times New Roman" w:cstheme="minorHAnsi"/>
          <w:color w:val="222222"/>
          <w:shd w:val="clear" w:color="auto" w:fill="FFFFFF"/>
        </w:rPr>
        <w:tab/>
      </w:r>
      <w:r>
        <w:rPr>
          <w:rFonts w:eastAsia="Times New Roman" w:cstheme="minorHAnsi"/>
          <w:color w:val="222222"/>
          <w:shd w:val="clear" w:color="auto" w:fill="FFFFFF"/>
        </w:rPr>
        <w:tab/>
        <w:t>3.33</w:t>
      </w:r>
      <w:r>
        <w:rPr>
          <w:rFonts w:eastAsia="Times New Roman" w:cstheme="minorHAnsi"/>
          <w:color w:val="222222"/>
          <w:shd w:val="clear" w:color="auto" w:fill="FFFFFF"/>
        </w:rPr>
        <w:tab/>
      </w:r>
      <w:r>
        <w:rPr>
          <w:rFonts w:eastAsia="Times New Roman" w:cstheme="minorHAnsi"/>
          <w:color w:val="222222"/>
          <w:shd w:val="clear" w:color="auto" w:fill="FFFFFF"/>
        </w:rPr>
        <w:tab/>
        <w:t xml:space="preserve">C (Satisfactory) </w:t>
      </w:r>
      <w:r>
        <w:rPr>
          <w:rFonts w:eastAsia="Times New Roman" w:cstheme="minorHAnsi"/>
          <w:color w:val="222222"/>
          <w:shd w:val="clear" w:color="auto" w:fill="FFFFFF"/>
        </w:rPr>
        <w:tab/>
        <w:t>2.00</w:t>
      </w:r>
      <w:r w:rsidR="009C410E">
        <w:rPr>
          <w:rFonts w:eastAsia="Times New Roman" w:cstheme="minorHAnsi"/>
          <w:color w:val="222222"/>
          <w:shd w:val="clear" w:color="auto" w:fill="FFFFFF"/>
        </w:rPr>
        <w:tab/>
      </w:r>
      <w:r w:rsidR="009C410E">
        <w:rPr>
          <w:rFonts w:eastAsia="Times New Roman" w:cstheme="minorHAnsi"/>
          <w:color w:val="222222"/>
          <w:shd w:val="clear" w:color="auto" w:fill="FFFFFF"/>
        </w:rPr>
        <w:tab/>
        <w:t>F(Failure)</w:t>
      </w:r>
      <w:r w:rsidR="009C410E">
        <w:rPr>
          <w:rFonts w:eastAsia="Times New Roman" w:cstheme="minorHAnsi"/>
          <w:color w:val="222222"/>
          <w:shd w:val="clear" w:color="auto" w:fill="FFFFFF"/>
        </w:rPr>
        <w:tab/>
        <w:t>0.00</w:t>
      </w:r>
    </w:p>
    <w:p w14:paraId="7FF23DA3" w14:textId="67249D13" w:rsidR="00A676EE" w:rsidRDefault="00A676EE" w:rsidP="00EF7675">
      <w:pPr>
        <w:rPr>
          <w:rFonts w:eastAsia="Times New Roman" w:cstheme="minorHAnsi"/>
          <w:color w:val="222222"/>
          <w:shd w:val="clear" w:color="auto" w:fill="FFFFFF"/>
        </w:rPr>
      </w:pPr>
      <w:r>
        <w:rPr>
          <w:rFonts w:eastAsia="Times New Roman" w:cstheme="minorHAnsi"/>
          <w:color w:val="222222"/>
          <w:shd w:val="clear" w:color="auto" w:fill="FFFFFF"/>
        </w:rPr>
        <w:t>B (Good)</w:t>
      </w:r>
      <w:r>
        <w:rPr>
          <w:rFonts w:eastAsia="Times New Roman" w:cstheme="minorHAnsi"/>
          <w:color w:val="222222"/>
          <w:shd w:val="clear" w:color="auto" w:fill="FFFFFF"/>
        </w:rPr>
        <w:tab/>
      </w:r>
      <w:r>
        <w:rPr>
          <w:rFonts w:eastAsia="Times New Roman" w:cstheme="minorHAnsi"/>
          <w:color w:val="222222"/>
          <w:shd w:val="clear" w:color="auto" w:fill="FFFFFF"/>
        </w:rPr>
        <w:tab/>
        <w:t>3.00</w:t>
      </w:r>
      <w:r w:rsidR="00A34551">
        <w:rPr>
          <w:rFonts w:eastAsia="Times New Roman" w:cstheme="minorHAnsi"/>
          <w:color w:val="222222"/>
          <w:shd w:val="clear" w:color="auto" w:fill="FFFFFF"/>
        </w:rPr>
        <w:tab/>
      </w:r>
      <w:r w:rsidR="00A34551">
        <w:rPr>
          <w:rFonts w:eastAsia="Times New Roman" w:cstheme="minorHAnsi"/>
          <w:color w:val="222222"/>
          <w:shd w:val="clear" w:color="auto" w:fill="FFFFFF"/>
        </w:rPr>
        <w:tab/>
      </w:r>
      <w:r w:rsidR="009C410E">
        <w:rPr>
          <w:rFonts w:eastAsia="Times New Roman" w:cstheme="minorHAnsi"/>
          <w:color w:val="222222"/>
          <w:shd w:val="clear" w:color="auto" w:fill="FFFFFF"/>
        </w:rPr>
        <w:t>C-</w:t>
      </w:r>
      <w:r w:rsidR="009C410E">
        <w:rPr>
          <w:rFonts w:eastAsia="Times New Roman" w:cstheme="minorHAnsi"/>
          <w:color w:val="222222"/>
          <w:shd w:val="clear" w:color="auto" w:fill="FFFFFF"/>
        </w:rPr>
        <w:tab/>
      </w:r>
      <w:r w:rsidR="009C410E">
        <w:rPr>
          <w:rFonts w:eastAsia="Times New Roman" w:cstheme="minorHAnsi"/>
          <w:color w:val="222222"/>
          <w:shd w:val="clear" w:color="auto" w:fill="FFFFFF"/>
        </w:rPr>
        <w:tab/>
      </w:r>
      <w:r w:rsidR="009C410E">
        <w:rPr>
          <w:rFonts w:eastAsia="Times New Roman" w:cstheme="minorHAnsi"/>
          <w:color w:val="222222"/>
          <w:shd w:val="clear" w:color="auto" w:fill="FFFFFF"/>
        </w:rPr>
        <w:tab/>
        <w:t>1.67</w:t>
      </w:r>
    </w:p>
    <w:p w14:paraId="02AAD11A" w14:textId="07BD6540" w:rsidR="000F0091" w:rsidRDefault="000F0091" w:rsidP="00EF7675">
      <w:pPr>
        <w:rPr>
          <w:rFonts w:eastAsia="Times New Roman" w:cstheme="minorHAnsi"/>
          <w:color w:val="222222"/>
          <w:shd w:val="clear" w:color="auto" w:fill="FFFFFF"/>
        </w:rPr>
      </w:pPr>
    </w:p>
    <w:p w14:paraId="07E20339" w14:textId="34CFD6E4" w:rsidR="005560F3" w:rsidRDefault="005560F3" w:rsidP="00EF7675">
      <w:pPr>
        <w:rPr>
          <w:rFonts w:eastAsia="Times New Roman" w:cstheme="minorHAnsi"/>
          <w:b/>
          <w:color w:val="222222"/>
          <w:shd w:val="clear" w:color="auto" w:fill="FFFFFF"/>
        </w:rPr>
      </w:pPr>
      <w:r w:rsidRPr="00F632DB">
        <w:rPr>
          <w:rFonts w:eastAsia="Times New Roman" w:cstheme="minorHAnsi"/>
          <w:b/>
          <w:color w:val="222222"/>
          <w:shd w:val="clear" w:color="auto" w:fill="FFFFFF"/>
        </w:rPr>
        <w:t>Final Paper Requirement</w:t>
      </w:r>
    </w:p>
    <w:p w14:paraId="3041F6BA" w14:textId="77777777" w:rsidR="005560F3" w:rsidRPr="005560F3" w:rsidRDefault="005560F3" w:rsidP="00EF7675">
      <w:pPr>
        <w:rPr>
          <w:rFonts w:eastAsia="Times New Roman" w:cstheme="minorHAnsi"/>
          <w:color w:val="222222"/>
          <w:shd w:val="clear" w:color="auto" w:fill="FFFFFF"/>
        </w:rPr>
      </w:pPr>
    </w:p>
    <w:p w14:paraId="1C45D7EF" w14:textId="7A0BF6C0" w:rsidR="003302EF" w:rsidRDefault="00253FC3" w:rsidP="00EF7675">
      <w:pPr>
        <w:rPr>
          <w:rFonts w:eastAsia="Times New Roman" w:cstheme="minorHAnsi"/>
          <w:color w:val="222222"/>
          <w:shd w:val="clear" w:color="auto" w:fill="FFFFFF"/>
        </w:rPr>
      </w:pPr>
      <w:r>
        <w:rPr>
          <w:rFonts w:eastAsia="Times New Roman" w:cstheme="minorHAnsi"/>
          <w:color w:val="222222"/>
          <w:shd w:val="clear" w:color="auto" w:fill="FFFFFF"/>
        </w:rPr>
        <w:t xml:space="preserve">This seminar is structured to satisfy the Law School’s Advanced Writing Requirement.  According to the Faculty </w:t>
      </w:r>
      <w:r w:rsidR="00AA187F">
        <w:rPr>
          <w:rFonts w:eastAsia="Times New Roman" w:cstheme="minorHAnsi"/>
          <w:color w:val="222222"/>
          <w:shd w:val="clear" w:color="auto" w:fill="FFFFFF"/>
        </w:rPr>
        <w:t>Handbook,</w:t>
      </w:r>
    </w:p>
    <w:p w14:paraId="2E244AAB" w14:textId="4151573D" w:rsidR="00253FC3" w:rsidRPr="00025E3C" w:rsidRDefault="00253FC3" w:rsidP="00EF7675">
      <w:pPr>
        <w:rPr>
          <w:rFonts w:eastAsia="Times New Roman" w:cstheme="minorHAnsi"/>
          <w:color w:val="222222"/>
          <w:shd w:val="clear" w:color="auto" w:fill="FFFFFF"/>
        </w:rPr>
      </w:pPr>
    </w:p>
    <w:p w14:paraId="688CA62F" w14:textId="692747C9" w:rsidR="00253FC3" w:rsidRDefault="00253FC3" w:rsidP="00EF7675">
      <w:pPr>
        <w:rPr>
          <w:rFonts w:eastAsia="Times New Roman" w:cstheme="minorHAnsi"/>
          <w:i/>
          <w:iCs/>
          <w:color w:val="222222"/>
          <w:shd w:val="clear" w:color="auto" w:fill="FFFFFF"/>
        </w:rPr>
      </w:pPr>
      <w:r>
        <w:rPr>
          <w:rFonts w:eastAsia="Times New Roman" w:cstheme="minorHAnsi"/>
          <w:color w:val="222222"/>
          <w:shd w:val="clear" w:color="auto" w:fill="FFFFFF"/>
        </w:rPr>
        <w:tab/>
      </w:r>
      <w:r>
        <w:rPr>
          <w:rFonts w:eastAsia="Times New Roman" w:cstheme="minorHAnsi"/>
          <w:i/>
          <w:iCs/>
          <w:color w:val="222222"/>
          <w:shd w:val="clear" w:color="auto" w:fill="FFFFFF"/>
        </w:rPr>
        <w:t>All J.D. candidates must complet</w:t>
      </w:r>
      <w:r w:rsidR="003A7D2B">
        <w:rPr>
          <w:rFonts w:eastAsia="Times New Roman" w:cstheme="minorHAnsi"/>
          <w:i/>
          <w:iCs/>
          <w:color w:val="222222"/>
          <w:shd w:val="clear" w:color="auto" w:fill="FFFFFF"/>
        </w:rPr>
        <w:t xml:space="preserve">e- under close supervision- a major, written product that shows evidence of original scholarship based on individual research.  Students often satisfy this requirement in a seminar course…If fulfilled in an advanced course, the required may take the form of one or a number finished written products that together demonstrate these qualities.  The general standard for fulfillment of the advanced writing requirement is one or more papers that are cumulatively at least 25 pages of double-spaced, 12-point text or the equivalent.  </w:t>
      </w:r>
    </w:p>
    <w:p w14:paraId="707DB8CE" w14:textId="22279A91" w:rsidR="00025E3C" w:rsidRDefault="00025E3C" w:rsidP="00EF7675">
      <w:pPr>
        <w:rPr>
          <w:rFonts w:eastAsia="Times New Roman" w:cstheme="minorHAnsi"/>
          <w:i/>
          <w:iCs/>
          <w:color w:val="222222"/>
          <w:shd w:val="clear" w:color="auto" w:fill="FFFFFF"/>
        </w:rPr>
      </w:pPr>
    </w:p>
    <w:p w14:paraId="64617D86" w14:textId="0292308F" w:rsidR="00025E3C" w:rsidRDefault="00025E3C" w:rsidP="00EF7675">
      <w:pPr>
        <w:rPr>
          <w:rFonts w:eastAsia="Times New Roman" w:cstheme="minorHAnsi"/>
          <w:color w:val="222222"/>
          <w:shd w:val="clear" w:color="auto" w:fill="FFFFFF"/>
        </w:rPr>
      </w:pPr>
      <w:r>
        <w:rPr>
          <w:rFonts w:eastAsia="Times New Roman" w:cstheme="minorHAnsi"/>
          <w:color w:val="222222"/>
          <w:shd w:val="clear" w:color="auto" w:fill="FFFFFF"/>
        </w:rPr>
        <w:t xml:space="preserve">As a result, students </w:t>
      </w:r>
      <w:r w:rsidR="00B31768">
        <w:rPr>
          <w:rFonts w:eastAsia="Times New Roman" w:cstheme="minorHAnsi"/>
          <w:color w:val="222222"/>
          <w:shd w:val="clear" w:color="auto" w:fill="FFFFFF"/>
        </w:rPr>
        <w:t>in this semi</w:t>
      </w:r>
      <w:r w:rsidR="0007530F">
        <w:rPr>
          <w:rFonts w:eastAsia="Times New Roman" w:cstheme="minorHAnsi"/>
          <w:color w:val="222222"/>
          <w:shd w:val="clear" w:color="auto" w:fill="FFFFFF"/>
        </w:rPr>
        <w:t>nar must submit one r</w:t>
      </w:r>
      <w:r w:rsidR="00B31768">
        <w:rPr>
          <w:rFonts w:eastAsia="Times New Roman" w:cstheme="minorHAnsi"/>
          <w:color w:val="222222"/>
          <w:shd w:val="clear" w:color="auto" w:fill="FFFFFF"/>
        </w:rPr>
        <w:t>esearch paper</w:t>
      </w:r>
      <w:r w:rsidR="0007530F">
        <w:rPr>
          <w:rFonts w:eastAsia="Times New Roman" w:cstheme="minorHAnsi"/>
          <w:color w:val="222222"/>
          <w:shd w:val="clear" w:color="auto" w:fill="FFFFFF"/>
        </w:rPr>
        <w:t xml:space="preserve"> meeting the requirements stated above</w:t>
      </w:r>
      <w:r w:rsidR="00B31768">
        <w:rPr>
          <w:rFonts w:eastAsia="Times New Roman" w:cstheme="minorHAnsi"/>
          <w:color w:val="222222"/>
          <w:shd w:val="clear" w:color="auto" w:fill="FFFFFF"/>
        </w:rPr>
        <w:t>.</w:t>
      </w:r>
      <w:r w:rsidR="00BA0297">
        <w:rPr>
          <w:rFonts w:eastAsia="Times New Roman" w:cstheme="minorHAnsi"/>
          <w:color w:val="222222"/>
          <w:shd w:val="clear" w:color="auto" w:fill="FFFFFF"/>
        </w:rPr>
        <w:t xml:space="preserve">  </w:t>
      </w:r>
      <w:r w:rsidR="00BA0297" w:rsidRPr="00F632DB">
        <w:rPr>
          <w:rFonts w:eastAsia="Times New Roman" w:cstheme="minorHAnsi"/>
          <w:b/>
          <w:color w:val="222222"/>
          <w:shd w:val="clear" w:color="auto" w:fill="FFFFFF"/>
        </w:rPr>
        <w:t>The fi</w:t>
      </w:r>
      <w:r w:rsidR="006074FB">
        <w:rPr>
          <w:rFonts w:eastAsia="Times New Roman" w:cstheme="minorHAnsi"/>
          <w:b/>
          <w:color w:val="222222"/>
          <w:shd w:val="clear" w:color="auto" w:fill="FFFFFF"/>
        </w:rPr>
        <w:t xml:space="preserve">nal paper is </w:t>
      </w:r>
      <w:r w:rsidR="00D92A70">
        <w:rPr>
          <w:rFonts w:eastAsia="Times New Roman" w:cstheme="minorHAnsi"/>
          <w:b/>
          <w:color w:val="222222"/>
          <w:shd w:val="clear" w:color="auto" w:fill="FFFFFF"/>
        </w:rPr>
        <w:t>due by November 27</w:t>
      </w:r>
      <w:r w:rsidR="006074FB">
        <w:rPr>
          <w:rFonts w:eastAsia="Times New Roman" w:cstheme="minorHAnsi"/>
          <w:b/>
          <w:color w:val="222222"/>
          <w:shd w:val="clear" w:color="auto" w:fill="FFFFFF"/>
        </w:rPr>
        <w:t>,</w:t>
      </w:r>
      <w:r w:rsidR="00BA0297" w:rsidRPr="00F632DB">
        <w:rPr>
          <w:rFonts w:eastAsia="Times New Roman" w:cstheme="minorHAnsi"/>
          <w:b/>
          <w:color w:val="222222"/>
          <w:shd w:val="clear" w:color="auto" w:fill="FFFFFF"/>
        </w:rPr>
        <w:t xml:space="preserve"> 2022, midnight EST.</w:t>
      </w:r>
      <w:r w:rsidR="00BA0297">
        <w:rPr>
          <w:rFonts w:eastAsia="Times New Roman" w:cstheme="minorHAnsi"/>
          <w:color w:val="222222"/>
          <w:shd w:val="clear" w:color="auto" w:fill="FFFFFF"/>
        </w:rPr>
        <w:t xml:space="preserve">  </w:t>
      </w:r>
    </w:p>
    <w:p w14:paraId="6DAE6B77" w14:textId="3E16F825" w:rsidR="00025E3C" w:rsidRDefault="00025E3C" w:rsidP="00EF7675">
      <w:pPr>
        <w:rPr>
          <w:rFonts w:eastAsia="Times New Roman" w:cstheme="minorHAnsi"/>
          <w:color w:val="222222"/>
          <w:shd w:val="clear" w:color="auto" w:fill="FFFFFF"/>
        </w:rPr>
      </w:pPr>
      <w:r>
        <w:rPr>
          <w:rFonts w:eastAsia="Times New Roman" w:cstheme="minorHAnsi"/>
          <w:color w:val="222222"/>
          <w:shd w:val="clear" w:color="auto" w:fill="FFFFFF"/>
        </w:rPr>
        <w:tab/>
      </w:r>
    </w:p>
    <w:p w14:paraId="3356D087" w14:textId="77777777" w:rsidR="004F3A11" w:rsidRDefault="00FB561F">
      <w:pPr>
        <w:rPr>
          <w:rFonts w:eastAsia="Times New Roman" w:cstheme="minorHAnsi"/>
          <w:color w:val="222222"/>
          <w:shd w:val="clear" w:color="auto" w:fill="FFFFFF"/>
        </w:rPr>
      </w:pPr>
      <w:r>
        <w:rPr>
          <w:rFonts w:eastAsia="Times New Roman" w:cstheme="minorHAnsi"/>
          <w:color w:val="222222"/>
          <w:shd w:val="clear" w:color="auto" w:fill="FFFFFF"/>
        </w:rPr>
        <w:t xml:space="preserve">We will discuss all aspects of the final paper during our </w:t>
      </w:r>
      <w:proofErr w:type="gramStart"/>
      <w:r>
        <w:rPr>
          <w:rFonts w:eastAsia="Times New Roman" w:cstheme="minorHAnsi"/>
          <w:color w:val="222222"/>
          <w:shd w:val="clear" w:color="auto" w:fill="FFFFFF"/>
        </w:rPr>
        <w:t>first class</w:t>
      </w:r>
      <w:proofErr w:type="gramEnd"/>
      <w:r>
        <w:rPr>
          <w:rFonts w:eastAsia="Times New Roman" w:cstheme="minorHAnsi"/>
          <w:color w:val="222222"/>
          <w:shd w:val="clear" w:color="auto" w:fill="FFFFFF"/>
        </w:rPr>
        <w:t xml:space="preserve"> session together.  Also, I </w:t>
      </w:r>
    </w:p>
    <w:p w14:paraId="5FCD3857" w14:textId="24E36848" w:rsidR="000D192F" w:rsidRDefault="004F3A11">
      <w:pPr>
        <w:rPr>
          <w:rFonts w:eastAsia="Times New Roman" w:cstheme="minorHAnsi"/>
          <w:color w:val="222222"/>
          <w:shd w:val="clear" w:color="auto" w:fill="FFFFFF"/>
        </w:rPr>
      </w:pPr>
      <w:r>
        <w:rPr>
          <w:rFonts w:eastAsia="Times New Roman" w:cstheme="minorHAnsi"/>
          <w:color w:val="222222"/>
          <w:shd w:val="clear" w:color="auto" w:fill="FFFFFF"/>
        </w:rPr>
        <w:t xml:space="preserve">will help </w:t>
      </w:r>
      <w:r w:rsidR="00FE1248">
        <w:rPr>
          <w:rFonts w:eastAsia="Times New Roman" w:cstheme="minorHAnsi"/>
          <w:color w:val="222222"/>
          <w:shd w:val="clear" w:color="auto" w:fill="FFFFFF"/>
        </w:rPr>
        <w:t>you with topic selection, approach, and any other guidance you might need</w:t>
      </w:r>
      <w:r w:rsidR="00FB561F">
        <w:rPr>
          <w:rFonts w:eastAsia="Times New Roman" w:cstheme="minorHAnsi"/>
          <w:color w:val="222222"/>
          <w:shd w:val="clear" w:color="auto" w:fill="FFFFFF"/>
        </w:rPr>
        <w:t xml:space="preserve"> throughout the semester</w:t>
      </w:r>
      <w:r w:rsidR="00FE1248">
        <w:rPr>
          <w:rFonts w:eastAsia="Times New Roman" w:cstheme="minorHAnsi"/>
          <w:color w:val="222222"/>
          <w:shd w:val="clear" w:color="auto" w:fill="FFFFFF"/>
        </w:rPr>
        <w:t xml:space="preserve">.  </w:t>
      </w:r>
      <w:r w:rsidR="00FB561F">
        <w:rPr>
          <w:rFonts w:eastAsia="Times New Roman" w:cstheme="minorHAnsi"/>
          <w:color w:val="222222"/>
          <w:shd w:val="clear" w:color="auto" w:fill="FFFFFF"/>
        </w:rPr>
        <w:t>As mentioned above, t</w:t>
      </w:r>
      <w:r w:rsidR="00FE1248">
        <w:rPr>
          <w:rFonts w:eastAsia="Times New Roman" w:cstheme="minorHAnsi"/>
          <w:color w:val="222222"/>
          <w:shd w:val="clear" w:color="auto" w:fill="FFFFFF"/>
        </w:rPr>
        <w:t>he pa</w:t>
      </w:r>
      <w:r w:rsidR="004B2577">
        <w:rPr>
          <w:rFonts w:eastAsia="Times New Roman" w:cstheme="minorHAnsi"/>
          <w:color w:val="222222"/>
          <w:shd w:val="clear" w:color="auto" w:fill="FFFFFF"/>
        </w:rPr>
        <w:t>p</w:t>
      </w:r>
      <w:r w:rsidR="00FE1248">
        <w:rPr>
          <w:rFonts w:eastAsia="Times New Roman" w:cstheme="minorHAnsi"/>
          <w:color w:val="222222"/>
          <w:shd w:val="clear" w:color="auto" w:fill="FFFFFF"/>
        </w:rPr>
        <w:t xml:space="preserve">er must be at least 25 pages of double-spaced, 12-point text or the equivalent and based upon your own research.  </w:t>
      </w:r>
      <w:r w:rsidR="00E330DA" w:rsidRPr="00F632DB">
        <w:rPr>
          <w:rFonts w:eastAsia="Times New Roman" w:cstheme="minorHAnsi"/>
          <w:b/>
          <w:color w:val="222222"/>
          <w:shd w:val="clear" w:color="auto" w:fill="FFFFFF"/>
        </w:rPr>
        <w:t>At least a 10-page draft must be submitted in advance of the final</w:t>
      </w:r>
      <w:r w:rsidR="00130BB8">
        <w:rPr>
          <w:rFonts w:eastAsia="Times New Roman" w:cstheme="minorHAnsi"/>
          <w:b/>
          <w:color w:val="222222"/>
          <w:shd w:val="clear" w:color="auto" w:fill="FFFFFF"/>
        </w:rPr>
        <w:t xml:space="preserve"> paper</w:t>
      </w:r>
      <w:r w:rsidR="00D46B6E">
        <w:rPr>
          <w:rFonts w:eastAsia="Times New Roman" w:cstheme="minorHAnsi"/>
          <w:b/>
          <w:color w:val="222222"/>
          <w:shd w:val="clear" w:color="auto" w:fill="FFFFFF"/>
        </w:rPr>
        <w:t>, by November 10</w:t>
      </w:r>
      <w:r w:rsidR="00D46B6E" w:rsidRPr="00D46B6E">
        <w:rPr>
          <w:rFonts w:eastAsia="Times New Roman" w:cstheme="minorHAnsi"/>
          <w:b/>
          <w:color w:val="222222"/>
          <w:shd w:val="clear" w:color="auto" w:fill="FFFFFF"/>
          <w:vertAlign w:val="superscript"/>
        </w:rPr>
        <w:t>th</w:t>
      </w:r>
      <w:r w:rsidR="00D46B6E">
        <w:rPr>
          <w:rFonts w:eastAsia="Times New Roman" w:cstheme="minorHAnsi"/>
          <w:b/>
          <w:color w:val="222222"/>
          <w:shd w:val="clear" w:color="auto" w:fill="FFFFFF"/>
        </w:rPr>
        <w:t xml:space="preserve">.  </w:t>
      </w:r>
      <w:r>
        <w:rPr>
          <w:rFonts w:eastAsia="Times New Roman" w:cstheme="minorHAnsi"/>
          <w:color w:val="222222"/>
          <w:shd w:val="clear" w:color="auto" w:fill="FFFFFF"/>
        </w:rPr>
        <w:t xml:space="preserve">Beyond this draft, which you will determine when you submit to and discuss with me, I defer to you to make sure you are progressing sufficiently to </w:t>
      </w:r>
      <w:r w:rsidR="005963C9">
        <w:rPr>
          <w:rFonts w:eastAsia="Times New Roman" w:cstheme="minorHAnsi"/>
          <w:color w:val="222222"/>
          <w:shd w:val="clear" w:color="auto" w:fill="FFFFFF"/>
        </w:rPr>
        <w:t>provide you the time and guidance you need to successfully complete your paper</w:t>
      </w:r>
      <w:r w:rsidR="00130BB8">
        <w:rPr>
          <w:rFonts w:eastAsia="Times New Roman" w:cstheme="minorHAnsi"/>
          <w:color w:val="222222"/>
          <w:shd w:val="clear" w:color="auto" w:fill="FFFFFF"/>
        </w:rPr>
        <w:t xml:space="preserve">.  </w:t>
      </w:r>
      <w:r w:rsidR="005963C9">
        <w:rPr>
          <w:rFonts w:eastAsia="Times New Roman" w:cstheme="minorHAnsi"/>
          <w:color w:val="222222"/>
          <w:shd w:val="clear" w:color="auto" w:fill="FFFFFF"/>
        </w:rPr>
        <w:t xml:space="preserve">I am available for that guidance throughout the semester. </w:t>
      </w:r>
    </w:p>
    <w:p w14:paraId="6FD77B87" w14:textId="38AAEFCA" w:rsidR="006A2582" w:rsidRDefault="006A2582" w:rsidP="00EF7675">
      <w:pPr>
        <w:rPr>
          <w:rFonts w:eastAsia="Times New Roman" w:cstheme="minorHAnsi"/>
          <w:color w:val="222222"/>
          <w:shd w:val="clear" w:color="auto" w:fill="FFFFFF"/>
        </w:rPr>
      </w:pPr>
    </w:p>
    <w:p w14:paraId="66D56A76" w14:textId="4A015153" w:rsidR="006A2582" w:rsidRDefault="00A040A3" w:rsidP="00EF7675">
      <w:pPr>
        <w:rPr>
          <w:rFonts w:eastAsia="Times New Roman" w:cstheme="minorHAnsi"/>
          <w:color w:val="222222"/>
          <w:shd w:val="clear" w:color="auto" w:fill="FFFFFF"/>
        </w:rPr>
      </w:pPr>
      <w:r>
        <w:rPr>
          <w:rFonts w:eastAsia="Times New Roman" w:cstheme="minorHAnsi"/>
          <w:b/>
          <w:bCs/>
          <w:color w:val="222222"/>
          <w:shd w:val="clear" w:color="auto" w:fill="FFFFFF"/>
        </w:rPr>
        <w:t>Grading Evaluation</w:t>
      </w:r>
      <w:r w:rsidR="00AA187F" w:rsidRPr="00260199">
        <w:rPr>
          <w:rFonts w:eastAsia="Times New Roman" w:cstheme="minorHAnsi"/>
          <w:b/>
          <w:bCs/>
          <w:color w:val="222222"/>
          <w:shd w:val="clear" w:color="auto" w:fill="FFFFFF"/>
        </w:rPr>
        <w:t>:</w:t>
      </w:r>
      <w:r w:rsidR="006A2582">
        <w:rPr>
          <w:rFonts w:eastAsia="Times New Roman" w:cstheme="minorHAnsi"/>
          <w:color w:val="222222"/>
          <w:shd w:val="clear" w:color="auto" w:fill="FFFFFF"/>
        </w:rPr>
        <w:t xml:space="preserve">  Your course grade is based upon your class attendance</w:t>
      </w:r>
      <w:r w:rsidR="00541ED7">
        <w:rPr>
          <w:rFonts w:eastAsia="Times New Roman" w:cstheme="minorHAnsi"/>
          <w:color w:val="222222"/>
          <w:shd w:val="clear" w:color="auto" w:fill="FFFFFF"/>
        </w:rPr>
        <w:t xml:space="preserve">, </w:t>
      </w:r>
      <w:proofErr w:type="gramStart"/>
      <w:r w:rsidR="00541ED7">
        <w:rPr>
          <w:rFonts w:eastAsia="Times New Roman" w:cstheme="minorHAnsi"/>
          <w:color w:val="222222"/>
          <w:shd w:val="clear" w:color="auto" w:fill="FFFFFF"/>
        </w:rPr>
        <w:t>preparation</w:t>
      </w:r>
      <w:proofErr w:type="gramEnd"/>
      <w:r w:rsidR="00541ED7">
        <w:rPr>
          <w:rFonts w:eastAsia="Times New Roman" w:cstheme="minorHAnsi"/>
          <w:color w:val="222222"/>
          <w:shd w:val="clear" w:color="auto" w:fill="FFFFFF"/>
        </w:rPr>
        <w:t xml:space="preserve"> and</w:t>
      </w:r>
      <w:r w:rsidR="006A2582">
        <w:rPr>
          <w:rFonts w:eastAsia="Times New Roman" w:cstheme="minorHAnsi"/>
          <w:color w:val="222222"/>
          <w:shd w:val="clear" w:color="auto" w:fill="FFFFFF"/>
        </w:rPr>
        <w:t xml:space="preserve"> participation (</w:t>
      </w:r>
      <w:r w:rsidR="00715718">
        <w:rPr>
          <w:rFonts w:eastAsia="Times New Roman" w:cstheme="minorHAnsi"/>
          <w:color w:val="222222"/>
          <w:shd w:val="clear" w:color="auto" w:fill="FFFFFF"/>
        </w:rPr>
        <w:t>3</w:t>
      </w:r>
      <w:r w:rsidR="00260199">
        <w:rPr>
          <w:rFonts w:eastAsia="Times New Roman" w:cstheme="minorHAnsi"/>
          <w:color w:val="222222"/>
          <w:shd w:val="clear" w:color="auto" w:fill="FFFFFF"/>
        </w:rPr>
        <w:t>5</w:t>
      </w:r>
      <w:r w:rsidR="006A2582">
        <w:rPr>
          <w:rFonts w:eastAsia="Times New Roman" w:cstheme="minorHAnsi"/>
          <w:color w:val="222222"/>
          <w:shd w:val="clear" w:color="auto" w:fill="FFFFFF"/>
        </w:rPr>
        <w:t>%)</w:t>
      </w:r>
      <w:r w:rsidR="00260199">
        <w:rPr>
          <w:rFonts w:eastAsia="Times New Roman" w:cstheme="minorHAnsi"/>
          <w:color w:val="222222"/>
          <w:shd w:val="clear" w:color="auto" w:fill="FFFFFF"/>
        </w:rPr>
        <w:t xml:space="preserve">, </w:t>
      </w:r>
      <w:r w:rsidR="00541ED7">
        <w:rPr>
          <w:rFonts w:eastAsia="Times New Roman" w:cstheme="minorHAnsi"/>
          <w:color w:val="222222"/>
          <w:shd w:val="clear" w:color="auto" w:fill="FFFFFF"/>
        </w:rPr>
        <w:t>your final</w:t>
      </w:r>
      <w:r w:rsidR="006A2582">
        <w:rPr>
          <w:rFonts w:eastAsia="Times New Roman" w:cstheme="minorHAnsi"/>
          <w:color w:val="222222"/>
          <w:shd w:val="clear" w:color="auto" w:fill="FFFFFF"/>
        </w:rPr>
        <w:t xml:space="preserve"> paper </w:t>
      </w:r>
      <w:r w:rsidR="00541ED7">
        <w:rPr>
          <w:rFonts w:eastAsia="Times New Roman" w:cstheme="minorHAnsi"/>
          <w:color w:val="222222"/>
          <w:shd w:val="clear" w:color="auto" w:fill="FFFFFF"/>
        </w:rPr>
        <w:t>draft (15%) and your final paper</w:t>
      </w:r>
      <w:r w:rsidR="006A2582">
        <w:rPr>
          <w:rFonts w:eastAsia="Times New Roman" w:cstheme="minorHAnsi"/>
          <w:color w:val="222222"/>
          <w:shd w:val="clear" w:color="auto" w:fill="FFFFFF"/>
        </w:rPr>
        <w:t xml:space="preserve"> (</w:t>
      </w:r>
      <w:r w:rsidR="00541ED7">
        <w:rPr>
          <w:rFonts w:eastAsia="Times New Roman" w:cstheme="minorHAnsi"/>
          <w:color w:val="222222"/>
          <w:shd w:val="clear" w:color="auto" w:fill="FFFFFF"/>
        </w:rPr>
        <w:t>50</w:t>
      </w:r>
      <w:r w:rsidR="006A2582">
        <w:rPr>
          <w:rFonts w:eastAsia="Times New Roman" w:cstheme="minorHAnsi"/>
          <w:color w:val="222222"/>
          <w:shd w:val="clear" w:color="auto" w:fill="FFFFFF"/>
        </w:rPr>
        <w:t>%</w:t>
      </w:r>
      <w:r w:rsidR="00715718">
        <w:rPr>
          <w:rFonts w:eastAsia="Times New Roman" w:cstheme="minorHAnsi"/>
          <w:color w:val="222222"/>
          <w:shd w:val="clear" w:color="auto" w:fill="FFFFFF"/>
        </w:rPr>
        <w:t xml:space="preserve">).  </w:t>
      </w:r>
    </w:p>
    <w:p w14:paraId="634F703F" w14:textId="77777777" w:rsidR="006A2582" w:rsidRDefault="006A2582" w:rsidP="00EF7675">
      <w:pPr>
        <w:rPr>
          <w:rFonts w:eastAsia="Times New Roman" w:cstheme="minorHAnsi"/>
          <w:color w:val="222222"/>
          <w:shd w:val="clear" w:color="auto" w:fill="FFFFFF"/>
        </w:rPr>
      </w:pPr>
    </w:p>
    <w:p w14:paraId="4C186BD7" w14:textId="45A9F991" w:rsidR="00025E3C" w:rsidRPr="00EE09BC" w:rsidRDefault="00025E3C" w:rsidP="00EF7675">
      <w:pPr>
        <w:rPr>
          <w:rFonts w:eastAsia="Times New Roman" w:cstheme="minorHAnsi"/>
          <w:color w:val="222222"/>
          <w:shd w:val="clear" w:color="auto" w:fill="FFFFFF"/>
        </w:rPr>
      </w:pPr>
      <w:r w:rsidRPr="00025E3C">
        <w:rPr>
          <w:rFonts w:eastAsia="Times New Roman" w:cstheme="minorHAnsi"/>
          <w:b/>
          <w:bCs/>
          <w:color w:val="222222"/>
          <w:shd w:val="clear" w:color="auto" w:fill="FFFFFF"/>
        </w:rPr>
        <w:lastRenderedPageBreak/>
        <w:t>Policy related to make-up exams or other work:</w:t>
      </w:r>
      <w:r>
        <w:rPr>
          <w:rFonts w:eastAsia="Times New Roman" w:cstheme="minorHAnsi"/>
          <w:b/>
          <w:bCs/>
          <w:color w:val="222222"/>
          <w:shd w:val="clear" w:color="auto" w:fill="FFFFFF"/>
        </w:rPr>
        <w:t xml:space="preserve"> </w:t>
      </w:r>
      <w:r w:rsidR="00EE09BC">
        <w:rPr>
          <w:rFonts w:eastAsia="Times New Roman" w:cstheme="minorHAnsi"/>
          <w:color w:val="222222"/>
          <w:shd w:val="clear" w:color="auto" w:fill="FFFFFF"/>
        </w:rPr>
        <w:t>The Law School policy on</w:t>
      </w:r>
      <w:r w:rsidR="00227357">
        <w:rPr>
          <w:rFonts w:eastAsia="Times New Roman" w:cstheme="minorHAnsi"/>
          <w:color w:val="222222"/>
          <w:shd w:val="clear" w:color="auto" w:fill="FFFFFF"/>
        </w:rPr>
        <w:t xml:space="preserve"> this subject can be found at:  </w:t>
      </w:r>
      <w:hyperlink r:id="rId10" w:anchor="12" w:history="1">
        <w:r w:rsidR="00227357" w:rsidRPr="008C3054">
          <w:rPr>
            <w:rStyle w:val="Hyperlink"/>
            <w:rFonts w:eastAsia="Times New Roman" w:cstheme="minorHAnsi"/>
            <w:shd w:val="clear" w:color="auto" w:fill="FFFFFF"/>
          </w:rPr>
          <w:t>http://ufl.edu/studentaffairs/current-students/academic-policies#12</w:t>
        </w:r>
      </w:hyperlink>
      <w:r w:rsidR="00227357">
        <w:rPr>
          <w:rFonts w:eastAsia="Times New Roman" w:cstheme="minorHAnsi"/>
          <w:color w:val="222222"/>
          <w:shd w:val="clear" w:color="auto" w:fill="FFFFFF"/>
        </w:rPr>
        <w:t xml:space="preserve"> </w:t>
      </w:r>
      <w:r w:rsidR="00EE09BC">
        <w:rPr>
          <w:rFonts w:eastAsia="Times New Roman" w:cstheme="minorHAnsi"/>
          <w:color w:val="222222"/>
          <w:shd w:val="clear" w:color="auto" w:fill="FFFFFF"/>
        </w:rPr>
        <w:t xml:space="preserve"> </w:t>
      </w:r>
    </w:p>
    <w:p w14:paraId="5CA9629A" w14:textId="69389857" w:rsidR="00025E3C" w:rsidRDefault="00025E3C" w:rsidP="00EF7675">
      <w:pPr>
        <w:rPr>
          <w:rFonts w:eastAsia="Times New Roman" w:cstheme="minorHAnsi"/>
          <w:b/>
          <w:bCs/>
          <w:color w:val="222222"/>
          <w:shd w:val="clear" w:color="auto" w:fill="FFFFFF"/>
        </w:rPr>
      </w:pPr>
    </w:p>
    <w:p w14:paraId="550F2885" w14:textId="48EF5397" w:rsidR="00840CFF" w:rsidRDefault="00025E3C" w:rsidP="00EF7675">
      <w:pPr>
        <w:rPr>
          <w:rFonts w:eastAsia="Times New Roman" w:cstheme="minorHAnsi"/>
          <w:color w:val="222222"/>
          <w:shd w:val="clear" w:color="auto" w:fill="FFFFFF"/>
        </w:rPr>
      </w:pPr>
      <w:r>
        <w:rPr>
          <w:rFonts w:eastAsia="Times New Roman" w:cstheme="minorHAnsi"/>
          <w:b/>
          <w:bCs/>
          <w:color w:val="222222"/>
          <w:shd w:val="clear" w:color="auto" w:fill="FFFFFF"/>
        </w:rPr>
        <w:t>University Policy on Accom</w:t>
      </w:r>
      <w:r w:rsidR="00325EB1">
        <w:rPr>
          <w:rFonts w:eastAsia="Times New Roman" w:cstheme="minorHAnsi"/>
          <w:b/>
          <w:bCs/>
          <w:color w:val="222222"/>
          <w:shd w:val="clear" w:color="auto" w:fill="FFFFFF"/>
        </w:rPr>
        <w:t>m</w:t>
      </w:r>
      <w:r>
        <w:rPr>
          <w:rFonts w:eastAsia="Times New Roman" w:cstheme="minorHAnsi"/>
          <w:b/>
          <w:bCs/>
          <w:color w:val="222222"/>
          <w:shd w:val="clear" w:color="auto" w:fill="FFFFFF"/>
        </w:rPr>
        <w:t xml:space="preserve">odating Students with Disabilities:  </w:t>
      </w:r>
      <w:r w:rsidR="006D272D">
        <w:rPr>
          <w:rFonts w:eastAsia="Times New Roman" w:cstheme="minorHAnsi"/>
          <w:color w:val="222222"/>
          <w:shd w:val="clear" w:color="auto" w:fill="FFFFFF"/>
        </w:rPr>
        <w:t xml:space="preserve">Students requesting accommodation for disabilities must first register with the Disability Resource Center </w:t>
      </w:r>
      <w:r w:rsidR="00E330DA" w:rsidRPr="00E330DA">
        <w:rPr>
          <w:rFonts w:eastAsia="Times New Roman" w:cstheme="minorHAnsi"/>
          <w:color w:val="222222"/>
          <w:shd w:val="clear" w:color="auto" w:fill="FFFFFF"/>
        </w:rPr>
        <w:t>https://www.law.ufl.edu/life-at-uf-law/office-of-student-affairs/current-students/forms-applications/exam-delays-accommodations-form</w:t>
      </w:r>
      <w:r w:rsidR="00E330DA" w:rsidRPr="00E330DA" w:rsidDel="00E330DA">
        <w:rPr>
          <w:rFonts w:eastAsia="Times New Roman" w:cstheme="minorHAnsi"/>
          <w:color w:val="222222"/>
          <w:shd w:val="clear" w:color="auto" w:fill="FFFFFF"/>
        </w:rPr>
        <w:t xml:space="preserve"> </w:t>
      </w:r>
    </w:p>
    <w:p w14:paraId="25EE96A3" w14:textId="77777777" w:rsidR="00840CFF" w:rsidRDefault="00840CFF" w:rsidP="00EF7675">
      <w:pPr>
        <w:rPr>
          <w:rFonts w:eastAsia="Times New Roman" w:cstheme="minorHAnsi"/>
          <w:color w:val="222222"/>
          <w:shd w:val="clear" w:color="auto" w:fill="FFFFFF"/>
        </w:rPr>
      </w:pPr>
    </w:p>
    <w:p w14:paraId="30E24324" w14:textId="77777777" w:rsidR="00A040A3" w:rsidRPr="00D92A70" w:rsidRDefault="00A040A3" w:rsidP="00A040A3">
      <w:pPr>
        <w:pStyle w:val="paragraph"/>
        <w:spacing w:before="0" w:beforeAutospacing="0" w:after="0" w:afterAutospacing="0"/>
        <w:textAlignment w:val="baseline"/>
        <w:rPr>
          <w:rFonts w:asciiTheme="minorHAnsi" w:hAnsiTheme="minorHAnsi" w:cstheme="minorHAnsi"/>
        </w:rPr>
      </w:pPr>
      <w:r w:rsidRPr="00D92A70">
        <w:rPr>
          <w:rStyle w:val="normaltextrun"/>
          <w:rFonts w:asciiTheme="minorHAnsi" w:hAnsiTheme="minorHAnsi" w:cstheme="minorHAnsi"/>
          <w:b/>
          <w:bCs/>
          <w:u w:val="single"/>
        </w:rPr>
        <w:t>RECORDINGS OF CLASS</w:t>
      </w:r>
      <w:r w:rsidRPr="00D92A70">
        <w:rPr>
          <w:rStyle w:val="eop"/>
          <w:rFonts w:asciiTheme="minorHAnsi" w:hAnsiTheme="minorHAnsi" w:cstheme="minorHAnsi"/>
        </w:rPr>
        <w:t> </w:t>
      </w:r>
    </w:p>
    <w:p w14:paraId="73368B20" w14:textId="77777777" w:rsidR="00A040A3" w:rsidRPr="00D92A70" w:rsidRDefault="00A040A3" w:rsidP="00A040A3">
      <w:pPr>
        <w:pStyle w:val="paragraph"/>
        <w:spacing w:before="0" w:beforeAutospacing="0" w:after="0" w:afterAutospacing="0"/>
        <w:textAlignment w:val="baseline"/>
        <w:rPr>
          <w:rFonts w:asciiTheme="minorHAnsi" w:hAnsiTheme="minorHAnsi" w:cstheme="minorHAnsi"/>
        </w:rPr>
      </w:pPr>
      <w:r w:rsidRPr="00D92A70">
        <w:rPr>
          <w:rStyle w:val="normaltextrun"/>
          <w:rFonts w:asciiTheme="minorHAnsi" w:hAnsiTheme="minorHAnsi" w:cstheme="minorHAnsi"/>
          <w:color w:val="323130"/>
          <w:shd w:val="clear" w:color="auto" w:fill="FFFFFF"/>
        </w:rPr>
        <w:t xml:space="preserve">All classes will be recorded via </w:t>
      </w:r>
      <w:proofErr w:type="spellStart"/>
      <w:r w:rsidRPr="00D92A70">
        <w:rPr>
          <w:rStyle w:val="normaltextrun"/>
          <w:rFonts w:asciiTheme="minorHAnsi" w:hAnsiTheme="minorHAnsi" w:cstheme="minorHAnsi"/>
          <w:color w:val="323130"/>
          <w:shd w:val="clear" w:color="auto" w:fill="FFFFFF"/>
        </w:rPr>
        <w:t>Mediasite</w:t>
      </w:r>
      <w:proofErr w:type="spellEnd"/>
      <w:r w:rsidRPr="00D92A70">
        <w:rPr>
          <w:rStyle w:val="normaltextrun"/>
          <w:rFonts w:asciiTheme="minorHAnsi" w:hAnsiTheme="minorHAnsi" w:cstheme="minorHAnsi"/>
          <w:color w:val="323130"/>
          <w:shd w:val="clear" w:color="auto" w:fill="FFFFFF"/>
        </w:rPr>
        <w:t xml:space="preserve"> in case students must miss class for health reasons. The Office of Student Affairs will determine when students may have access to these recordings, and the recordings will be password protected.</w:t>
      </w:r>
      <w:r w:rsidRPr="00D92A70">
        <w:rPr>
          <w:rStyle w:val="eop"/>
          <w:rFonts w:asciiTheme="minorHAnsi" w:hAnsiTheme="minorHAnsi" w:cstheme="minorHAnsi"/>
          <w:color w:val="323130"/>
        </w:rPr>
        <w:t> </w:t>
      </w:r>
    </w:p>
    <w:p w14:paraId="0E843CAB" w14:textId="77777777" w:rsidR="00A040A3" w:rsidRPr="00D92A70" w:rsidRDefault="00A040A3" w:rsidP="00A040A3">
      <w:pPr>
        <w:pStyle w:val="paragraph"/>
        <w:shd w:val="clear" w:color="auto" w:fill="FFFFFF"/>
        <w:spacing w:before="0" w:beforeAutospacing="0" w:after="0" w:afterAutospacing="0"/>
        <w:textAlignment w:val="baseline"/>
        <w:rPr>
          <w:rFonts w:asciiTheme="minorHAnsi" w:hAnsiTheme="minorHAnsi" w:cstheme="minorHAnsi"/>
        </w:rPr>
      </w:pPr>
      <w:r w:rsidRPr="00D92A70">
        <w:rPr>
          <w:rStyle w:val="eop"/>
          <w:rFonts w:asciiTheme="minorHAnsi" w:hAnsiTheme="minorHAnsi" w:cstheme="minorHAnsi"/>
          <w:color w:val="201F1E"/>
        </w:rPr>
        <w:t> </w:t>
      </w:r>
    </w:p>
    <w:p w14:paraId="02183149" w14:textId="77777777" w:rsidR="00A040A3" w:rsidRPr="00D92A70" w:rsidRDefault="00A040A3" w:rsidP="00A040A3">
      <w:pPr>
        <w:pStyle w:val="paragraph"/>
        <w:shd w:val="clear" w:color="auto" w:fill="FFFFFF"/>
        <w:spacing w:before="0" w:beforeAutospacing="0" w:after="0" w:afterAutospacing="0"/>
        <w:textAlignment w:val="baseline"/>
        <w:rPr>
          <w:rFonts w:asciiTheme="minorHAnsi" w:hAnsiTheme="minorHAnsi" w:cstheme="minorHAnsi"/>
        </w:rPr>
      </w:pPr>
      <w:r w:rsidRPr="00D92A70">
        <w:rPr>
          <w:rStyle w:val="normaltextrun"/>
          <w:rFonts w:asciiTheme="minorHAnsi" w:hAnsiTheme="minorHAnsi" w:cstheme="minorHAnsi"/>
          <w:color w:val="201F1E"/>
        </w:rPr>
        <w:t xml:space="preserve">Students </w:t>
      </w:r>
      <w:proofErr w:type="gramStart"/>
      <w:r w:rsidRPr="00D92A70">
        <w:rPr>
          <w:rStyle w:val="normaltextrun"/>
          <w:rFonts w:asciiTheme="minorHAnsi" w:hAnsiTheme="minorHAnsi" w:cstheme="minorHAnsi"/>
          <w:color w:val="201F1E"/>
        </w:rPr>
        <w:t>are allowed to</w:t>
      </w:r>
      <w:proofErr w:type="gramEnd"/>
      <w:r w:rsidRPr="00D92A70">
        <w:rPr>
          <w:rStyle w:val="normaltextrun"/>
          <w:rFonts w:asciiTheme="minorHAnsi" w:hAnsiTheme="minorHAnsi" w:cstheme="minorHAnsi"/>
          <w:color w:val="201F1E"/>
        </w:rPr>
        <w:t xml:space="preserve"> record video or audio of “class lectures.”</w:t>
      </w:r>
      <w:r w:rsidRPr="00D92A70">
        <w:rPr>
          <w:rStyle w:val="superscript"/>
          <w:rFonts w:asciiTheme="minorHAnsi" w:hAnsiTheme="minorHAnsi" w:cstheme="minorHAnsi"/>
          <w:color w:val="201F1E"/>
          <w:vertAlign w:val="superscript"/>
        </w:rPr>
        <w:t>3</w:t>
      </w:r>
      <w:r w:rsidRPr="00D92A70">
        <w:rPr>
          <w:rStyle w:val="normaltextrun"/>
          <w:rFonts w:asciiTheme="minorHAnsi" w:hAnsiTheme="minorHAnsi" w:cstheme="minorHAnsi"/>
          <w:color w:val="201F1E"/>
        </w:rPr>
        <w:t xml:space="preserve">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r w:rsidRPr="00D92A70">
        <w:rPr>
          <w:rStyle w:val="eop"/>
          <w:rFonts w:asciiTheme="minorHAnsi" w:hAnsiTheme="minorHAnsi" w:cstheme="minorHAnsi"/>
          <w:color w:val="201F1E"/>
        </w:rPr>
        <w:t> </w:t>
      </w:r>
    </w:p>
    <w:p w14:paraId="752763BB" w14:textId="77777777" w:rsidR="00A040A3" w:rsidRPr="00D92A70" w:rsidRDefault="00A040A3" w:rsidP="00A040A3">
      <w:pPr>
        <w:pStyle w:val="paragraph"/>
        <w:shd w:val="clear" w:color="auto" w:fill="FFFFFF"/>
        <w:spacing w:before="0" w:beforeAutospacing="0" w:after="0" w:afterAutospacing="0"/>
        <w:textAlignment w:val="baseline"/>
        <w:rPr>
          <w:rFonts w:asciiTheme="minorHAnsi" w:hAnsiTheme="minorHAnsi" w:cstheme="minorHAnsi"/>
        </w:rPr>
      </w:pPr>
      <w:r w:rsidRPr="00D92A70">
        <w:rPr>
          <w:rStyle w:val="normaltextrun"/>
          <w:rFonts w:asciiTheme="minorHAnsi" w:hAnsiTheme="minorHAnsi" w:cstheme="minorHAnsi"/>
          <w:color w:val="201F1E"/>
        </w:rPr>
        <w:t>  </w:t>
      </w:r>
      <w:r w:rsidRPr="00D92A70">
        <w:rPr>
          <w:rStyle w:val="eop"/>
          <w:rFonts w:asciiTheme="minorHAnsi" w:hAnsiTheme="minorHAnsi" w:cstheme="minorHAnsi"/>
          <w:color w:val="201F1E"/>
        </w:rPr>
        <w:t> </w:t>
      </w:r>
    </w:p>
    <w:p w14:paraId="0329EF35" w14:textId="77777777" w:rsidR="00A040A3" w:rsidRPr="00D92A70" w:rsidRDefault="00A040A3" w:rsidP="00A040A3">
      <w:pPr>
        <w:pStyle w:val="paragraph"/>
        <w:shd w:val="clear" w:color="auto" w:fill="FFFFFF"/>
        <w:spacing w:before="0" w:beforeAutospacing="0" w:after="0" w:afterAutospacing="0"/>
        <w:textAlignment w:val="baseline"/>
        <w:rPr>
          <w:rFonts w:asciiTheme="minorHAnsi" w:hAnsiTheme="minorHAnsi" w:cstheme="minorHAnsi"/>
        </w:rPr>
      </w:pPr>
      <w:r w:rsidRPr="00D92A70">
        <w:rPr>
          <w:rStyle w:val="normaltextrun"/>
          <w:rFonts w:asciiTheme="minorHAnsi" w:hAnsiTheme="minorHAnsi" w:cstheme="minorHAnsi"/>
          <w:color w:val="201F1E"/>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D92A70">
        <w:rPr>
          <w:rStyle w:val="normaltextrun"/>
          <w:rFonts w:asciiTheme="minorHAnsi" w:hAnsiTheme="minorHAnsi" w:cstheme="minorHAnsi"/>
          <w:color w:val="201F1E"/>
        </w:rPr>
        <w:t>third party</w:t>
      </w:r>
      <w:proofErr w:type="gramEnd"/>
      <w:r w:rsidRPr="00D92A70">
        <w:rPr>
          <w:rStyle w:val="normaltextrun"/>
          <w:rFonts w:asciiTheme="minorHAnsi" w:hAnsiTheme="minorHAnsi" w:cstheme="minorHAnsi"/>
          <w:color w:val="201F1E"/>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1546542D" w14:textId="77777777" w:rsidR="00AD193C" w:rsidRPr="006D272D" w:rsidRDefault="00AD193C" w:rsidP="00EF7675">
      <w:pPr>
        <w:rPr>
          <w:rFonts w:eastAsia="Times New Roman" w:cstheme="minorHAnsi"/>
          <w:b/>
          <w:bCs/>
          <w:color w:val="222222"/>
          <w:shd w:val="clear" w:color="auto" w:fill="FFFFFF"/>
        </w:rPr>
      </w:pPr>
    </w:p>
    <w:p w14:paraId="278370A6" w14:textId="308EE575" w:rsidR="00B94151" w:rsidRPr="00AD193C" w:rsidRDefault="00B94151" w:rsidP="00EF7675">
      <w:pPr>
        <w:rPr>
          <w:rFonts w:eastAsia="Times New Roman" w:cstheme="minorHAnsi"/>
          <w:color w:val="222222"/>
          <w:shd w:val="clear" w:color="auto" w:fill="FFFFFF"/>
        </w:rPr>
      </w:pPr>
      <w:r>
        <w:rPr>
          <w:rFonts w:eastAsia="Times New Roman" w:cstheme="minorHAnsi"/>
          <w:b/>
          <w:bCs/>
          <w:color w:val="222222"/>
          <w:shd w:val="clear" w:color="auto" w:fill="FFFFFF"/>
        </w:rPr>
        <w:t>Student Course Evaluation:</w:t>
      </w:r>
      <w:r w:rsidR="00AD193C">
        <w:rPr>
          <w:rFonts w:eastAsia="Times New Roman" w:cstheme="minorHAnsi"/>
          <w:b/>
          <w:bCs/>
          <w:color w:val="222222"/>
          <w:shd w:val="clear" w:color="auto" w:fill="FFFFFF"/>
        </w:rPr>
        <w:t xml:space="preserve">  </w:t>
      </w:r>
      <w:r w:rsidR="00AD193C">
        <w:rPr>
          <w:rFonts w:eastAsia="Times New Roman" w:cstheme="minorHAnsi"/>
          <w:color w:val="222222"/>
          <w:shd w:val="clear" w:color="auto" w:fill="FFFFFF"/>
        </w:rPr>
        <w:t xml:space="preserve">The Law School </w:t>
      </w:r>
      <w:r w:rsidR="00BE370D">
        <w:rPr>
          <w:rFonts w:eastAsia="Times New Roman" w:cstheme="minorHAnsi"/>
          <w:color w:val="222222"/>
          <w:shd w:val="clear" w:color="auto" w:fill="FFFFFF"/>
        </w:rPr>
        <w:t xml:space="preserve">expects student to provide feedback on the quality of instruction in this course by completing an online evaluation at </w:t>
      </w:r>
      <w:hyperlink r:id="rId11" w:history="1">
        <w:r w:rsidR="00BE370D" w:rsidRPr="008C3054">
          <w:rPr>
            <w:rStyle w:val="Hyperlink"/>
            <w:rFonts w:eastAsia="Times New Roman" w:cstheme="minorHAnsi"/>
            <w:shd w:val="clear" w:color="auto" w:fill="FFFFFF"/>
          </w:rPr>
          <w:t>https://evaluations.ufl.edu</w:t>
        </w:r>
      </w:hyperlink>
      <w:r w:rsidR="00BE370D">
        <w:rPr>
          <w:rFonts w:eastAsia="Times New Roman" w:cstheme="minorHAnsi"/>
          <w:color w:val="222222"/>
          <w:shd w:val="clear" w:color="auto" w:fill="FFFFFF"/>
        </w:rPr>
        <w:t xml:space="preserve"> Summary of these assessments are available to students at </w:t>
      </w:r>
      <w:hyperlink r:id="rId12" w:history="1">
        <w:r w:rsidR="00BE370D" w:rsidRPr="008C3054">
          <w:rPr>
            <w:rStyle w:val="Hyperlink"/>
            <w:rFonts w:eastAsia="Times New Roman" w:cstheme="minorHAnsi"/>
            <w:shd w:val="clear" w:color="auto" w:fill="FFFFFF"/>
          </w:rPr>
          <w:t>https://evaluations.ufl.edu/results/</w:t>
        </w:r>
      </w:hyperlink>
      <w:r w:rsidR="00BE370D">
        <w:rPr>
          <w:rFonts w:eastAsia="Times New Roman" w:cstheme="minorHAnsi"/>
          <w:color w:val="222222"/>
          <w:shd w:val="clear" w:color="auto" w:fill="FFFFFF"/>
        </w:rPr>
        <w:t xml:space="preserve">   </w:t>
      </w:r>
    </w:p>
    <w:p w14:paraId="2A5A7557" w14:textId="6B545CCD" w:rsidR="00670F4A" w:rsidRDefault="00670F4A" w:rsidP="00EF7675">
      <w:pPr>
        <w:rPr>
          <w:rFonts w:eastAsia="Times New Roman" w:cstheme="minorHAnsi"/>
          <w:b/>
          <w:bCs/>
          <w:color w:val="222222"/>
          <w:shd w:val="clear" w:color="auto" w:fill="FFFFFF"/>
        </w:rPr>
      </w:pPr>
    </w:p>
    <w:p w14:paraId="47F4C27D" w14:textId="4D8FB60F" w:rsidR="00670F4A" w:rsidRDefault="00670F4A" w:rsidP="00EF7675">
      <w:pPr>
        <w:rPr>
          <w:rFonts w:eastAsia="Times New Roman" w:cstheme="minorHAnsi"/>
          <w:b/>
          <w:bCs/>
          <w:color w:val="222222"/>
          <w:shd w:val="clear" w:color="auto" w:fill="FFFFFF"/>
        </w:rPr>
      </w:pPr>
      <w:r>
        <w:rPr>
          <w:rFonts w:eastAsia="Times New Roman" w:cstheme="minorHAnsi"/>
          <w:b/>
          <w:bCs/>
          <w:color w:val="222222"/>
          <w:shd w:val="clear" w:color="auto" w:fill="FFFFFF"/>
        </w:rPr>
        <w:t>Weekly Course Schedule of Topics and Assignments:</w:t>
      </w:r>
    </w:p>
    <w:p w14:paraId="2968A505" w14:textId="233D75E3" w:rsidR="00EE0FBA" w:rsidRDefault="00EE0FBA" w:rsidP="00EE0FBA">
      <w:pPr>
        <w:jc w:val="both"/>
        <w:rPr>
          <w:rFonts w:cstheme="minorHAnsi"/>
        </w:rPr>
      </w:pPr>
      <w:r w:rsidRPr="00F632DB">
        <w:rPr>
          <w:rFonts w:cstheme="minorHAnsi"/>
        </w:rPr>
        <w:t xml:space="preserve">In accordance with Standard 310 of the American Bar Association’s (ABA) standards for law schools, students are expected to devote 2 hours of out-of-class preparation for every 1 credit hour of in-class instruction.  Because this course has 2 credit hours of in-class instruction weekly, you should expect to spend approximately 4 hours outside of class reading, preparing, and reviewing the material for our class meetings each week. </w:t>
      </w:r>
    </w:p>
    <w:p w14:paraId="07E05AD0" w14:textId="28272B3E" w:rsidR="00242CCE" w:rsidRDefault="00242CCE" w:rsidP="00EE0FBA">
      <w:pPr>
        <w:jc w:val="both"/>
        <w:rPr>
          <w:rFonts w:cstheme="minorHAnsi"/>
        </w:rPr>
      </w:pPr>
    </w:p>
    <w:p w14:paraId="45E3DD90" w14:textId="77777777" w:rsidR="00EF08F5" w:rsidRPr="00F632DB" w:rsidRDefault="00EF08F5" w:rsidP="00EF08F5">
      <w:pPr>
        <w:rPr>
          <w:b/>
        </w:rPr>
      </w:pPr>
      <w:r w:rsidRPr="00F632DB">
        <w:rPr>
          <w:b/>
        </w:rPr>
        <w:t>Class schedule</w:t>
      </w:r>
    </w:p>
    <w:tbl>
      <w:tblPr>
        <w:tblStyle w:val="TableGrid"/>
        <w:tblW w:w="9445" w:type="dxa"/>
        <w:tblLayout w:type="fixed"/>
        <w:tblLook w:val="04A0" w:firstRow="1" w:lastRow="0" w:firstColumn="1" w:lastColumn="0" w:noHBand="0" w:noVBand="1"/>
      </w:tblPr>
      <w:tblGrid>
        <w:gridCol w:w="778"/>
        <w:gridCol w:w="796"/>
        <w:gridCol w:w="2291"/>
        <w:gridCol w:w="5580"/>
      </w:tblGrid>
      <w:tr w:rsidR="00C917C5" w14:paraId="14FDADF8" w14:textId="77777777" w:rsidTr="00E459F7">
        <w:tc>
          <w:tcPr>
            <w:tcW w:w="778" w:type="dxa"/>
          </w:tcPr>
          <w:p w14:paraId="6F18C364" w14:textId="6B21B1A1" w:rsidR="00C917C5" w:rsidRDefault="00C917C5" w:rsidP="00EF08F5">
            <w:r>
              <w:t xml:space="preserve">Week </w:t>
            </w:r>
          </w:p>
        </w:tc>
        <w:tc>
          <w:tcPr>
            <w:tcW w:w="796" w:type="dxa"/>
          </w:tcPr>
          <w:p w14:paraId="240CBE67" w14:textId="5553D674" w:rsidR="00C917C5" w:rsidRDefault="00C917C5" w:rsidP="00EF08F5">
            <w:r>
              <w:t xml:space="preserve">Date </w:t>
            </w:r>
          </w:p>
        </w:tc>
        <w:tc>
          <w:tcPr>
            <w:tcW w:w="2291" w:type="dxa"/>
          </w:tcPr>
          <w:p w14:paraId="17F13EA0" w14:textId="3B93A915" w:rsidR="00C917C5" w:rsidRDefault="00C917C5" w:rsidP="00EF08F5">
            <w:r>
              <w:t>Topic</w:t>
            </w:r>
          </w:p>
        </w:tc>
        <w:tc>
          <w:tcPr>
            <w:tcW w:w="5580" w:type="dxa"/>
          </w:tcPr>
          <w:p w14:paraId="1CFC455C" w14:textId="284C64C5" w:rsidR="00C917C5" w:rsidRDefault="00C917C5" w:rsidP="00EF08F5">
            <w:r>
              <w:t xml:space="preserve">Assigned Reading Materials </w:t>
            </w:r>
          </w:p>
        </w:tc>
      </w:tr>
      <w:tr w:rsidR="00C917C5" w14:paraId="639916E4" w14:textId="77777777" w:rsidTr="00E459F7">
        <w:tc>
          <w:tcPr>
            <w:tcW w:w="778" w:type="dxa"/>
          </w:tcPr>
          <w:p w14:paraId="6307CAE0" w14:textId="15C2B103" w:rsidR="00C917C5" w:rsidRDefault="00C917C5" w:rsidP="00C917C5">
            <w:r>
              <w:lastRenderedPageBreak/>
              <w:t>1</w:t>
            </w:r>
          </w:p>
        </w:tc>
        <w:tc>
          <w:tcPr>
            <w:tcW w:w="796" w:type="dxa"/>
          </w:tcPr>
          <w:p w14:paraId="3CFECDAA" w14:textId="5180B2A3" w:rsidR="00C917C5" w:rsidRDefault="00C917C5" w:rsidP="00C917C5">
            <w:r>
              <w:t>8/25</w:t>
            </w:r>
          </w:p>
        </w:tc>
        <w:tc>
          <w:tcPr>
            <w:tcW w:w="2291" w:type="dxa"/>
          </w:tcPr>
          <w:p w14:paraId="3415293B" w14:textId="6B9D07C0" w:rsidR="00C917C5" w:rsidRDefault="00C917C5" w:rsidP="00C917C5">
            <w:r>
              <w:t>Course Overview; Requirements</w:t>
            </w:r>
            <w:r w:rsidR="005B2CA0">
              <w:t xml:space="preserve"> &amp;</w:t>
            </w:r>
            <w:r>
              <w:t xml:space="preserve"> Administrative Items; </w:t>
            </w:r>
            <w:r w:rsidR="005B2CA0">
              <w:t xml:space="preserve">Final Paper Discussion; </w:t>
            </w:r>
            <w:proofErr w:type="gramStart"/>
            <w:r>
              <w:t>Introductions;</w:t>
            </w:r>
            <w:proofErr w:type="gramEnd"/>
          </w:p>
          <w:p w14:paraId="2ADB93BA" w14:textId="77777777" w:rsidR="00C917C5" w:rsidRDefault="00C917C5" w:rsidP="00C917C5"/>
          <w:p w14:paraId="44BF1180" w14:textId="77777777" w:rsidR="00C917C5" w:rsidRDefault="00C917C5" w:rsidP="00C917C5">
            <w:r>
              <w:t xml:space="preserve">The Relationship Between Ethics &amp; </w:t>
            </w:r>
            <w:proofErr w:type="gramStart"/>
            <w:r>
              <w:t>Compliance;</w:t>
            </w:r>
            <w:proofErr w:type="gramEnd"/>
          </w:p>
          <w:p w14:paraId="710F278D" w14:textId="77777777" w:rsidR="00C917C5" w:rsidRDefault="00C917C5" w:rsidP="00C917C5"/>
          <w:p w14:paraId="6D6D3412" w14:textId="77777777" w:rsidR="00C917C5" w:rsidRDefault="00C917C5" w:rsidP="00C917C5">
            <w:r>
              <w:t>Ethical Decision-Making Frameworks Primer</w:t>
            </w:r>
          </w:p>
          <w:p w14:paraId="11738D74" w14:textId="77777777" w:rsidR="00C917C5" w:rsidRDefault="00C917C5" w:rsidP="00C917C5"/>
          <w:p w14:paraId="190658CF" w14:textId="77777777" w:rsidR="00C917C5" w:rsidRDefault="00C917C5" w:rsidP="00C917C5"/>
          <w:p w14:paraId="1624C7E1" w14:textId="2389C37C" w:rsidR="00C917C5" w:rsidRDefault="00C917C5" w:rsidP="00C917C5">
            <w:r>
              <w:t>Ethical Challenge #1-Standing Up to Power</w:t>
            </w:r>
          </w:p>
        </w:tc>
        <w:tc>
          <w:tcPr>
            <w:tcW w:w="5580" w:type="dxa"/>
          </w:tcPr>
          <w:p w14:paraId="1F51A444" w14:textId="1469CBDB" w:rsidR="006E16D8" w:rsidRPr="003942F1" w:rsidRDefault="00015CBB" w:rsidP="00015CBB">
            <w:pPr>
              <w:rPr>
                <w:b/>
                <w:bCs/>
                <w:u w:val="single"/>
              </w:rPr>
            </w:pPr>
            <w:r w:rsidRPr="003942F1">
              <w:rPr>
                <w:b/>
                <w:bCs/>
                <w:u w:val="single"/>
              </w:rPr>
              <w:t>Required:</w:t>
            </w:r>
          </w:p>
          <w:p w14:paraId="396F5F7D" w14:textId="59B0B0D1" w:rsidR="00015CBB" w:rsidRDefault="00015CBB" w:rsidP="00015CBB">
            <w:r w:rsidRPr="003861EB">
              <w:t>The Business Ethics Guide</w:t>
            </w:r>
            <w:r>
              <w:rPr>
                <w:i/>
              </w:rPr>
              <w:t xml:space="preserve">- </w:t>
            </w:r>
            <w:r>
              <w:t xml:space="preserve">pp. V-30- Forward, Preface, Introductions to the Challenges, </w:t>
            </w:r>
          </w:p>
          <w:p w14:paraId="249D30F6" w14:textId="77777777" w:rsidR="009642B6" w:rsidRDefault="009642B6" w:rsidP="00015CBB"/>
          <w:p w14:paraId="1C14C367" w14:textId="309A257E" w:rsidR="00C917C5" w:rsidRDefault="00015CBB" w:rsidP="00015CBB">
            <w:r>
              <w:t>Challenge 1: Standing Up to Power, Chapter 16-All Purpose Tools- pp. 231-246</w:t>
            </w:r>
          </w:p>
        </w:tc>
      </w:tr>
      <w:tr w:rsidR="00C917C5" w14:paraId="5E2F172C" w14:textId="77777777" w:rsidTr="00E459F7">
        <w:tc>
          <w:tcPr>
            <w:tcW w:w="778" w:type="dxa"/>
          </w:tcPr>
          <w:p w14:paraId="031005D1" w14:textId="690D7297" w:rsidR="00C917C5" w:rsidRDefault="00C917C5" w:rsidP="00C917C5">
            <w:r>
              <w:t>2</w:t>
            </w:r>
          </w:p>
        </w:tc>
        <w:tc>
          <w:tcPr>
            <w:tcW w:w="796" w:type="dxa"/>
          </w:tcPr>
          <w:p w14:paraId="18BBE65D" w14:textId="2E2CFCFE" w:rsidR="00C917C5" w:rsidRDefault="00C917C5" w:rsidP="00C917C5">
            <w:r>
              <w:t>9/2</w:t>
            </w:r>
          </w:p>
        </w:tc>
        <w:tc>
          <w:tcPr>
            <w:tcW w:w="2291" w:type="dxa"/>
          </w:tcPr>
          <w:p w14:paraId="26B709F8" w14:textId="77777777" w:rsidR="00015CBB" w:rsidRDefault="00015CBB" w:rsidP="00015CBB">
            <w:r>
              <w:t>“Seven” Elements of an Effective Compliance Program</w:t>
            </w:r>
          </w:p>
          <w:p w14:paraId="57063AEC" w14:textId="77777777" w:rsidR="00015CBB" w:rsidRDefault="00015CBB" w:rsidP="00015CBB"/>
          <w:p w14:paraId="7B81438B" w14:textId="250F42AF" w:rsidR="00C917C5" w:rsidRDefault="00015CBB" w:rsidP="00015CBB">
            <w:r>
              <w:t xml:space="preserve">Ethical Challenge #2- </w:t>
            </w:r>
            <w:r w:rsidRPr="00F632DB">
              <w:rPr>
                <w:bCs/>
              </w:rPr>
              <w:t>Made a Promise</w:t>
            </w:r>
            <w:r>
              <w:t xml:space="preserve"> (and the World has Changed)</w:t>
            </w:r>
          </w:p>
        </w:tc>
        <w:tc>
          <w:tcPr>
            <w:tcW w:w="5580" w:type="dxa"/>
          </w:tcPr>
          <w:p w14:paraId="40DC7A9D" w14:textId="77777777" w:rsidR="00015CBB" w:rsidRPr="003942F1" w:rsidRDefault="00015CBB" w:rsidP="00015CBB">
            <w:pPr>
              <w:rPr>
                <w:b/>
                <w:bCs/>
                <w:u w:val="single"/>
              </w:rPr>
            </w:pPr>
            <w:r w:rsidRPr="003942F1">
              <w:rPr>
                <w:b/>
                <w:bCs/>
                <w:u w:val="single"/>
              </w:rPr>
              <w:t>Required:</w:t>
            </w:r>
          </w:p>
          <w:p w14:paraId="16B08E9A" w14:textId="77777777" w:rsidR="00015CBB" w:rsidRDefault="00015CBB" w:rsidP="00015CBB">
            <w:r>
              <w:t xml:space="preserve">Chapter 8- Sentencing of Organizations, United States Sentencing Commission, 2021 Guidelines Manual Annotated, uscc.gov  </w:t>
            </w:r>
            <w:hyperlink r:id="rId13" w:anchor="NaN" w:history="1">
              <w:r w:rsidRPr="001422F0">
                <w:rPr>
                  <w:rStyle w:val="Hyperlink"/>
                </w:rPr>
                <w:t>https://www.ussc.gov/guidelines/2021-guidelines-manual/annotated-2021-chapter-8#NaN</w:t>
              </w:r>
            </w:hyperlink>
          </w:p>
          <w:p w14:paraId="0E5B6810" w14:textId="77777777" w:rsidR="00015CBB" w:rsidRDefault="00015CBB" w:rsidP="00015CBB"/>
          <w:p w14:paraId="63B3F78A" w14:textId="77777777" w:rsidR="00015CBB" w:rsidRDefault="00015CBB" w:rsidP="00015CBB">
            <w:pPr>
              <w:rPr>
                <w:b/>
              </w:rPr>
            </w:pPr>
            <w:r>
              <w:t xml:space="preserve">Evaluation of Corporate Compliance Programs, U.S. Department of Justice, Criminal Division, Updated June 2020 </w:t>
            </w:r>
            <w:hyperlink r:id="rId14" w:history="1">
              <w:r w:rsidRPr="00133A25">
                <w:rPr>
                  <w:rStyle w:val="Hyperlink"/>
                  <w:bCs/>
                </w:rPr>
                <w:t>https://www.justice.gov/criminal-fraud/page/file/937501/download</w:t>
              </w:r>
            </w:hyperlink>
          </w:p>
          <w:p w14:paraId="0A2C5F26" w14:textId="77777777" w:rsidR="00015CBB" w:rsidRPr="00652FA6" w:rsidRDefault="00015CBB" w:rsidP="00015CBB">
            <w:pPr>
              <w:rPr>
                <w:b/>
              </w:rPr>
            </w:pPr>
          </w:p>
          <w:p w14:paraId="4C397E44" w14:textId="77777777" w:rsidR="00015CBB" w:rsidRPr="00093524" w:rsidRDefault="00015CBB" w:rsidP="00015CBB">
            <w:r>
              <w:t xml:space="preserve">The Business Ethics Guide- pp. 31-46- Challenge 2: </w:t>
            </w:r>
            <w:r w:rsidRPr="00F632DB">
              <w:rPr>
                <w:bCs/>
              </w:rPr>
              <w:t>Made a Promise (</w:t>
            </w:r>
            <w:r>
              <w:t>and the World has Changed)</w:t>
            </w:r>
          </w:p>
          <w:p w14:paraId="54ADDEB4" w14:textId="77777777" w:rsidR="00015CBB" w:rsidRDefault="00015CBB" w:rsidP="00015CBB"/>
          <w:p w14:paraId="44982C56" w14:textId="51BD2875" w:rsidR="00C917C5" w:rsidRPr="00015CBB" w:rsidRDefault="00015CBB" w:rsidP="00C917C5">
            <w:pPr>
              <w:rPr>
                <w:b/>
                <w:bCs/>
              </w:rPr>
            </w:pPr>
            <w:r w:rsidRPr="00015CBB">
              <w:rPr>
                <w:b/>
                <w:bCs/>
              </w:rPr>
              <w:t>Recommended:</w:t>
            </w:r>
          </w:p>
          <w:p w14:paraId="4298A5AC" w14:textId="77777777" w:rsidR="00015CBB" w:rsidRDefault="00015CBB" w:rsidP="00015CBB">
            <w:pPr>
              <w:rPr>
                <w:iCs/>
              </w:rPr>
            </w:pPr>
            <w:r w:rsidRPr="009B03FE">
              <w:t>The History of the Organizational Sentencing Guidelines and the Emergence of Effective Compliance and Ethics Programs</w:t>
            </w:r>
            <w:r>
              <w:rPr>
                <w:i/>
              </w:rPr>
              <w:t xml:space="preserve"> </w:t>
            </w:r>
            <w:hyperlink r:id="rId15" w:history="1">
              <w:r w:rsidRPr="001422F0">
                <w:rPr>
                  <w:rStyle w:val="Hyperlink"/>
                  <w:iCs/>
                </w:rPr>
                <w:t>https://www.ussc.gov/sites/default/files/pdf/training/annual-national-training-seminar/2019/org_history.pdf</w:t>
              </w:r>
            </w:hyperlink>
          </w:p>
          <w:p w14:paraId="60C5EB9D" w14:textId="77777777" w:rsidR="00015CBB" w:rsidRDefault="00015CBB" w:rsidP="00C917C5"/>
          <w:p w14:paraId="29092076" w14:textId="4C250E08" w:rsidR="00015CBB" w:rsidRDefault="00015CBB" w:rsidP="00C917C5"/>
        </w:tc>
      </w:tr>
      <w:tr w:rsidR="00015CBB" w14:paraId="23766877" w14:textId="77777777" w:rsidTr="00E459F7">
        <w:tc>
          <w:tcPr>
            <w:tcW w:w="778" w:type="dxa"/>
          </w:tcPr>
          <w:p w14:paraId="4F98D7B0" w14:textId="43F1F507" w:rsidR="00015CBB" w:rsidRDefault="00015CBB" w:rsidP="00015CBB">
            <w:r>
              <w:lastRenderedPageBreak/>
              <w:t>3</w:t>
            </w:r>
          </w:p>
        </w:tc>
        <w:tc>
          <w:tcPr>
            <w:tcW w:w="796" w:type="dxa"/>
          </w:tcPr>
          <w:p w14:paraId="35975993" w14:textId="6263C434" w:rsidR="00015CBB" w:rsidRDefault="00015CBB" w:rsidP="00015CBB">
            <w:r>
              <w:t>9/8</w:t>
            </w:r>
          </w:p>
        </w:tc>
        <w:tc>
          <w:tcPr>
            <w:tcW w:w="2291" w:type="dxa"/>
          </w:tcPr>
          <w:p w14:paraId="1396722C" w14:textId="023F341C" w:rsidR="00015CBB" w:rsidRDefault="00015CBB" w:rsidP="00015CBB">
            <w:r>
              <w:t>Ethical Challenge #3-</w:t>
            </w:r>
            <w:r w:rsidRPr="00F632DB">
              <w:rPr>
                <w:bCs/>
              </w:rPr>
              <w:t>Intervention</w:t>
            </w:r>
            <w:r>
              <w:t xml:space="preserve">- You See Something Wrong </w:t>
            </w:r>
            <w:r w:rsidR="009642B6">
              <w:t>a</w:t>
            </w:r>
            <w:r>
              <w:t>nd You’re Not Sure How</w:t>
            </w:r>
            <w:r w:rsidR="006549E2">
              <w:t xml:space="preserve"> </w:t>
            </w:r>
            <w:proofErr w:type="gramStart"/>
            <w:r>
              <w:t>To</w:t>
            </w:r>
            <w:proofErr w:type="gramEnd"/>
            <w:r>
              <w:t xml:space="preserve"> Proceed</w:t>
            </w:r>
          </w:p>
          <w:p w14:paraId="0DA6AC3F" w14:textId="77777777" w:rsidR="00015CBB" w:rsidRDefault="00015CBB" w:rsidP="00015CBB"/>
          <w:p w14:paraId="4E2AB172" w14:textId="2A6B0A2D" w:rsidR="00015CBB" w:rsidRDefault="00015CBB" w:rsidP="00015CBB">
            <w:r w:rsidRPr="00F632DB">
              <w:rPr>
                <w:bCs/>
              </w:rPr>
              <w:t xml:space="preserve">False Claims </w:t>
            </w:r>
            <w:r w:rsidR="009642B6" w:rsidRPr="00F632DB">
              <w:rPr>
                <w:bCs/>
              </w:rPr>
              <w:t>Act</w:t>
            </w:r>
            <w:r w:rsidR="009642B6">
              <w:t xml:space="preserve"> (</w:t>
            </w:r>
            <w:r>
              <w:t xml:space="preserve">a.k.a., the “Lincoln Law”) </w:t>
            </w:r>
            <w:proofErr w:type="gramStart"/>
            <w:r>
              <w:t>&amp;  Whistleblowers</w:t>
            </w:r>
            <w:proofErr w:type="gramEnd"/>
          </w:p>
          <w:p w14:paraId="56E643F8" w14:textId="77777777" w:rsidR="00015CBB" w:rsidRDefault="00015CBB" w:rsidP="00015CBB"/>
          <w:p w14:paraId="5ACA6DF7" w14:textId="77777777" w:rsidR="00015CBB" w:rsidRDefault="00015CBB" w:rsidP="00015CBB">
            <w:pPr>
              <w:rPr>
                <w:b/>
              </w:rPr>
            </w:pPr>
            <w:r>
              <w:rPr>
                <w:b/>
              </w:rPr>
              <w:t xml:space="preserve">Guest Speakers: Meredith </w:t>
            </w:r>
            <w:proofErr w:type="spellStart"/>
            <w:r>
              <w:rPr>
                <w:b/>
              </w:rPr>
              <w:t>Auten</w:t>
            </w:r>
            <w:proofErr w:type="spellEnd"/>
            <w:r>
              <w:rPr>
                <w:b/>
              </w:rPr>
              <w:t>-Partner with Morgan, Lewis &amp; Bockius</w:t>
            </w:r>
          </w:p>
          <w:p w14:paraId="0A541FB1" w14:textId="22E973A6" w:rsidR="00015CBB" w:rsidRDefault="00015CBB" w:rsidP="00015CBB">
            <w:r>
              <w:rPr>
                <w:b/>
              </w:rPr>
              <w:t xml:space="preserve"> Jeremy </w:t>
            </w:r>
            <w:proofErr w:type="spellStart"/>
            <w:r>
              <w:rPr>
                <w:b/>
              </w:rPr>
              <w:t>Abay</w:t>
            </w:r>
            <w:proofErr w:type="spellEnd"/>
            <w:r>
              <w:rPr>
                <w:b/>
              </w:rPr>
              <w:t xml:space="preserve">- with </w:t>
            </w:r>
            <w:proofErr w:type="spellStart"/>
            <w:r>
              <w:rPr>
                <w:b/>
              </w:rPr>
              <w:t>Pietragalio</w:t>
            </w:r>
            <w:proofErr w:type="spellEnd"/>
            <w:r>
              <w:rPr>
                <w:b/>
              </w:rPr>
              <w:t xml:space="preserve"> Gordon Alfano Bosick &amp; </w:t>
            </w:r>
            <w:proofErr w:type="spellStart"/>
            <w:r>
              <w:rPr>
                <w:b/>
              </w:rPr>
              <w:t>Raspanti</w:t>
            </w:r>
            <w:proofErr w:type="spellEnd"/>
            <w:r>
              <w:rPr>
                <w:b/>
              </w:rPr>
              <w:t>, LLP</w:t>
            </w:r>
          </w:p>
        </w:tc>
        <w:tc>
          <w:tcPr>
            <w:tcW w:w="5580" w:type="dxa"/>
          </w:tcPr>
          <w:p w14:paraId="7EBF11CE" w14:textId="77777777" w:rsidR="00015CBB" w:rsidRPr="003942F1" w:rsidRDefault="00015CBB" w:rsidP="00015CBB">
            <w:pPr>
              <w:rPr>
                <w:b/>
                <w:bCs/>
                <w:u w:val="single"/>
              </w:rPr>
            </w:pPr>
            <w:r w:rsidRPr="003942F1">
              <w:rPr>
                <w:b/>
                <w:bCs/>
                <w:u w:val="single"/>
              </w:rPr>
              <w:t>Required:</w:t>
            </w:r>
          </w:p>
          <w:p w14:paraId="3FEEAA47" w14:textId="77777777" w:rsidR="00015CBB" w:rsidRPr="009642B6" w:rsidRDefault="00015CBB" w:rsidP="00015CBB">
            <w:pPr>
              <w:rPr>
                <w:b/>
                <w:bCs/>
              </w:rPr>
            </w:pPr>
            <w:r>
              <w:t xml:space="preserve">The Business Ethics Guide- pp. 47-62-Challenge #3:  </w:t>
            </w:r>
            <w:r w:rsidRPr="00F632DB">
              <w:rPr>
                <w:bCs/>
              </w:rPr>
              <w:t>Intervention</w:t>
            </w:r>
          </w:p>
          <w:p w14:paraId="42072FF9" w14:textId="77777777" w:rsidR="00015CBB" w:rsidRDefault="00015CBB" w:rsidP="00015CBB"/>
          <w:p w14:paraId="28C84D8F" w14:textId="12C676BF" w:rsidR="00015CBB" w:rsidRDefault="00015CBB" w:rsidP="00015CBB">
            <w:pPr>
              <w:rPr>
                <w:bCs/>
              </w:rPr>
            </w:pPr>
            <w:r>
              <w:t xml:space="preserve">A Primer: </w:t>
            </w:r>
            <w:r w:rsidRPr="00F632DB">
              <w:rPr>
                <w:bCs/>
              </w:rPr>
              <w:t>The False Claims Act</w:t>
            </w:r>
            <w:r w:rsidRPr="006E16D8">
              <w:t>,</w:t>
            </w:r>
            <w:r>
              <w:t xml:space="preserve"> Department of Justice  </w:t>
            </w:r>
            <w:hyperlink r:id="rId16" w:history="1">
              <w:r w:rsidRPr="001422F0">
                <w:rPr>
                  <w:rStyle w:val="Hyperlink"/>
                  <w:bCs/>
                </w:rPr>
                <w:t>https://www.weil.com/~/media/files/pdfs/understanding-the-false-claims-act-(75611346).pdf</w:t>
              </w:r>
            </w:hyperlink>
          </w:p>
          <w:p w14:paraId="27542238" w14:textId="77777777" w:rsidR="00015CBB" w:rsidRDefault="00015CBB" w:rsidP="00015CBB"/>
          <w:p w14:paraId="61B18BD1" w14:textId="77777777" w:rsidR="00015CBB" w:rsidRDefault="00015CBB" w:rsidP="00015CBB">
            <w:pPr>
              <w:rPr>
                <w:rStyle w:val="Hyperlink"/>
              </w:rPr>
            </w:pPr>
            <w:r>
              <w:t xml:space="preserve">31 U.S. Code § 3729- </w:t>
            </w:r>
            <w:r w:rsidRPr="00F632DB">
              <w:rPr>
                <w:bCs/>
              </w:rPr>
              <w:t>False Claims</w:t>
            </w:r>
            <w:r>
              <w:t xml:space="preserve">, Cornell Law School </w:t>
            </w:r>
            <w:hyperlink r:id="rId17" w:history="1">
              <w:r w:rsidRPr="001422F0">
                <w:rPr>
                  <w:rStyle w:val="Hyperlink"/>
                </w:rPr>
                <w:t>https://www.law.cornell.edu/uscode/text/31/3729</w:t>
              </w:r>
            </w:hyperlink>
          </w:p>
          <w:p w14:paraId="734DCA15" w14:textId="77777777" w:rsidR="00015CBB" w:rsidRDefault="00015CBB" w:rsidP="00015CBB">
            <w:pPr>
              <w:rPr>
                <w:rStyle w:val="Hyperlink"/>
              </w:rPr>
            </w:pPr>
          </w:p>
          <w:p w14:paraId="0A4E7CD2" w14:textId="132C12F1" w:rsidR="00015CBB" w:rsidRDefault="00015CBB" w:rsidP="00015CBB">
            <w:pPr>
              <w:rPr>
                <w:rStyle w:val="Hyperlink"/>
                <w:color w:val="auto"/>
                <w:u w:val="none"/>
              </w:rPr>
            </w:pPr>
            <w:r w:rsidRPr="00485FBE">
              <w:rPr>
                <w:rStyle w:val="Hyperlink"/>
                <w:color w:val="auto"/>
                <w:u w:val="none"/>
              </w:rPr>
              <w:t>Upjohn Co v. United States, 449 U.S. 383 (1981)</w:t>
            </w:r>
            <w:r w:rsidR="00485FBE">
              <w:rPr>
                <w:rStyle w:val="Hyperlink"/>
                <w:color w:val="auto"/>
                <w:u w:val="none"/>
              </w:rPr>
              <w:t xml:space="preserve"> Summary </w:t>
            </w:r>
            <w:hyperlink r:id="rId18" w:history="1">
              <w:r w:rsidR="00485FBE" w:rsidRPr="001422F0">
                <w:rPr>
                  <w:rStyle w:val="Hyperlink"/>
                </w:rPr>
                <w:t>https://www.lexisnexis.com/community/casebrief/p/casebrief-upjohn-co-v-united-states</w:t>
              </w:r>
            </w:hyperlink>
          </w:p>
          <w:p w14:paraId="020AA4E2" w14:textId="77777777" w:rsidR="00485FBE" w:rsidRDefault="00485FBE" w:rsidP="00015CBB">
            <w:pPr>
              <w:rPr>
                <w:rStyle w:val="Hyperlink"/>
                <w:color w:val="auto"/>
                <w:u w:val="none"/>
              </w:rPr>
            </w:pPr>
          </w:p>
          <w:p w14:paraId="6F913CF4" w14:textId="1CDF5ABB" w:rsidR="00015CBB" w:rsidRDefault="00015CBB" w:rsidP="00015CBB">
            <w:pPr>
              <w:rPr>
                <w:rStyle w:val="Hyperlink"/>
                <w:color w:val="auto"/>
                <w:u w:val="none"/>
              </w:rPr>
            </w:pPr>
            <w:r>
              <w:rPr>
                <w:rStyle w:val="Hyperlink"/>
                <w:color w:val="auto"/>
                <w:u w:val="none"/>
              </w:rPr>
              <w:t xml:space="preserve">Association of Corporate Counsel, “The Whistleblower” (2015) </w:t>
            </w:r>
          </w:p>
          <w:p w14:paraId="31DC4902" w14:textId="77777777" w:rsidR="00015CBB" w:rsidRDefault="00EE24F7" w:rsidP="00015CBB">
            <w:pPr>
              <w:rPr>
                <w:rStyle w:val="Hyperlink"/>
                <w:color w:val="auto"/>
                <w:u w:val="none"/>
              </w:rPr>
            </w:pPr>
            <w:hyperlink r:id="rId19" w:history="1">
              <w:r w:rsidR="00015CBB" w:rsidRPr="005E0F0C">
                <w:rPr>
                  <w:rStyle w:val="Hyperlink"/>
                </w:rPr>
                <w:t>https://www.acc.com/sites/default/files/2020-02/whistleblower.pdf</w:t>
              </w:r>
            </w:hyperlink>
          </w:p>
          <w:p w14:paraId="182DF25D" w14:textId="77777777" w:rsidR="00A040A3" w:rsidRDefault="00A040A3" w:rsidP="00015CBB">
            <w:pPr>
              <w:rPr>
                <w:b/>
                <w:u w:val="single"/>
              </w:rPr>
            </w:pPr>
          </w:p>
          <w:p w14:paraId="2794A98E" w14:textId="529E263E" w:rsidR="00015CBB" w:rsidRPr="00E42E3B" w:rsidRDefault="00015CBB" w:rsidP="00015CBB">
            <w:pPr>
              <w:rPr>
                <w:b/>
                <w:u w:val="single"/>
              </w:rPr>
            </w:pPr>
            <w:r w:rsidRPr="00E42E3B">
              <w:rPr>
                <w:b/>
                <w:u w:val="single"/>
              </w:rPr>
              <w:t>Recommended:</w:t>
            </w:r>
          </w:p>
          <w:p w14:paraId="72937904" w14:textId="77777777" w:rsidR="00015CBB" w:rsidRDefault="00015CBB" w:rsidP="00015CBB">
            <w:r>
              <w:t xml:space="preserve">The False Claims Act, Department of Justice, February 02, 2022 </w:t>
            </w:r>
            <w:hyperlink r:id="rId20" w:history="1">
              <w:r w:rsidRPr="001422F0">
                <w:rPr>
                  <w:rStyle w:val="Hyperlink"/>
                </w:rPr>
                <w:t>https://www.justice.gov/opa/pr/justice-department-s-false-claims-act-settlements-and-judgments-exceed-56-billion-fiscal-year</w:t>
              </w:r>
            </w:hyperlink>
          </w:p>
          <w:p w14:paraId="5850811F" w14:textId="77777777" w:rsidR="00015CBB" w:rsidRDefault="00015CBB" w:rsidP="00015CBB"/>
        </w:tc>
      </w:tr>
      <w:tr w:rsidR="009642B6" w14:paraId="7B2770A2" w14:textId="77777777" w:rsidTr="00E459F7">
        <w:tc>
          <w:tcPr>
            <w:tcW w:w="778" w:type="dxa"/>
          </w:tcPr>
          <w:p w14:paraId="10926DC8" w14:textId="3451F625" w:rsidR="009642B6" w:rsidRDefault="009642B6" w:rsidP="009642B6">
            <w:r>
              <w:t>4</w:t>
            </w:r>
          </w:p>
        </w:tc>
        <w:tc>
          <w:tcPr>
            <w:tcW w:w="796" w:type="dxa"/>
          </w:tcPr>
          <w:p w14:paraId="5C8A4F3F" w14:textId="34B79A53" w:rsidR="009642B6" w:rsidRDefault="009642B6" w:rsidP="009642B6">
            <w:r>
              <w:t>9/15</w:t>
            </w:r>
          </w:p>
        </w:tc>
        <w:tc>
          <w:tcPr>
            <w:tcW w:w="2291" w:type="dxa"/>
          </w:tcPr>
          <w:p w14:paraId="39CBA629" w14:textId="77777777" w:rsidR="009642B6" w:rsidRDefault="009642B6" w:rsidP="009642B6">
            <w:r>
              <w:t>Ethical Challenge #5- Suspicion Without Enough Evidence: You Believe That Something Wrong is Going On, But You’re Not Sure</w:t>
            </w:r>
          </w:p>
          <w:p w14:paraId="54B24B29" w14:textId="77777777" w:rsidR="009642B6" w:rsidRDefault="009642B6" w:rsidP="009642B6"/>
          <w:p w14:paraId="56FA3CAF" w14:textId="77777777" w:rsidR="009642B6" w:rsidRDefault="009642B6" w:rsidP="009642B6">
            <w:r>
              <w:t>The Foreign Corrupt Practices Act &amp; World-Wide Anti-Corruption Enforcement</w:t>
            </w:r>
          </w:p>
          <w:p w14:paraId="58F6E8C7" w14:textId="77777777" w:rsidR="009642B6" w:rsidRDefault="009642B6" w:rsidP="009642B6"/>
          <w:p w14:paraId="134D0704" w14:textId="77777777" w:rsidR="009642B6" w:rsidRDefault="009642B6" w:rsidP="009642B6">
            <w:pPr>
              <w:rPr>
                <w:b/>
              </w:rPr>
            </w:pPr>
            <w:r>
              <w:rPr>
                <w:b/>
              </w:rPr>
              <w:t xml:space="preserve">Guest Speakers- Gary </w:t>
            </w:r>
            <w:proofErr w:type="spellStart"/>
            <w:r>
              <w:rPr>
                <w:b/>
              </w:rPr>
              <w:t>Giampetruzzi</w:t>
            </w:r>
            <w:proofErr w:type="spellEnd"/>
            <w:r>
              <w:rPr>
                <w:b/>
              </w:rPr>
              <w:t xml:space="preserve">, Partner, Litigation </w:t>
            </w:r>
            <w:r>
              <w:rPr>
                <w:b/>
              </w:rPr>
              <w:lastRenderedPageBreak/>
              <w:t>Department, Global Chair Life Sciences and Vice-Chair Investigations and White-Collar Practices, with Paul Hastings LLP</w:t>
            </w:r>
          </w:p>
          <w:p w14:paraId="0D12ED70" w14:textId="77777777" w:rsidR="009642B6" w:rsidRDefault="009642B6" w:rsidP="009642B6">
            <w:pPr>
              <w:rPr>
                <w:b/>
              </w:rPr>
            </w:pPr>
          </w:p>
          <w:p w14:paraId="410F0991" w14:textId="2A2B9205" w:rsidR="009642B6" w:rsidRDefault="009642B6" w:rsidP="009642B6">
            <w:r>
              <w:rPr>
                <w:b/>
              </w:rPr>
              <w:t>David Styler, Senior Vice President, Chief Compliance Officer, Horizon Therapeutics</w:t>
            </w:r>
          </w:p>
        </w:tc>
        <w:tc>
          <w:tcPr>
            <w:tcW w:w="5580" w:type="dxa"/>
          </w:tcPr>
          <w:p w14:paraId="01F83354" w14:textId="77777777" w:rsidR="009642B6" w:rsidRPr="003942F1" w:rsidRDefault="009642B6" w:rsidP="009642B6">
            <w:pPr>
              <w:rPr>
                <w:b/>
                <w:bCs/>
                <w:u w:val="single"/>
              </w:rPr>
            </w:pPr>
            <w:r w:rsidRPr="003942F1">
              <w:rPr>
                <w:b/>
                <w:bCs/>
                <w:u w:val="single"/>
              </w:rPr>
              <w:lastRenderedPageBreak/>
              <w:t>Required:</w:t>
            </w:r>
          </w:p>
          <w:p w14:paraId="08584DA1" w14:textId="77777777" w:rsidR="009642B6" w:rsidRDefault="009642B6" w:rsidP="009642B6">
            <w:r>
              <w:t xml:space="preserve">The Business Ethics Guide- pp. 83-98- Challenge #5:  Suspicion Without Enough Evidence  </w:t>
            </w:r>
          </w:p>
          <w:p w14:paraId="1DA22D78" w14:textId="77777777" w:rsidR="009642B6" w:rsidRPr="00BF37A9" w:rsidRDefault="009642B6" w:rsidP="009642B6">
            <w:pPr>
              <w:pStyle w:val="Heading1"/>
              <w:shd w:val="clear" w:color="auto" w:fill="FFFFFF"/>
              <w:spacing w:before="300" w:beforeAutospacing="0" w:after="150" w:afterAutospacing="0"/>
              <w:rPr>
                <w:rFonts w:asciiTheme="majorHAnsi" w:hAnsiTheme="majorHAnsi" w:cstheme="majorHAnsi"/>
                <w:b w:val="0"/>
                <w:bCs w:val="0"/>
                <w:color w:val="333333"/>
                <w:sz w:val="24"/>
                <w:szCs w:val="24"/>
              </w:rPr>
            </w:pPr>
            <w:r w:rsidRPr="00BF37A9">
              <w:rPr>
                <w:rFonts w:asciiTheme="majorHAnsi" w:hAnsiTheme="majorHAnsi" w:cstheme="majorHAnsi"/>
                <w:sz w:val="24"/>
                <w:szCs w:val="24"/>
              </w:rPr>
              <w:t xml:space="preserve">15 U.S.C.  §§78dd-1, et seq. </w:t>
            </w:r>
            <w:r w:rsidRPr="00BF37A9">
              <w:rPr>
                <w:rFonts w:asciiTheme="majorHAnsi" w:hAnsiTheme="majorHAnsi" w:cstheme="majorHAnsi"/>
                <w:b w:val="0"/>
                <w:bCs w:val="0"/>
                <w:color w:val="333333"/>
                <w:sz w:val="24"/>
                <w:szCs w:val="24"/>
              </w:rPr>
              <w:t>- Prohibited foreign trade practices by issuers</w:t>
            </w:r>
            <w:r>
              <w:rPr>
                <w:rFonts w:asciiTheme="majorHAnsi" w:hAnsiTheme="majorHAnsi" w:cstheme="majorHAnsi"/>
                <w:b w:val="0"/>
                <w:bCs w:val="0"/>
                <w:color w:val="333333"/>
                <w:sz w:val="24"/>
                <w:szCs w:val="24"/>
              </w:rPr>
              <w:t xml:space="preserve"> </w:t>
            </w:r>
            <w:hyperlink r:id="rId21" w:history="1">
              <w:r w:rsidRPr="001422F0">
                <w:rPr>
                  <w:rStyle w:val="Hyperlink"/>
                  <w:rFonts w:asciiTheme="majorHAnsi" w:hAnsiTheme="majorHAnsi" w:cstheme="majorHAnsi"/>
                  <w:sz w:val="24"/>
                  <w:szCs w:val="24"/>
                </w:rPr>
                <w:t>https://www.law.cornell.edu/uscode/text/15/78dd-1</w:t>
              </w:r>
            </w:hyperlink>
          </w:p>
          <w:p w14:paraId="71B71388" w14:textId="77777777" w:rsidR="009642B6" w:rsidRDefault="009642B6" w:rsidP="009642B6">
            <w:r>
              <w:t>Anti-Corruption and Anti-Bribery Compliance Programs</w:t>
            </w:r>
          </w:p>
          <w:p w14:paraId="1775386D" w14:textId="77777777" w:rsidR="009642B6" w:rsidRDefault="00EE24F7" w:rsidP="009642B6">
            <w:hyperlink r:id="rId22" w:history="1">
              <w:r w:rsidR="009642B6">
                <w:rPr>
                  <w:rStyle w:val="Hyperlink"/>
                </w:rPr>
                <w:t>https://compliancecosmos.org/anti-corruption-and-anti-bribery-compliance-programs-0</w:t>
              </w:r>
            </w:hyperlink>
          </w:p>
          <w:p w14:paraId="0702765B" w14:textId="77777777" w:rsidR="009642B6" w:rsidRDefault="009642B6" w:rsidP="009642B6"/>
          <w:p w14:paraId="3AA844BE" w14:textId="77777777" w:rsidR="009642B6" w:rsidRDefault="009642B6" w:rsidP="009642B6">
            <w:r>
              <w:t xml:space="preserve">Overview of KBR’s Anti-Corruption Compliance Program </w:t>
            </w:r>
          </w:p>
          <w:p w14:paraId="6461F28E" w14:textId="77777777" w:rsidR="009642B6" w:rsidRDefault="00EE24F7" w:rsidP="009642B6">
            <w:hyperlink r:id="rId23" w:history="1">
              <w:r w:rsidR="009642B6" w:rsidRPr="005E0F0C">
                <w:rPr>
                  <w:rStyle w:val="Hyperlink"/>
                </w:rPr>
                <w:t>https://www.kbr.com/sites/default/files/2021-02/kbr-anti-corruption-program.pdf</w:t>
              </w:r>
            </w:hyperlink>
          </w:p>
          <w:p w14:paraId="1CA32102" w14:textId="77777777" w:rsidR="009642B6" w:rsidRDefault="009642B6" w:rsidP="009642B6"/>
          <w:p w14:paraId="67D21EF7" w14:textId="77777777" w:rsidR="009642B6" w:rsidRDefault="009642B6" w:rsidP="009642B6">
            <w:pPr>
              <w:rPr>
                <w:b/>
              </w:rPr>
            </w:pPr>
            <w:r w:rsidRPr="0057322C">
              <w:rPr>
                <w:b/>
              </w:rPr>
              <w:t>Recommended:</w:t>
            </w:r>
          </w:p>
          <w:p w14:paraId="6C1BC7F4" w14:textId="77777777" w:rsidR="009642B6" w:rsidRDefault="009642B6" w:rsidP="009642B6">
            <w:pPr>
              <w:rPr>
                <w:rStyle w:val="Hyperlink"/>
              </w:rPr>
            </w:pPr>
            <w:r w:rsidRPr="00A0105C">
              <w:t>The UK Bribery Act 2010</w:t>
            </w:r>
            <w:r>
              <w:t xml:space="preserve"> </w:t>
            </w:r>
            <w:hyperlink r:id="rId24" w:history="1">
              <w:r w:rsidRPr="001422F0">
                <w:rPr>
                  <w:rStyle w:val="Hyperlink"/>
                </w:rPr>
                <w:t>https://www.justice.gov.uk/downloads/legislation/bribery-act-2010-guidance.pdf</w:t>
              </w:r>
            </w:hyperlink>
          </w:p>
          <w:p w14:paraId="00D2D9FA" w14:textId="77777777" w:rsidR="009642B6" w:rsidRDefault="009642B6" w:rsidP="009642B6">
            <w:pPr>
              <w:rPr>
                <w:rStyle w:val="Hyperlink"/>
              </w:rPr>
            </w:pPr>
          </w:p>
          <w:p w14:paraId="3400F974" w14:textId="77777777" w:rsidR="009642B6" w:rsidRDefault="009642B6" w:rsidP="009642B6">
            <w:r>
              <w:t xml:space="preserve">Perspectives Five insights into anti-corruption compliance programs:  Revisiting the FCPA (July 2022) </w:t>
            </w:r>
          </w:p>
          <w:p w14:paraId="246EA25F" w14:textId="77777777" w:rsidR="009642B6" w:rsidRDefault="00EE24F7" w:rsidP="009642B6">
            <w:hyperlink r:id="rId25" w:history="1">
              <w:r w:rsidR="009642B6" w:rsidRPr="005E0F0C">
                <w:rPr>
                  <w:rStyle w:val="Hyperlink"/>
                </w:rPr>
                <w:t>https://www2.deloitte.com/us/en/pages/advisory/articles/fcpa-anti-corruption-compliance-program.html</w:t>
              </w:r>
            </w:hyperlink>
          </w:p>
          <w:p w14:paraId="4357E393" w14:textId="77777777" w:rsidR="009642B6" w:rsidRDefault="009642B6" w:rsidP="009642B6">
            <w:pPr>
              <w:rPr>
                <w:rStyle w:val="Hyperlink"/>
              </w:rPr>
            </w:pPr>
          </w:p>
          <w:p w14:paraId="1DC2646B" w14:textId="77777777" w:rsidR="009642B6" w:rsidRDefault="009642B6" w:rsidP="009642B6">
            <w:pPr>
              <w:rPr>
                <w:rStyle w:val="Hyperlink"/>
              </w:rPr>
            </w:pPr>
          </w:p>
          <w:p w14:paraId="45932F24" w14:textId="77777777" w:rsidR="009642B6" w:rsidRDefault="009642B6" w:rsidP="009642B6"/>
          <w:p w14:paraId="78EEC5CE" w14:textId="3A8462DA" w:rsidR="009642B6" w:rsidRDefault="009642B6" w:rsidP="009642B6">
            <w:r>
              <w:t xml:space="preserve"> </w:t>
            </w:r>
          </w:p>
        </w:tc>
      </w:tr>
      <w:tr w:rsidR="009642B6" w14:paraId="55114516" w14:textId="77777777" w:rsidTr="00E459F7">
        <w:tc>
          <w:tcPr>
            <w:tcW w:w="778" w:type="dxa"/>
          </w:tcPr>
          <w:p w14:paraId="33190059" w14:textId="475CB2CC" w:rsidR="009642B6" w:rsidRDefault="009642B6" w:rsidP="009642B6">
            <w:r>
              <w:lastRenderedPageBreak/>
              <w:t>5</w:t>
            </w:r>
          </w:p>
        </w:tc>
        <w:tc>
          <w:tcPr>
            <w:tcW w:w="796" w:type="dxa"/>
          </w:tcPr>
          <w:p w14:paraId="612F15CB" w14:textId="7E0D8C78" w:rsidR="009642B6" w:rsidRDefault="009642B6" w:rsidP="009642B6">
            <w:r>
              <w:t>9/22</w:t>
            </w:r>
          </w:p>
        </w:tc>
        <w:tc>
          <w:tcPr>
            <w:tcW w:w="2291" w:type="dxa"/>
          </w:tcPr>
          <w:p w14:paraId="2EB60037" w14:textId="77777777" w:rsidR="00C16006" w:rsidRDefault="00C16006" w:rsidP="00C16006">
            <w:r>
              <w:t>Ethical Challenge #4- Conflicts of Interest- Multiple Roles Put You (or Your Company) at Cross Purposes</w:t>
            </w:r>
          </w:p>
          <w:p w14:paraId="1733089D" w14:textId="77777777" w:rsidR="00C16006" w:rsidRDefault="00C16006" w:rsidP="00C16006"/>
          <w:p w14:paraId="12F6B876" w14:textId="1BDE1F37" w:rsidR="00C16006" w:rsidRDefault="00C16006" w:rsidP="00C16006">
            <w:r>
              <w:t>Conflicts of Interest</w:t>
            </w:r>
          </w:p>
          <w:p w14:paraId="47FC2220" w14:textId="77777777" w:rsidR="00C16006" w:rsidRDefault="00C16006" w:rsidP="00E2731F"/>
          <w:p w14:paraId="6664072D" w14:textId="73E7004B" w:rsidR="009642B6" w:rsidRDefault="009642B6" w:rsidP="00E2731F"/>
        </w:tc>
        <w:tc>
          <w:tcPr>
            <w:tcW w:w="5580" w:type="dxa"/>
          </w:tcPr>
          <w:p w14:paraId="651128C3" w14:textId="77777777" w:rsidR="00C16006" w:rsidRDefault="00C16006" w:rsidP="00C16006">
            <w:pPr>
              <w:rPr>
                <w:b/>
                <w:u w:val="single"/>
              </w:rPr>
            </w:pPr>
            <w:r w:rsidRPr="00CF48A7">
              <w:rPr>
                <w:b/>
                <w:u w:val="single"/>
              </w:rPr>
              <w:t>Required:</w:t>
            </w:r>
          </w:p>
          <w:p w14:paraId="5E55AE29" w14:textId="77777777" w:rsidR="00C16006" w:rsidRDefault="00C16006" w:rsidP="00C16006">
            <w:r>
              <w:t>The Business Ethics Guide, Challenge #4, Conflicts of Interest, pp. 63-81</w:t>
            </w:r>
          </w:p>
          <w:p w14:paraId="18073543" w14:textId="77777777" w:rsidR="00C16006" w:rsidRDefault="00C16006" w:rsidP="00C16006"/>
          <w:p w14:paraId="67930110" w14:textId="77777777" w:rsidR="00C16006" w:rsidRDefault="00C16006" w:rsidP="00C16006">
            <w:r>
              <w:t xml:space="preserve">Beware of Conflicts of Interest, YouTube video by Dan </w:t>
            </w:r>
            <w:proofErr w:type="spellStart"/>
            <w:r>
              <w:t>Ariely</w:t>
            </w:r>
            <w:proofErr w:type="spellEnd"/>
            <w:r>
              <w:t xml:space="preserve">, Professor of Psychology and Behavioral Economics, Duke University (August 29, 2011) </w:t>
            </w:r>
            <w:hyperlink r:id="rId26" w:history="1">
              <w:r w:rsidRPr="001422F0">
                <w:rPr>
                  <w:rStyle w:val="Hyperlink"/>
                </w:rPr>
                <w:t>https://www.youtube.com/watch?v=n8Y8FK8gonc</w:t>
              </w:r>
            </w:hyperlink>
          </w:p>
          <w:p w14:paraId="0D9CA5B9" w14:textId="77777777" w:rsidR="00C16006" w:rsidRDefault="00C16006" w:rsidP="00C16006">
            <w:pPr>
              <w:rPr>
                <w:b/>
              </w:rPr>
            </w:pPr>
          </w:p>
          <w:p w14:paraId="4D8E54B1" w14:textId="77777777" w:rsidR="00C16006" w:rsidRDefault="00C16006" w:rsidP="00C16006">
            <w:pPr>
              <w:rPr>
                <w:b/>
              </w:rPr>
            </w:pPr>
            <w:r>
              <w:t xml:space="preserve">Case Study: An Office Romance Gone Wrong, Harvard Business Review (September 2016) </w:t>
            </w:r>
            <w:hyperlink r:id="rId27" w:history="1">
              <w:r w:rsidRPr="00E33F96">
                <w:rPr>
                  <w:rStyle w:val="Hyperlink"/>
                  <w:bCs/>
                </w:rPr>
                <w:t>https://hbr.org/2016/09/case-study-an-office-romance-gone-wrong</w:t>
              </w:r>
            </w:hyperlink>
          </w:p>
          <w:p w14:paraId="6853E3C3" w14:textId="77777777" w:rsidR="00C16006" w:rsidRDefault="00C16006" w:rsidP="00C16006">
            <w:pPr>
              <w:rPr>
                <w:b/>
              </w:rPr>
            </w:pPr>
          </w:p>
          <w:p w14:paraId="7555AB65" w14:textId="77777777" w:rsidR="00C16006" w:rsidRDefault="00C16006" w:rsidP="00C16006">
            <w:r>
              <w:t xml:space="preserve">Key Ingredients of an Effective Conflict of Interest Program, The FCPA Blog (March 2019) </w:t>
            </w:r>
            <w:hyperlink r:id="rId28" w:history="1">
              <w:r w:rsidRPr="001422F0">
                <w:rPr>
                  <w:rStyle w:val="Hyperlink"/>
                </w:rPr>
                <w:t>https://fcpablog.com/2019/03/28/key-ingredients-of-an-effective-conflict-of-interest-program/</w:t>
              </w:r>
            </w:hyperlink>
          </w:p>
          <w:p w14:paraId="729D2FAF" w14:textId="77777777" w:rsidR="00C16006" w:rsidRDefault="00C16006" w:rsidP="00C16006">
            <w:pPr>
              <w:rPr>
                <w:b/>
              </w:rPr>
            </w:pPr>
          </w:p>
          <w:p w14:paraId="133B3F4B" w14:textId="77777777" w:rsidR="00C16006" w:rsidRDefault="00C16006" w:rsidP="00C16006">
            <w:pPr>
              <w:rPr>
                <w:b/>
              </w:rPr>
            </w:pPr>
            <w:r>
              <w:t xml:space="preserve">Actual and Perceived Conflicts of Interest: Why Both Matter, Independent Broad-Based Anti-Corruption Commission </w:t>
            </w:r>
            <w:hyperlink r:id="rId29" w:history="1">
              <w:r w:rsidRPr="00233681">
                <w:rPr>
                  <w:rStyle w:val="Hyperlink"/>
                  <w:bCs/>
                </w:rPr>
                <w:t>https://www.ibac.vic.gov.au/publications-and-resources/ibac-insights/issue-21/actual-and-perceived-conflicts-of-interest-why-both-matter</w:t>
              </w:r>
            </w:hyperlink>
          </w:p>
          <w:p w14:paraId="62F7D751" w14:textId="77777777" w:rsidR="00C16006" w:rsidRDefault="00C16006" w:rsidP="00C16006">
            <w:pPr>
              <w:rPr>
                <w:b/>
              </w:rPr>
            </w:pPr>
          </w:p>
          <w:p w14:paraId="590C2BAC" w14:textId="77777777" w:rsidR="00C16006" w:rsidRDefault="00C16006" w:rsidP="00C16006">
            <w:r>
              <w:t xml:space="preserve">Compliance Wave Training video on Conflicts of Interest </w:t>
            </w:r>
            <w:hyperlink r:id="rId30" w:history="1">
              <w:r w:rsidRPr="001422F0">
                <w:rPr>
                  <w:rStyle w:val="Hyperlink"/>
                </w:rPr>
                <w:t>https://www.compliancewave.com/welcome-conflicts-of-interest-lp</w:t>
              </w:r>
            </w:hyperlink>
            <w:r w:rsidRPr="00233681">
              <w:t xml:space="preserve"> </w:t>
            </w:r>
          </w:p>
          <w:p w14:paraId="267441E9" w14:textId="77777777" w:rsidR="009642B6" w:rsidRDefault="009642B6" w:rsidP="009642B6"/>
        </w:tc>
      </w:tr>
      <w:tr w:rsidR="009642B6" w14:paraId="70ED3742" w14:textId="77777777" w:rsidTr="00E459F7">
        <w:tc>
          <w:tcPr>
            <w:tcW w:w="778" w:type="dxa"/>
          </w:tcPr>
          <w:p w14:paraId="129434BC" w14:textId="4A440F48" w:rsidR="009642B6" w:rsidRDefault="009642B6" w:rsidP="009642B6">
            <w:r>
              <w:lastRenderedPageBreak/>
              <w:t>6</w:t>
            </w:r>
          </w:p>
        </w:tc>
        <w:tc>
          <w:tcPr>
            <w:tcW w:w="796" w:type="dxa"/>
          </w:tcPr>
          <w:p w14:paraId="5AB7DEAC" w14:textId="52D13AD1" w:rsidR="009642B6" w:rsidRDefault="009642B6" w:rsidP="009642B6">
            <w:r>
              <w:t>9/29</w:t>
            </w:r>
          </w:p>
        </w:tc>
        <w:tc>
          <w:tcPr>
            <w:tcW w:w="2291" w:type="dxa"/>
          </w:tcPr>
          <w:p w14:paraId="26E5F002" w14:textId="77777777" w:rsidR="00E2731F" w:rsidRDefault="00E2731F" w:rsidP="00E2731F">
            <w:r>
              <w:t xml:space="preserve">Ethical Challenge #7- Skirting the Rules; You Could Keep A Rule </w:t>
            </w:r>
            <w:proofErr w:type="gramStart"/>
            <w:r>
              <w:t>For</w:t>
            </w:r>
            <w:proofErr w:type="gramEnd"/>
            <w:r>
              <w:t xml:space="preserve"> A Worse Outcome Or Bend It To Achieve Some Good </w:t>
            </w:r>
          </w:p>
          <w:p w14:paraId="5E354B40" w14:textId="77777777" w:rsidR="00E2731F" w:rsidRDefault="00E2731F" w:rsidP="00E2731F"/>
          <w:p w14:paraId="3D94BDE0" w14:textId="77777777" w:rsidR="00E2731F" w:rsidRDefault="00E2731F" w:rsidP="00E2731F">
            <w:r>
              <w:t>Ethical Challenge #8- Dissemblance; Misrepresenting or Concealing the Truth Could Create a Better Outcome</w:t>
            </w:r>
          </w:p>
          <w:p w14:paraId="0E451C3C" w14:textId="77777777" w:rsidR="00E2731F" w:rsidRDefault="00E2731F" w:rsidP="00E2731F"/>
          <w:p w14:paraId="0C58E5D1" w14:textId="77777777" w:rsidR="00E2731F" w:rsidRDefault="00E2731F" w:rsidP="00E2731F">
            <w:r>
              <w:t>The Role of Data Analytics in Compliance</w:t>
            </w:r>
          </w:p>
          <w:p w14:paraId="4975495C" w14:textId="77777777" w:rsidR="00E2731F" w:rsidRDefault="00E2731F" w:rsidP="00E2731F"/>
          <w:p w14:paraId="338C1E5F" w14:textId="77777777" w:rsidR="00E2731F" w:rsidRDefault="00E2731F" w:rsidP="00E2731F">
            <w:pPr>
              <w:rPr>
                <w:b/>
              </w:rPr>
            </w:pPr>
            <w:r>
              <w:rPr>
                <w:b/>
              </w:rPr>
              <w:t xml:space="preserve">Guest Speakers: Michael Driscoll, Director, Global Strategic </w:t>
            </w:r>
            <w:proofErr w:type="gramStart"/>
            <w:r>
              <w:rPr>
                <w:b/>
              </w:rPr>
              <w:t>Insights;</w:t>
            </w:r>
            <w:proofErr w:type="gramEnd"/>
            <w:r>
              <w:rPr>
                <w:b/>
              </w:rPr>
              <w:t xml:space="preserve"> </w:t>
            </w:r>
          </w:p>
          <w:p w14:paraId="2175F516" w14:textId="77777777" w:rsidR="00E2731F" w:rsidRDefault="00E2731F" w:rsidP="00E2731F">
            <w:pPr>
              <w:rPr>
                <w:b/>
              </w:rPr>
            </w:pPr>
          </w:p>
          <w:p w14:paraId="5AE6462C" w14:textId="454806E9" w:rsidR="009642B6" w:rsidRDefault="00E2731F" w:rsidP="00E2731F">
            <w:r>
              <w:rPr>
                <w:b/>
              </w:rPr>
              <w:t>Anna Loveless, Senior Manager, Data Science &amp; Risk Management, both with Johnson &amp; Johnson</w:t>
            </w:r>
          </w:p>
        </w:tc>
        <w:tc>
          <w:tcPr>
            <w:tcW w:w="5580" w:type="dxa"/>
          </w:tcPr>
          <w:p w14:paraId="5233FA67" w14:textId="77777777" w:rsidR="00E2731F" w:rsidRDefault="00E2731F" w:rsidP="00E2731F">
            <w:pPr>
              <w:rPr>
                <w:b/>
                <w:u w:val="single"/>
              </w:rPr>
            </w:pPr>
            <w:r>
              <w:rPr>
                <w:b/>
                <w:u w:val="single"/>
              </w:rPr>
              <w:t>Required:</w:t>
            </w:r>
          </w:p>
          <w:p w14:paraId="41F19992" w14:textId="022A12F1" w:rsidR="00E2731F" w:rsidRDefault="00E2731F" w:rsidP="00E2731F">
            <w:r>
              <w:t>The Business Ethics Guide- pp. 111-125- Challenge #7: Skirting the Rules</w:t>
            </w:r>
          </w:p>
          <w:p w14:paraId="222C904D" w14:textId="77777777" w:rsidR="00E2731F" w:rsidRDefault="00E2731F" w:rsidP="00E2731F"/>
          <w:p w14:paraId="18271E0E" w14:textId="6C9D3AE5" w:rsidR="00E2731F" w:rsidRDefault="00E2731F" w:rsidP="00E2731F">
            <w:r>
              <w:t>Challenge #8- Dissemblance- pp. 127-140</w:t>
            </w:r>
          </w:p>
          <w:p w14:paraId="2FB8C61F" w14:textId="77777777" w:rsidR="00E2731F" w:rsidRDefault="00E2731F" w:rsidP="00E2731F"/>
          <w:p w14:paraId="5E954E3B" w14:textId="77777777" w:rsidR="00E2731F" w:rsidRDefault="00E2731F" w:rsidP="00E2731F">
            <w:r>
              <w:t>Why Compliance Programs Fail- And How to Fix Them, Harvard Business Review (March 2018)</w:t>
            </w:r>
          </w:p>
          <w:p w14:paraId="4F1EF015" w14:textId="20E70567" w:rsidR="009642B6" w:rsidRDefault="00EE24F7" w:rsidP="00E2731F">
            <w:hyperlink r:id="rId31" w:history="1">
              <w:r w:rsidR="00E2731F">
                <w:rPr>
                  <w:rStyle w:val="Hyperlink"/>
                </w:rPr>
                <w:t>https://www.bizjournals.com/sanjose/news/2018/04/04/hbr-why-compliance-programs-fail-and-how-to-fix.html</w:t>
              </w:r>
            </w:hyperlink>
          </w:p>
        </w:tc>
      </w:tr>
      <w:tr w:rsidR="00E2731F" w14:paraId="4380D5D9" w14:textId="77777777" w:rsidTr="00E459F7">
        <w:tc>
          <w:tcPr>
            <w:tcW w:w="778" w:type="dxa"/>
          </w:tcPr>
          <w:p w14:paraId="576DD2D1" w14:textId="300B0876" w:rsidR="00E2731F" w:rsidRDefault="00E2731F" w:rsidP="00E2731F">
            <w:r>
              <w:t>7</w:t>
            </w:r>
          </w:p>
        </w:tc>
        <w:tc>
          <w:tcPr>
            <w:tcW w:w="796" w:type="dxa"/>
          </w:tcPr>
          <w:p w14:paraId="2B3D6EDF" w14:textId="64BE740F" w:rsidR="00E2731F" w:rsidRDefault="00E2731F" w:rsidP="00E2731F">
            <w:r>
              <w:t>10/6</w:t>
            </w:r>
          </w:p>
        </w:tc>
        <w:tc>
          <w:tcPr>
            <w:tcW w:w="2291" w:type="dxa"/>
          </w:tcPr>
          <w:p w14:paraId="4D2701D8" w14:textId="77777777" w:rsidR="00E2731F" w:rsidRDefault="00E2731F" w:rsidP="00E2731F">
            <w:r>
              <w:t>Compliance Lessons Learned from Corporate Integrity Agreements</w:t>
            </w:r>
          </w:p>
          <w:p w14:paraId="6C7EA245" w14:textId="77777777" w:rsidR="00E2731F" w:rsidRDefault="00E2731F" w:rsidP="00E2731F"/>
          <w:p w14:paraId="6ED33DC5" w14:textId="512412FF" w:rsidR="00E2731F" w:rsidRDefault="00E2731F" w:rsidP="00E2731F">
            <w:r w:rsidRPr="00F16C9A">
              <w:rPr>
                <w:b/>
              </w:rPr>
              <w:t xml:space="preserve">Guest Speaker:  Brian A. </w:t>
            </w:r>
            <w:proofErr w:type="spellStart"/>
            <w:r w:rsidRPr="00F16C9A">
              <w:rPr>
                <w:b/>
              </w:rPr>
              <w:t>Bohnenkamp</w:t>
            </w:r>
            <w:proofErr w:type="spellEnd"/>
            <w:r w:rsidRPr="00F16C9A">
              <w:rPr>
                <w:b/>
              </w:rPr>
              <w:t>, Partner, FDA &amp; Life Sciences</w:t>
            </w:r>
            <w:r>
              <w:rPr>
                <w:b/>
              </w:rPr>
              <w:t>,</w:t>
            </w:r>
            <w:r w:rsidRPr="00F16C9A">
              <w:rPr>
                <w:b/>
              </w:rPr>
              <w:t xml:space="preserve"> with King &amp; Spalding LLP</w:t>
            </w:r>
          </w:p>
        </w:tc>
        <w:tc>
          <w:tcPr>
            <w:tcW w:w="5580" w:type="dxa"/>
          </w:tcPr>
          <w:p w14:paraId="2A1A2C23" w14:textId="51FDAD6C" w:rsidR="00A00A9D" w:rsidRPr="00A00A9D" w:rsidRDefault="00A00A9D" w:rsidP="00E2731F">
            <w:pPr>
              <w:rPr>
                <w:b/>
                <w:bCs/>
                <w:u w:val="single"/>
              </w:rPr>
            </w:pPr>
            <w:r w:rsidRPr="00A00A9D">
              <w:rPr>
                <w:b/>
                <w:bCs/>
                <w:u w:val="single"/>
              </w:rPr>
              <w:t>Required</w:t>
            </w:r>
          </w:p>
          <w:p w14:paraId="444787C0" w14:textId="33C1BA70" w:rsidR="00E2731F" w:rsidRDefault="00E2731F" w:rsidP="00E2731F">
            <w:pPr>
              <w:rPr>
                <w:b/>
              </w:rPr>
            </w:pPr>
            <w:r w:rsidRPr="00B55452">
              <w:t>Corporate Integrity Agreements, Healthcare Compliance- Office of Inspector General, Department of Health and Human Services</w:t>
            </w:r>
            <w:r>
              <w:rPr>
                <w:b/>
              </w:rPr>
              <w:t xml:space="preserve">  </w:t>
            </w:r>
            <w:hyperlink r:id="rId32" w:history="1">
              <w:r w:rsidRPr="00E2731F">
                <w:rPr>
                  <w:rStyle w:val="Hyperlink"/>
                  <w:bCs/>
                </w:rPr>
                <w:t>https://oig.hhs.gov/compliance/corporate-integrity-agreements/</w:t>
              </w:r>
            </w:hyperlink>
          </w:p>
          <w:p w14:paraId="5E4F59F2" w14:textId="77777777" w:rsidR="004C4621" w:rsidRDefault="004C4621" w:rsidP="00E2731F"/>
          <w:p w14:paraId="0D6A4AFC" w14:textId="11C2F018" w:rsidR="00E2731F" w:rsidRDefault="00E2731F" w:rsidP="00E2731F">
            <w:r>
              <w:t>The Use of Corporate Monitors in any Deferred or Non-Prosecution Agreement, Department of Justice Archives</w:t>
            </w:r>
          </w:p>
          <w:p w14:paraId="6E76B9DA" w14:textId="47FDA2F2" w:rsidR="00A00A9D" w:rsidRDefault="00EE24F7" w:rsidP="00E2731F">
            <w:hyperlink r:id="rId33" w:history="1">
              <w:r w:rsidR="00A00A9D" w:rsidRPr="001422F0">
                <w:rPr>
                  <w:rStyle w:val="Hyperlink"/>
                </w:rPr>
                <w:t>https://www.justice.gov/archives/opa/blog/use-corporate-monitors-any-deferred-or-non-prosecution-agreement</w:t>
              </w:r>
            </w:hyperlink>
          </w:p>
          <w:p w14:paraId="34323E6A" w14:textId="77777777" w:rsidR="00A00A9D" w:rsidRDefault="00E2731F" w:rsidP="00E2731F">
            <w:r>
              <w:t xml:space="preserve"> </w:t>
            </w:r>
          </w:p>
          <w:p w14:paraId="49B70E21" w14:textId="7D9694AE" w:rsidR="00A00A9D" w:rsidRDefault="00E2731F" w:rsidP="00E2731F">
            <w:r>
              <w:lastRenderedPageBreak/>
              <w:t>Additional Guidance on the Use of Monitors in Deferred Prosecution Agreements and Non-Prosecution Agreements with Corporations</w:t>
            </w:r>
          </w:p>
          <w:p w14:paraId="0FF25981" w14:textId="13D2DDD7" w:rsidR="00A00A9D" w:rsidRDefault="00EE24F7" w:rsidP="00E2731F">
            <w:hyperlink r:id="rId34" w:history="1">
              <w:r w:rsidR="00A00A9D" w:rsidRPr="001422F0">
                <w:rPr>
                  <w:rStyle w:val="Hyperlink"/>
                </w:rPr>
                <w:t>https://www.justice.gov/archives/dag/memorandum-heads-department-components-united-states-attorneys</w:t>
              </w:r>
            </w:hyperlink>
          </w:p>
          <w:p w14:paraId="3430E9AD" w14:textId="097DD21E" w:rsidR="00E2731F" w:rsidRDefault="00E2731F" w:rsidP="00E2731F">
            <w:r>
              <w:t xml:space="preserve"> </w:t>
            </w:r>
          </w:p>
          <w:p w14:paraId="25B9DFDF" w14:textId="62FA34A0" w:rsidR="00E2731F" w:rsidRDefault="00E2731F" w:rsidP="00E2731F">
            <w:r>
              <w:t>2021 Year-End Update on Corporate non-Prosecution Agreements and Deferred Prosecution Agreements</w:t>
            </w:r>
            <w:r w:rsidR="00A00A9D">
              <w:t xml:space="preserve"> </w:t>
            </w:r>
            <w:hyperlink r:id="rId35" w:history="1">
              <w:r w:rsidR="00A00A9D" w:rsidRPr="001422F0">
                <w:rPr>
                  <w:rStyle w:val="Hyperlink"/>
                </w:rPr>
                <w:t>https://www.gibsondunn.com/2021-year-end-update-on-corporate-non-prosecution-agreements-and-deferred-prosecution-agreements/</w:t>
              </w:r>
            </w:hyperlink>
          </w:p>
          <w:p w14:paraId="5F76A8BC" w14:textId="77777777" w:rsidR="00A00A9D" w:rsidRDefault="00A00A9D" w:rsidP="00E2731F">
            <w:pPr>
              <w:rPr>
                <w:b/>
              </w:rPr>
            </w:pPr>
          </w:p>
          <w:p w14:paraId="10B8DE1D" w14:textId="1D4844B4" w:rsidR="00E2731F" w:rsidRDefault="00E2731F" w:rsidP="00E2731F">
            <w:pPr>
              <w:rPr>
                <w:b/>
              </w:rPr>
            </w:pPr>
            <w:r w:rsidRPr="000033B5">
              <w:rPr>
                <w:b/>
              </w:rPr>
              <w:t>Recommended:</w:t>
            </w:r>
          </w:p>
          <w:p w14:paraId="1F2DC3D9" w14:textId="049ED1A1" w:rsidR="00E2731F" w:rsidRDefault="00E2731F" w:rsidP="00E2731F">
            <w:r>
              <w:t xml:space="preserve">TAP Pharmaceuticals Inc. and Seven Others Charged </w:t>
            </w:r>
            <w:r w:rsidR="00A00A9D">
              <w:t>w</w:t>
            </w:r>
            <w:r>
              <w:t>ith Health Care Crimes; Company Agrees to Pay $875 Million To Settle Charges (October 03, 2001)</w:t>
            </w:r>
          </w:p>
          <w:p w14:paraId="39BF0FFC" w14:textId="1DCC9118" w:rsidR="00E2731F" w:rsidRDefault="00EE24F7" w:rsidP="00E2731F">
            <w:hyperlink r:id="rId36" w:history="1">
              <w:r w:rsidR="00A00A9D" w:rsidRPr="001422F0">
                <w:rPr>
                  <w:rStyle w:val="Hyperlink"/>
                </w:rPr>
                <w:t>https://www.justice.gov/archive/opa/pr/2001/October/513civ.htm</w:t>
              </w:r>
            </w:hyperlink>
          </w:p>
          <w:p w14:paraId="71D4FA34" w14:textId="77777777" w:rsidR="00E2731F" w:rsidRDefault="00E2731F" w:rsidP="00E2731F"/>
          <w:p w14:paraId="2AAA121F" w14:textId="21757EE3" w:rsidR="00E2731F" w:rsidRDefault="00E2731F" w:rsidP="00E2731F">
            <w:r>
              <w:t>2 Drug Makers to Pay $875 Million to Settle Fraud Case (October 04, 2001), New York Times</w:t>
            </w:r>
          </w:p>
          <w:p w14:paraId="5985E941" w14:textId="6E50E144" w:rsidR="00E2731F" w:rsidRDefault="00EE24F7" w:rsidP="00E2731F">
            <w:hyperlink r:id="rId37" w:history="1">
              <w:r w:rsidR="00A00A9D" w:rsidRPr="001422F0">
                <w:rPr>
                  <w:rStyle w:val="Hyperlink"/>
                </w:rPr>
                <w:t>https://www.nytimes.com/2001/10/04/business/2-drug-makers-to-pay-875-million-to-settle-fraud-case.html</w:t>
              </w:r>
            </w:hyperlink>
          </w:p>
          <w:p w14:paraId="01525316" w14:textId="77777777" w:rsidR="00E2731F" w:rsidRDefault="00E2731F" w:rsidP="00E2731F"/>
          <w:p w14:paraId="4E4A18C1" w14:textId="538B103B" w:rsidR="00E2731F" w:rsidRDefault="00E2731F" w:rsidP="00E2731F">
            <w:r>
              <w:t xml:space="preserve">Corporate Integrity Agreement- Office </w:t>
            </w:r>
            <w:r w:rsidR="00CA0823">
              <w:t>of</w:t>
            </w:r>
            <w:r>
              <w:t xml:space="preserve"> Inspector General </w:t>
            </w:r>
            <w:hyperlink r:id="rId38" w:history="1">
              <w:r w:rsidR="00CA0823" w:rsidRPr="001422F0">
                <w:rPr>
                  <w:rStyle w:val="Hyperlink"/>
                </w:rPr>
                <w:t>https://oig.hhs.gov/fraud/cia/agreements/tap_pharmaceutical_products_92801.pdf</w:t>
              </w:r>
            </w:hyperlink>
          </w:p>
          <w:p w14:paraId="38F5A9D3" w14:textId="3DCFCB58" w:rsidR="00E2731F" w:rsidRDefault="00E2731F" w:rsidP="00E2731F"/>
        </w:tc>
      </w:tr>
      <w:tr w:rsidR="00E2731F" w14:paraId="2F36E246" w14:textId="77777777" w:rsidTr="00E459F7">
        <w:tc>
          <w:tcPr>
            <w:tcW w:w="778" w:type="dxa"/>
          </w:tcPr>
          <w:p w14:paraId="4098C9A3" w14:textId="32505F66" w:rsidR="00E2731F" w:rsidRDefault="00E2731F" w:rsidP="00E2731F">
            <w:r>
              <w:lastRenderedPageBreak/>
              <w:t>8</w:t>
            </w:r>
          </w:p>
        </w:tc>
        <w:tc>
          <w:tcPr>
            <w:tcW w:w="796" w:type="dxa"/>
          </w:tcPr>
          <w:p w14:paraId="407C49F5" w14:textId="05A384CA" w:rsidR="00E2731F" w:rsidRDefault="00E2731F" w:rsidP="00E2731F">
            <w:r>
              <w:t>10/13</w:t>
            </w:r>
          </w:p>
        </w:tc>
        <w:tc>
          <w:tcPr>
            <w:tcW w:w="2291" w:type="dxa"/>
          </w:tcPr>
          <w:p w14:paraId="00033BCE" w14:textId="77777777" w:rsidR="00C16006" w:rsidRPr="00CC44E4" w:rsidRDefault="00C16006" w:rsidP="00C16006">
            <w:r>
              <w:t xml:space="preserve">Ethical Challenge #6- Playing Dirty; You Could Achieve Justice </w:t>
            </w:r>
            <w:proofErr w:type="gramStart"/>
            <w:r>
              <w:t>By</w:t>
            </w:r>
            <w:proofErr w:type="gramEnd"/>
            <w:r>
              <w:t xml:space="preserve"> Doing Something That Is Normally Considered Unethical</w:t>
            </w:r>
          </w:p>
          <w:p w14:paraId="1719F95F" w14:textId="77777777" w:rsidR="00C16006" w:rsidRDefault="00C16006" w:rsidP="00C16006"/>
          <w:p w14:paraId="5A807971" w14:textId="77777777" w:rsidR="00C16006" w:rsidRDefault="00C16006" w:rsidP="00C16006">
            <w:r>
              <w:t>The Federal Anti-Kickback Statute</w:t>
            </w:r>
          </w:p>
          <w:p w14:paraId="0DBFDA1B" w14:textId="77777777" w:rsidR="00C16006" w:rsidRDefault="00C16006" w:rsidP="00C16006"/>
          <w:p w14:paraId="7B2E0A60" w14:textId="141EE4C6" w:rsidR="00E2731F" w:rsidRDefault="00C16006" w:rsidP="00C16006">
            <w:r>
              <w:rPr>
                <w:b/>
              </w:rPr>
              <w:lastRenderedPageBreak/>
              <w:t>Guest Speaker- John Rah, Partner with DLA Piper LLP</w:t>
            </w:r>
          </w:p>
        </w:tc>
        <w:tc>
          <w:tcPr>
            <w:tcW w:w="5580" w:type="dxa"/>
          </w:tcPr>
          <w:p w14:paraId="310E0CBA" w14:textId="77777777" w:rsidR="00C16006" w:rsidRPr="003942F1" w:rsidRDefault="00C16006" w:rsidP="00C16006">
            <w:pPr>
              <w:rPr>
                <w:b/>
                <w:bCs/>
                <w:u w:val="single"/>
              </w:rPr>
            </w:pPr>
            <w:r w:rsidRPr="003942F1">
              <w:rPr>
                <w:b/>
                <w:bCs/>
                <w:u w:val="single"/>
              </w:rPr>
              <w:lastRenderedPageBreak/>
              <w:t>Required:</w:t>
            </w:r>
          </w:p>
          <w:p w14:paraId="030B0EF8" w14:textId="77777777" w:rsidR="00C16006" w:rsidRDefault="00C16006" w:rsidP="00C16006">
            <w:r>
              <w:t>The Business Ethics Guide- pp. 99-110- Challenge #6: Playing Dirty</w:t>
            </w:r>
          </w:p>
          <w:p w14:paraId="5A49F9F0" w14:textId="77777777" w:rsidR="00C16006" w:rsidRDefault="00C16006" w:rsidP="00C16006"/>
          <w:p w14:paraId="63064EB8" w14:textId="77777777" w:rsidR="00C16006" w:rsidRPr="00485FBE" w:rsidRDefault="00C16006" w:rsidP="00C16006">
            <w:r w:rsidRPr="00B65CE9">
              <w:rPr>
                <w:rFonts w:asciiTheme="majorHAnsi" w:hAnsiTheme="majorHAnsi" w:cstheme="majorHAnsi"/>
              </w:rPr>
              <w:t>42 U.S.C.§1320a-7b</w:t>
            </w:r>
            <w:r>
              <w:rPr>
                <w:rFonts w:asciiTheme="majorHAnsi" w:hAnsiTheme="majorHAnsi" w:cstheme="majorHAnsi"/>
              </w:rPr>
              <w:t xml:space="preserve"> </w:t>
            </w:r>
            <w:r w:rsidRPr="00B65CE9">
              <w:rPr>
                <w:rFonts w:asciiTheme="majorHAnsi" w:hAnsiTheme="majorHAnsi" w:cstheme="majorHAnsi"/>
              </w:rPr>
              <w:t>-</w:t>
            </w:r>
            <w:r w:rsidRPr="00B65CE9">
              <w:rPr>
                <w:rFonts w:asciiTheme="majorHAnsi" w:hAnsiTheme="majorHAnsi" w:cstheme="majorHAnsi"/>
                <w:color w:val="333333"/>
              </w:rPr>
              <w:t>Criminal penalties for acts involving Federal health care programs</w:t>
            </w:r>
            <w:r>
              <w:rPr>
                <w:rFonts w:asciiTheme="majorHAnsi" w:hAnsiTheme="majorHAnsi" w:cstheme="majorHAnsi"/>
                <w:color w:val="333333"/>
              </w:rPr>
              <w:t xml:space="preserve"> </w:t>
            </w:r>
            <w:hyperlink r:id="rId39" w:history="1">
              <w:r w:rsidRPr="001422F0">
                <w:rPr>
                  <w:rStyle w:val="Hyperlink"/>
                  <w:rFonts w:asciiTheme="majorHAnsi" w:hAnsiTheme="majorHAnsi" w:cstheme="majorHAnsi"/>
                </w:rPr>
                <w:t>https://www.law.cornell.edu/uscode/text/42/1320a-7b</w:t>
              </w:r>
            </w:hyperlink>
          </w:p>
          <w:p w14:paraId="305104EE" w14:textId="4F6CB875" w:rsidR="00233681" w:rsidRDefault="00233681" w:rsidP="00C16006"/>
        </w:tc>
      </w:tr>
      <w:tr w:rsidR="00233681" w14:paraId="1D7D89CC" w14:textId="77777777" w:rsidTr="00E459F7">
        <w:tc>
          <w:tcPr>
            <w:tcW w:w="778" w:type="dxa"/>
          </w:tcPr>
          <w:p w14:paraId="679359AA" w14:textId="50689F4D" w:rsidR="00233681" w:rsidRDefault="00233681" w:rsidP="00233681">
            <w:r>
              <w:t>9</w:t>
            </w:r>
          </w:p>
        </w:tc>
        <w:tc>
          <w:tcPr>
            <w:tcW w:w="796" w:type="dxa"/>
          </w:tcPr>
          <w:p w14:paraId="1AE3BE7A" w14:textId="2B495F1D" w:rsidR="00233681" w:rsidRDefault="00233681" w:rsidP="00233681">
            <w:r>
              <w:t>10/20</w:t>
            </w:r>
          </w:p>
        </w:tc>
        <w:tc>
          <w:tcPr>
            <w:tcW w:w="2291" w:type="dxa"/>
          </w:tcPr>
          <w:p w14:paraId="0DD77871" w14:textId="77777777" w:rsidR="00233681" w:rsidRDefault="00233681" w:rsidP="00233681">
            <w:r>
              <w:t xml:space="preserve">Ethical Challenge #9- Loyalty: You’re Not Sure How Much You Should Give Up </w:t>
            </w:r>
            <w:proofErr w:type="gramStart"/>
            <w:r>
              <w:t>To</w:t>
            </w:r>
            <w:proofErr w:type="gramEnd"/>
            <w:r>
              <w:t xml:space="preserve"> Honor A Relationship </w:t>
            </w:r>
          </w:p>
          <w:p w14:paraId="1E344073" w14:textId="77777777" w:rsidR="00233681" w:rsidRDefault="00233681" w:rsidP="00233681"/>
          <w:p w14:paraId="5599347F" w14:textId="77777777" w:rsidR="00233681" w:rsidRDefault="00233681" w:rsidP="00233681">
            <w:r>
              <w:t>Board Responsibility &amp; Board Reporting</w:t>
            </w:r>
          </w:p>
          <w:p w14:paraId="1486DE24" w14:textId="77777777" w:rsidR="00233681" w:rsidRDefault="00233681" w:rsidP="00233681"/>
          <w:p w14:paraId="71E33E36" w14:textId="77777777" w:rsidR="00233681" w:rsidRDefault="00233681">
            <w:pPr>
              <w:rPr>
                <w:b/>
              </w:rPr>
            </w:pPr>
            <w:r w:rsidRPr="00E373DF">
              <w:rPr>
                <w:b/>
              </w:rPr>
              <w:t>Guest Speaker</w:t>
            </w:r>
            <w:r w:rsidR="00813FB1">
              <w:rPr>
                <w:b/>
              </w:rPr>
              <w:t>- Saul B. Helman, MD</w:t>
            </w:r>
          </w:p>
          <w:p w14:paraId="2E0F217E" w14:textId="6964BC19" w:rsidR="00813FB1" w:rsidRDefault="00813FB1">
            <w:r>
              <w:rPr>
                <w:b/>
              </w:rPr>
              <w:t xml:space="preserve">President, Epsilon Life Sciences- Disputes, Investigations, Strategy, Compliance </w:t>
            </w:r>
          </w:p>
        </w:tc>
        <w:tc>
          <w:tcPr>
            <w:tcW w:w="5580" w:type="dxa"/>
          </w:tcPr>
          <w:p w14:paraId="1576C6F7" w14:textId="77777777" w:rsidR="00233681" w:rsidRDefault="00233681" w:rsidP="00233681">
            <w:pPr>
              <w:rPr>
                <w:b/>
                <w:u w:val="single"/>
              </w:rPr>
            </w:pPr>
            <w:r>
              <w:rPr>
                <w:b/>
                <w:u w:val="single"/>
              </w:rPr>
              <w:t>Required:</w:t>
            </w:r>
          </w:p>
          <w:p w14:paraId="25A3270D" w14:textId="77777777" w:rsidR="00233681" w:rsidRDefault="00233681" w:rsidP="00233681">
            <w:r>
              <w:t>The Business Ethics Guide, Challenge #9-Loyalty, pp. 141-154</w:t>
            </w:r>
          </w:p>
          <w:p w14:paraId="7F1DEC8B" w14:textId="77777777" w:rsidR="00233681" w:rsidRDefault="00233681" w:rsidP="00233681"/>
          <w:p w14:paraId="76226F15" w14:textId="2C5040F6" w:rsidR="00233681" w:rsidRDefault="00233681" w:rsidP="00BC2FCF">
            <w:r>
              <w:t xml:space="preserve">Board Engagement, Training and Reporting:  Strategies for the Chief Ethics and Compliance Officer, Donna C. Boehme </w:t>
            </w:r>
            <w:hyperlink r:id="rId40" w:history="1">
              <w:r w:rsidR="00BC2FCF" w:rsidRPr="001422F0">
                <w:rPr>
                  <w:rStyle w:val="Hyperlink"/>
                </w:rPr>
                <w:t>https://assets.corporatecompliance.org/Portals/1/PDF/Resources/past_handouts/Regional/2012/NewYork/BoardTraining_excerptedCEmanual.pdf</w:t>
              </w:r>
            </w:hyperlink>
          </w:p>
          <w:p w14:paraId="220C637B" w14:textId="77777777" w:rsidR="00233681" w:rsidRDefault="00233681" w:rsidP="00233681">
            <w:pPr>
              <w:rPr>
                <w:b/>
              </w:rPr>
            </w:pPr>
          </w:p>
          <w:p w14:paraId="50511A0F" w14:textId="6CE1D3D1" w:rsidR="00233681" w:rsidRDefault="00233681" w:rsidP="00233681">
            <w:r>
              <w:t xml:space="preserve">“C” is for Crucible: Behavioral Ethics, Culture, and the Board’s Role in C-Suite Compliance, Scott Killingsworth </w:t>
            </w:r>
            <w:hyperlink r:id="rId41" w:history="1">
              <w:r w:rsidR="00BC2FCF" w:rsidRPr="001422F0">
                <w:rPr>
                  <w:rStyle w:val="Hyperlink"/>
                </w:rPr>
                <w:t>https://papers.ssrn.com/sol3/papers.cfm?abstract_id=2271840</w:t>
              </w:r>
            </w:hyperlink>
          </w:p>
          <w:p w14:paraId="52618A03" w14:textId="77777777" w:rsidR="00233681" w:rsidRDefault="00233681" w:rsidP="00233681"/>
          <w:p w14:paraId="13C983D6" w14:textId="647046F3" w:rsidR="00233681" w:rsidRDefault="00233681" w:rsidP="00233681">
            <w:r>
              <w:t xml:space="preserve">Thoughts for Boards of Directors in 2020, Harvard Law School Forum on Corporate Governance </w:t>
            </w:r>
            <w:hyperlink r:id="rId42" w:history="1">
              <w:r w:rsidR="00BC2FCF" w:rsidRPr="001422F0">
                <w:rPr>
                  <w:rStyle w:val="Hyperlink"/>
                </w:rPr>
                <w:t>https://corpgov.law.harvard.edu/2019/12/10/thoughts-for-boards-of-directors-in-2020/</w:t>
              </w:r>
            </w:hyperlink>
          </w:p>
          <w:p w14:paraId="2E9395D8" w14:textId="75FEED7F" w:rsidR="00233681" w:rsidRDefault="00233681" w:rsidP="00233681">
            <w:r>
              <w:t>Board of Director Responsibilities, B</w:t>
            </w:r>
            <w:r w:rsidR="00BC2FCF">
              <w:t>LOGRIGE</w:t>
            </w:r>
            <w:r>
              <w:t>: The Official Baldrige Blog</w:t>
            </w:r>
            <w:r w:rsidR="00BC2FCF">
              <w:t xml:space="preserve"> </w:t>
            </w:r>
            <w:hyperlink r:id="rId43" w:history="1">
              <w:r w:rsidR="00BC2FCF" w:rsidRPr="001422F0">
                <w:rPr>
                  <w:rStyle w:val="Hyperlink"/>
                </w:rPr>
                <w:t>https://www.nist.gov/blogs/blogrige/board-director-responsibilities</w:t>
              </w:r>
            </w:hyperlink>
          </w:p>
          <w:p w14:paraId="7F8D4969" w14:textId="77777777" w:rsidR="00BC2FCF" w:rsidRDefault="00BC2FCF" w:rsidP="00233681"/>
          <w:p w14:paraId="6EE84766" w14:textId="17C18DAF" w:rsidR="00233681" w:rsidRDefault="00233681" w:rsidP="00233681">
            <w:r>
              <w:t xml:space="preserve">A New </w:t>
            </w:r>
            <w:r>
              <w:rPr>
                <w:i/>
              </w:rPr>
              <w:t xml:space="preserve">Caremark </w:t>
            </w:r>
            <w:r>
              <w:t xml:space="preserve">Era:  Causes and Consequences, Roy Shapira, Washington University Law Review, Vol. 98:1857 </w:t>
            </w:r>
            <w:hyperlink r:id="rId44" w:history="1">
              <w:r w:rsidR="001C5230" w:rsidRPr="001422F0">
                <w:rPr>
                  <w:rStyle w:val="Hyperlink"/>
                </w:rPr>
                <w:t>https://openscholarship.wustl.edu/cgi/viewcontent.cgi?article=6546&amp;context=law_lawreview</w:t>
              </w:r>
            </w:hyperlink>
          </w:p>
          <w:p w14:paraId="6007FC47" w14:textId="77777777" w:rsidR="00233681" w:rsidRDefault="00233681" w:rsidP="00233681"/>
          <w:p w14:paraId="03D8ADFD" w14:textId="35057666" w:rsidR="00233681" w:rsidRDefault="00233681" w:rsidP="00233681">
            <w:pPr>
              <w:rPr>
                <w:b/>
              </w:rPr>
            </w:pPr>
            <w:r>
              <w:t>20 Questions Boards of Directors Should Ask About Their Compliance Committees, July 2021, JDSUPR</w:t>
            </w:r>
            <w:r w:rsidR="001C5230">
              <w:t>A</w:t>
            </w:r>
            <w:r>
              <w:rPr>
                <w:b/>
              </w:rPr>
              <w:t xml:space="preserve">  </w:t>
            </w:r>
            <w:hyperlink r:id="rId45" w:history="1">
              <w:r w:rsidR="001C5230" w:rsidRPr="001C5230">
                <w:rPr>
                  <w:rStyle w:val="Hyperlink"/>
                  <w:bCs/>
                </w:rPr>
                <w:t>https://www.jdsupra.com/legalnews/20-questions-boards-of-directors-should-5914231</w:t>
              </w:r>
            </w:hyperlink>
          </w:p>
          <w:p w14:paraId="1584AA14" w14:textId="034832FC" w:rsidR="001C5230" w:rsidRDefault="001C5230" w:rsidP="00233681"/>
        </w:tc>
      </w:tr>
      <w:tr w:rsidR="001C5230" w14:paraId="382FB544" w14:textId="77777777" w:rsidTr="00E459F7">
        <w:tc>
          <w:tcPr>
            <w:tcW w:w="778" w:type="dxa"/>
          </w:tcPr>
          <w:p w14:paraId="741C2A5A" w14:textId="111F784D" w:rsidR="001C5230" w:rsidRDefault="001C5230" w:rsidP="001C5230">
            <w:r>
              <w:t>10</w:t>
            </w:r>
          </w:p>
        </w:tc>
        <w:tc>
          <w:tcPr>
            <w:tcW w:w="796" w:type="dxa"/>
          </w:tcPr>
          <w:p w14:paraId="7791B754" w14:textId="5B085AD1" w:rsidR="001C5230" w:rsidRDefault="001C5230" w:rsidP="001C5230">
            <w:r>
              <w:t>10/27</w:t>
            </w:r>
          </w:p>
        </w:tc>
        <w:tc>
          <w:tcPr>
            <w:tcW w:w="2291" w:type="dxa"/>
          </w:tcPr>
          <w:p w14:paraId="5AB9D361" w14:textId="099895D8" w:rsidR="001C5230" w:rsidRDefault="001C5230" w:rsidP="001C5230">
            <w:r>
              <w:t xml:space="preserve">Ethical Challenge #10- Sacrificing Personal Values: Living True </w:t>
            </w:r>
            <w:r w:rsidR="00E459F7">
              <w:t>t</w:t>
            </w:r>
            <w:r>
              <w:t xml:space="preserve">o Your Own Beliefs Might </w:t>
            </w:r>
            <w:r>
              <w:lastRenderedPageBreak/>
              <w:t xml:space="preserve">Impost A Burden </w:t>
            </w:r>
            <w:proofErr w:type="gramStart"/>
            <w:r>
              <w:t>On</w:t>
            </w:r>
            <w:proofErr w:type="gramEnd"/>
            <w:r>
              <w:t xml:space="preserve"> Others</w:t>
            </w:r>
          </w:p>
          <w:p w14:paraId="25EF1A6A" w14:textId="77777777" w:rsidR="001C5230" w:rsidRDefault="001C5230" w:rsidP="001C5230"/>
          <w:p w14:paraId="60D516BE" w14:textId="77777777" w:rsidR="001C5230" w:rsidRDefault="001C5230" w:rsidP="001C5230">
            <w:r>
              <w:t>Ethics &amp; Compliance Career Options for Lawyers</w:t>
            </w:r>
          </w:p>
          <w:p w14:paraId="69D666BD" w14:textId="77777777" w:rsidR="001C5230" w:rsidRDefault="001C5230" w:rsidP="001C5230">
            <w:r>
              <w:t>Roundtable discussion</w:t>
            </w:r>
          </w:p>
          <w:p w14:paraId="61305A31" w14:textId="77777777" w:rsidR="001C5230" w:rsidRDefault="001C5230" w:rsidP="001C5230"/>
          <w:p w14:paraId="1700FB78" w14:textId="77777777" w:rsidR="001C5230" w:rsidRDefault="001C5230" w:rsidP="001C5230"/>
          <w:p w14:paraId="1BBBF320" w14:textId="77777777" w:rsidR="001C5230" w:rsidRDefault="001C5230" w:rsidP="001C5230">
            <w:pPr>
              <w:rPr>
                <w:b/>
              </w:rPr>
            </w:pPr>
            <w:r w:rsidRPr="005A05F6">
              <w:rPr>
                <w:b/>
              </w:rPr>
              <w:t>Guest Speakers:</w:t>
            </w:r>
          </w:p>
          <w:p w14:paraId="146AE5E0" w14:textId="77777777" w:rsidR="001C5230" w:rsidRDefault="001C5230" w:rsidP="001C5230">
            <w:pPr>
              <w:rPr>
                <w:b/>
              </w:rPr>
            </w:pPr>
          </w:p>
          <w:p w14:paraId="64016E48" w14:textId="77777777" w:rsidR="001C5230" w:rsidRDefault="001C5230" w:rsidP="001C5230">
            <w:pPr>
              <w:rPr>
                <w:b/>
              </w:rPr>
            </w:pPr>
            <w:r>
              <w:rPr>
                <w:b/>
              </w:rPr>
              <w:t>Terra DuBois, JD- Chief Compliance, Ethics, and Privacy Officer for the University of Florida</w:t>
            </w:r>
          </w:p>
          <w:p w14:paraId="25F0AAEE" w14:textId="77777777" w:rsidR="001C5230" w:rsidRDefault="001C5230" w:rsidP="001C5230">
            <w:pPr>
              <w:rPr>
                <w:b/>
              </w:rPr>
            </w:pPr>
          </w:p>
          <w:p w14:paraId="1CDA4015" w14:textId="77777777" w:rsidR="001C5230" w:rsidRDefault="001C5230" w:rsidP="001C5230">
            <w:pPr>
              <w:rPr>
                <w:b/>
              </w:rPr>
            </w:pPr>
            <w:r>
              <w:rPr>
                <w:b/>
              </w:rPr>
              <w:t>Brittan L. Mitchell, JD- Manager, Regulatory &amp; Life Sciences, Deloitte Advisory for Deloitte</w:t>
            </w:r>
          </w:p>
          <w:p w14:paraId="7BD93460" w14:textId="77777777" w:rsidR="001C5230" w:rsidRDefault="001C5230" w:rsidP="001C5230">
            <w:pPr>
              <w:rPr>
                <w:b/>
              </w:rPr>
            </w:pPr>
          </w:p>
          <w:p w14:paraId="6915C26C" w14:textId="77777777" w:rsidR="001C5230" w:rsidRDefault="001C5230" w:rsidP="001C5230">
            <w:pPr>
              <w:rPr>
                <w:b/>
              </w:rPr>
            </w:pPr>
          </w:p>
          <w:p w14:paraId="02D09AAE" w14:textId="77777777" w:rsidR="001C5230" w:rsidRDefault="001C5230" w:rsidP="001C5230">
            <w:pPr>
              <w:rPr>
                <w:b/>
              </w:rPr>
            </w:pPr>
            <w:r>
              <w:rPr>
                <w:b/>
              </w:rPr>
              <w:t>Paul Silver- Principal-Regulatory &amp; Compliance Life Sciences Leader, Deloitte Advisory for Deloitte</w:t>
            </w:r>
          </w:p>
          <w:p w14:paraId="17CAB8D7" w14:textId="77777777" w:rsidR="001C5230" w:rsidRDefault="001C5230" w:rsidP="001C5230">
            <w:pPr>
              <w:rPr>
                <w:b/>
              </w:rPr>
            </w:pPr>
          </w:p>
          <w:p w14:paraId="5721C95A" w14:textId="77777777" w:rsidR="001C5230" w:rsidRPr="005A05F6" w:rsidRDefault="001C5230" w:rsidP="001C5230">
            <w:pPr>
              <w:rPr>
                <w:b/>
              </w:rPr>
            </w:pPr>
          </w:p>
          <w:p w14:paraId="463669D8" w14:textId="77777777" w:rsidR="001C5230" w:rsidRDefault="001C5230" w:rsidP="001C5230"/>
          <w:p w14:paraId="30876FBE" w14:textId="77777777" w:rsidR="001C5230" w:rsidRDefault="001C5230" w:rsidP="001C5230"/>
          <w:p w14:paraId="56D6918E" w14:textId="77777777" w:rsidR="001C5230" w:rsidRDefault="001C5230" w:rsidP="001C5230"/>
          <w:p w14:paraId="009AE402" w14:textId="77777777" w:rsidR="001C5230" w:rsidRDefault="001C5230" w:rsidP="001C5230"/>
          <w:p w14:paraId="5129D806" w14:textId="77777777" w:rsidR="001C5230" w:rsidRDefault="001C5230" w:rsidP="001C5230"/>
          <w:p w14:paraId="4D5139F8" w14:textId="77777777" w:rsidR="001C5230" w:rsidRDefault="001C5230" w:rsidP="001C5230"/>
          <w:p w14:paraId="2C32FC71" w14:textId="77777777" w:rsidR="001C5230" w:rsidRDefault="001C5230" w:rsidP="001C5230"/>
        </w:tc>
        <w:tc>
          <w:tcPr>
            <w:tcW w:w="5580" w:type="dxa"/>
          </w:tcPr>
          <w:p w14:paraId="6F0E8157" w14:textId="77777777" w:rsidR="00F91E1C" w:rsidRPr="003942F1" w:rsidRDefault="00F91E1C" w:rsidP="00F91E1C">
            <w:pPr>
              <w:rPr>
                <w:b/>
                <w:bCs/>
                <w:u w:val="single"/>
              </w:rPr>
            </w:pPr>
            <w:r w:rsidRPr="003942F1">
              <w:rPr>
                <w:b/>
                <w:bCs/>
                <w:u w:val="single"/>
              </w:rPr>
              <w:lastRenderedPageBreak/>
              <w:t>Required:</w:t>
            </w:r>
          </w:p>
          <w:p w14:paraId="1A84E324" w14:textId="77777777" w:rsidR="00F91E1C" w:rsidRDefault="00F91E1C" w:rsidP="00F91E1C">
            <w:r>
              <w:t>The Business Ethics Guide, Challenge #10- Sacrificing</w:t>
            </w:r>
          </w:p>
          <w:p w14:paraId="770A8B5B" w14:textId="0B67DCA6" w:rsidR="00F91E1C" w:rsidRDefault="00F91E1C" w:rsidP="00F91E1C">
            <w:r>
              <w:t xml:space="preserve"> Personal</w:t>
            </w:r>
            <w:r w:rsidR="00FF7552">
              <w:t xml:space="preserve"> </w:t>
            </w:r>
            <w:r>
              <w:t>Values, pp. 155-168</w:t>
            </w:r>
          </w:p>
          <w:p w14:paraId="0BF94295" w14:textId="77777777" w:rsidR="004C3DFB" w:rsidRDefault="004C3DFB" w:rsidP="00F91E1C"/>
          <w:p w14:paraId="068E77A9" w14:textId="77777777" w:rsidR="004C3DFB" w:rsidRDefault="004C3DFB" w:rsidP="004C3DFB">
            <w:r>
              <w:t xml:space="preserve">The Compliance Function at an Inflection Point, </w:t>
            </w:r>
          </w:p>
          <w:p w14:paraId="22913236" w14:textId="77777777" w:rsidR="004C3DFB" w:rsidRDefault="004C3DFB" w:rsidP="004C3DFB">
            <w:r>
              <w:lastRenderedPageBreak/>
              <w:t>McKinsey &amp; Company, January 07, 2019.</w:t>
            </w:r>
          </w:p>
          <w:p w14:paraId="374014B7" w14:textId="77777777" w:rsidR="004C3DFB" w:rsidRPr="00925110" w:rsidRDefault="004C3DFB" w:rsidP="004C3DFB">
            <w:r>
              <w:t xml:space="preserve"> </w:t>
            </w:r>
            <w:hyperlink r:id="rId46" w:history="1">
              <w:r w:rsidRPr="00925110">
                <w:rPr>
                  <w:rStyle w:val="Hyperlink"/>
                </w:rPr>
                <w:t>https://www.mckinsey.com/business-functions/risk-and-resilience/our-insights/the-compliance-function-at-an-inflection-point</w:t>
              </w:r>
            </w:hyperlink>
            <w:r w:rsidRPr="00925110">
              <w:rPr>
                <w:b/>
              </w:rPr>
              <w:t xml:space="preserve"> </w:t>
            </w:r>
          </w:p>
          <w:p w14:paraId="0271C6D2" w14:textId="77777777" w:rsidR="001C5230" w:rsidRDefault="001C5230" w:rsidP="001C5230"/>
          <w:p w14:paraId="61E518A4" w14:textId="77777777" w:rsidR="004C3DFB" w:rsidRDefault="004C3DFB" w:rsidP="004C3DFB">
            <w:pPr>
              <w:rPr>
                <w:b/>
              </w:rPr>
            </w:pPr>
            <w:r>
              <w:t xml:space="preserve">New Horizons: Compliance 2020 and Beyond, Deloitte, 2020.  </w:t>
            </w:r>
            <w:hyperlink r:id="rId47" w:history="1">
              <w:r w:rsidRPr="003942F1">
                <w:rPr>
                  <w:rStyle w:val="Hyperlink"/>
                  <w:bCs/>
                </w:rPr>
                <w:t>https://www2.deloitte.com/content/dam/Deloitte/uk/Documents/risk/deloitte-uk-compliance-thought-leadership-16.pdf</w:t>
              </w:r>
            </w:hyperlink>
          </w:p>
          <w:p w14:paraId="7A4DA1AE" w14:textId="77777777" w:rsidR="004C3DFB" w:rsidRDefault="004C3DFB" w:rsidP="001C5230"/>
          <w:p w14:paraId="0F40919E" w14:textId="77777777" w:rsidR="004C3DFB" w:rsidRDefault="004C3DFB" w:rsidP="004C3DFB">
            <w:pPr>
              <w:rPr>
                <w:bCs/>
              </w:rPr>
            </w:pPr>
            <w:r>
              <w:t xml:space="preserve">The Emergence of Compliance: A New </w:t>
            </w:r>
            <w:proofErr w:type="gramStart"/>
            <w:r>
              <w:t>Profession?,</w:t>
            </w:r>
            <w:proofErr w:type="gramEnd"/>
            <w:r>
              <w:t xml:space="preserve"> The Practice, Harvard Law, July/August 2016.  </w:t>
            </w:r>
            <w:hyperlink r:id="rId48" w:history="1">
              <w:r w:rsidRPr="001422F0">
                <w:rPr>
                  <w:rStyle w:val="Hyperlink"/>
                  <w:bCs/>
                </w:rPr>
                <w:t>https://thepractice.law.harvard.edu/article/the-emergence-of-compliance/</w:t>
              </w:r>
            </w:hyperlink>
          </w:p>
          <w:p w14:paraId="2FA3B039" w14:textId="77777777" w:rsidR="004C3DFB" w:rsidRDefault="004C3DFB" w:rsidP="004C3DFB">
            <w:pPr>
              <w:rPr>
                <w:bCs/>
              </w:rPr>
            </w:pPr>
            <w:r>
              <w:t xml:space="preserve">Code of Professional Ethics for Compliance and Ethics Professionals, Society for Corporate Compliance and Ethics (“SCCE”), </w:t>
            </w:r>
            <w:hyperlink r:id="rId49" w:anchor=":~:text=In%20creating%20the%20Code%20of,professional%20conduct%20expected%20of%20CEPs" w:history="1">
              <w:r w:rsidRPr="001422F0">
                <w:rPr>
                  <w:rStyle w:val="Hyperlink"/>
                  <w:bCs/>
                </w:rPr>
                <w:t>https://www.corporatecompliance.org/publications/library/code-professional-ethics-compliance-and-ethics-professionals#:~:text=In%20creating%20the%20Code%20of,professional%20conduct%20expected%20of%20CEPs</w:t>
              </w:r>
            </w:hyperlink>
            <w:r w:rsidRPr="003942F1">
              <w:rPr>
                <w:bCs/>
              </w:rPr>
              <w:t>.</w:t>
            </w:r>
          </w:p>
          <w:p w14:paraId="3B0B3652" w14:textId="6DD75E68" w:rsidR="004C3DFB" w:rsidRDefault="004C3DFB" w:rsidP="001C5230"/>
        </w:tc>
      </w:tr>
      <w:tr w:rsidR="00AD70B8" w14:paraId="4649537E" w14:textId="77777777" w:rsidTr="00E459F7">
        <w:tc>
          <w:tcPr>
            <w:tcW w:w="778" w:type="dxa"/>
          </w:tcPr>
          <w:p w14:paraId="1949C480" w14:textId="4058D92F" w:rsidR="00AD70B8" w:rsidRDefault="00AD70B8" w:rsidP="00AD70B8">
            <w:r>
              <w:lastRenderedPageBreak/>
              <w:t>11</w:t>
            </w:r>
          </w:p>
        </w:tc>
        <w:tc>
          <w:tcPr>
            <w:tcW w:w="796" w:type="dxa"/>
          </w:tcPr>
          <w:p w14:paraId="3E043153" w14:textId="55BAD35C" w:rsidR="00AD70B8" w:rsidRDefault="00AD70B8" w:rsidP="00AD70B8">
            <w:r>
              <w:t>11/3</w:t>
            </w:r>
          </w:p>
        </w:tc>
        <w:tc>
          <w:tcPr>
            <w:tcW w:w="2291" w:type="dxa"/>
          </w:tcPr>
          <w:p w14:paraId="1C794788" w14:textId="77777777" w:rsidR="00AD70B8" w:rsidRDefault="00AD70B8" w:rsidP="00AD70B8">
            <w:r>
              <w:t xml:space="preserve">Ethical Challenge #11- Unfair Advantage: You </w:t>
            </w:r>
            <w:r>
              <w:lastRenderedPageBreak/>
              <w:t xml:space="preserve">Have the Opportunity </w:t>
            </w:r>
            <w:proofErr w:type="gramStart"/>
            <w:r>
              <w:t>To</w:t>
            </w:r>
            <w:proofErr w:type="gramEnd"/>
            <w:r>
              <w:t xml:space="preserve"> Wield An Unfair Upper Hand</w:t>
            </w:r>
          </w:p>
          <w:p w14:paraId="73B9E01B" w14:textId="77777777" w:rsidR="00AD70B8" w:rsidRDefault="00AD70B8" w:rsidP="00AD70B8"/>
          <w:p w14:paraId="3CD75263" w14:textId="77777777" w:rsidR="00AD70B8" w:rsidRDefault="00AD70B8" w:rsidP="00AD70B8">
            <w:r>
              <w:t>Fostering a Culture of Compliance</w:t>
            </w:r>
          </w:p>
          <w:p w14:paraId="2B806D11" w14:textId="77777777" w:rsidR="00AD70B8" w:rsidRDefault="00AD70B8" w:rsidP="00AD70B8"/>
          <w:p w14:paraId="0390F435" w14:textId="240BC8AA" w:rsidR="00AD70B8" w:rsidRDefault="00AD70B8" w:rsidP="00AD70B8">
            <w:r>
              <w:t>Psychological Safety</w:t>
            </w:r>
          </w:p>
          <w:p w14:paraId="6AF54A3A" w14:textId="77777777" w:rsidR="00AD70B8" w:rsidRDefault="00AD70B8" w:rsidP="00AD70B8"/>
          <w:p w14:paraId="5F2D7D04" w14:textId="5F9D7603" w:rsidR="00AD70B8" w:rsidRDefault="00AD70B8" w:rsidP="00AD70B8">
            <w:r>
              <w:t>Procedural Fairness</w:t>
            </w:r>
          </w:p>
          <w:p w14:paraId="6F21FCA9" w14:textId="77777777" w:rsidR="00AD70B8" w:rsidRDefault="00AD70B8" w:rsidP="00AD70B8"/>
          <w:p w14:paraId="05E6C30E" w14:textId="4B7B653E" w:rsidR="00AD70B8" w:rsidRDefault="00AD70B8" w:rsidP="00AD70B8">
            <w:r>
              <w:t>Aligning Incentives to Promote Compliance</w:t>
            </w:r>
          </w:p>
          <w:p w14:paraId="41E51A4A" w14:textId="00D593AE" w:rsidR="00AD70B8" w:rsidRDefault="00AD70B8" w:rsidP="00AD70B8">
            <w:r>
              <w:t xml:space="preserve">Objectives          </w:t>
            </w:r>
          </w:p>
        </w:tc>
        <w:tc>
          <w:tcPr>
            <w:tcW w:w="5580" w:type="dxa"/>
          </w:tcPr>
          <w:p w14:paraId="35457DE0" w14:textId="77777777" w:rsidR="00AD70B8" w:rsidRPr="00255F85" w:rsidRDefault="00AD70B8" w:rsidP="00AD70B8">
            <w:pPr>
              <w:rPr>
                <w:b/>
                <w:u w:val="single"/>
              </w:rPr>
            </w:pPr>
            <w:r w:rsidRPr="00255F85">
              <w:rPr>
                <w:b/>
                <w:u w:val="single"/>
              </w:rPr>
              <w:lastRenderedPageBreak/>
              <w:t>Required:</w:t>
            </w:r>
          </w:p>
          <w:p w14:paraId="41D19D7B" w14:textId="77777777" w:rsidR="00AD70B8" w:rsidRDefault="00AD70B8" w:rsidP="00AD70B8">
            <w:r>
              <w:t xml:space="preserve">The Business Ethics Guide, Challenge #11-Unfair Advantage, pp. 169-181 </w:t>
            </w:r>
          </w:p>
          <w:p w14:paraId="2193575F" w14:textId="77777777" w:rsidR="00AD70B8" w:rsidRDefault="00AD70B8" w:rsidP="00AD70B8"/>
          <w:p w14:paraId="31A34D22" w14:textId="5A0C0B35" w:rsidR="00B835B6" w:rsidRPr="00700C6E" w:rsidRDefault="00B835B6" w:rsidP="00AD70B8">
            <w:pPr>
              <w:rPr>
                <w:u w:val="single"/>
              </w:rPr>
            </w:pPr>
            <w:r w:rsidRPr="00700C6E">
              <w:rPr>
                <w:u w:val="single"/>
              </w:rPr>
              <w:t xml:space="preserve">Tone at the Top &amp; Mood in the Middle </w:t>
            </w:r>
          </w:p>
          <w:p w14:paraId="1B16DC27" w14:textId="6F5F2C58" w:rsidR="00B835B6" w:rsidRDefault="00B835B6" w:rsidP="00AD70B8">
            <w:proofErr w:type="gramStart"/>
            <w:r>
              <w:t>So</w:t>
            </w:r>
            <w:proofErr w:type="gramEnd"/>
            <w:r>
              <w:t xml:space="preserve"> What Exactly is at the Top? Compliance Chief 360 (2021) </w:t>
            </w:r>
            <w:hyperlink r:id="rId50" w:history="1">
              <w:r w:rsidRPr="001422F0">
                <w:rPr>
                  <w:rStyle w:val="Hyperlink"/>
                </w:rPr>
                <w:t>https://compliancechief360.com/so-what-exactly-is-tone-at-the-top/</w:t>
              </w:r>
            </w:hyperlink>
          </w:p>
          <w:p w14:paraId="10B1F33D" w14:textId="3135305E" w:rsidR="00B835B6" w:rsidRDefault="00B835B6" w:rsidP="00AD70B8"/>
          <w:p w14:paraId="608D5E7D" w14:textId="407F9122" w:rsidR="00B835B6" w:rsidRDefault="00700C6E" w:rsidP="00AD70B8">
            <w:r>
              <w:t xml:space="preserve">Culture of Compliance: “Setting the Right Tone at the Top” KPMG (2019)  </w:t>
            </w:r>
            <w:hyperlink r:id="rId51" w:history="1">
              <w:r w:rsidRPr="001422F0">
                <w:rPr>
                  <w:rStyle w:val="Hyperlink"/>
                </w:rPr>
                <w:t>https://www.youtube.com/watch?v=6LQctbR47Hc</w:t>
              </w:r>
            </w:hyperlink>
          </w:p>
          <w:p w14:paraId="5E1A5AE5" w14:textId="78EFA45C" w:rsidR="00700C6E" w:rsidRDefault="00700C6E" w:rsidP="00AD70B8"/>
          <w:p w14:paraId="1C81438D" w14:textId="257F91B0" w:rsidR="00700C6E" w:rsidRDefault="00700C6E" w:rsidP="00AD70B8">
            <w:r>
              <w:t xml:space="preserve">Leveraging Middle Management to Foster a Culture of Compliance, Compliance Week 2013 </w:t>
            </w:r>
            <w:hyperlink r:id="rId52" w:history="1">
              <w:r w:rsidRPr="001422F0">
                <w:rPr>
                  <w:rStyle w:val="Hyperlink"/>
                </w:rPr>
                <w:t>https://www.complianceweek.com/leveraging-middle-management-to-foster-a-culture-of-compliance/3801.article</w:t>
              </w:r>
            </w:hyperlink>
          </w:p>
          <w:p w14:paraId="4677647F" w14:textId="2A04DE76" w:rsidR="00700C6E" w:rsidRDefault="00700C6E" w:rsidP="00AD70B8"/>
          <w:p w14:paraId="17D72053" w14:textId="6E29A309" w:rsidR="00700C6E" w:rsidRDefault="00700C6E" w:rsidP="00AD70B8">
            <w:pPr>
              <w:rPr>
                <w:u w:val="single"/>
              </w:rPr>
            </w:pPr>
            <w:r w:rsidRPr="00700C6E">
              <w:rPr>
                <w:u w:val="single"/>
              </w:rPr>
              <w:t>Psychological S</w:t>
            </w:r>
            <w:r>
              <w:rPr>
                <w:u w:val="single"/>
              </w:rPr>
              <w:t>afety</w:t>
            </w:r>
            <w:r w:rsidRPr="00700C6E">
              <w:rPr>
                <w:u w:val="single"/>
              </w:rPr>
              <w:t xml:space="preserve"> </w:t>
            </w:r>
          </w:p>
          <w:p w14:paraId="4E607C3E" w14:textId="4F5CB0F4" w:rsidR="00700C6E" w:rsidRDefault="00700C6E" w:rsidP="00AD70B8">
            <w:r w:rsidRPr="00700C6E">
              <w:t xml:space="preserve">Creating </w:t>
            </w:r>
            <w:r>
              <w:t xml:space="preserve">Psychological Safety in the Workforce, Harvard Business Review, </w:t>
            </w:r>
            <w:r w:rsidR="001A7581">
              <w:t xml:space="preserve">Podcast </w:t>
            </w:r>
            <w:hyperlink r:id="rId53" w:history="1">
              <w:r w:rsidR="001A7581" w:rsidRPr="001422F0">
                <w:rPr>
                  <w:rStyle w:val="Hyperlink"/>
                </w:rPr>
                <w:t>https://hbr.org/podcast/2019/01/creating-psychological-safety-in-the-workplace</w:t>
              </w:r>
            </w:hyperlink>
          </w:p>
          <w:p w14:paraId="10511FAF" w14:textId="31FD6C8A" w:rsidR="001A7581" w:rsidRDefault="001A7581" w:rsidP="00AD70B8"/>
          <w:p w14:paraId="6239B330" w14:textId="5F5731FA" w:rsidR="001A7581" w:rsidRDefault="001A7581" w:rsidP="00AD70B8">
            <w:r>
              <w:t xml:space="preserve">INSIGHT: Employee Reporting Is Best Line of Defense Against Corporate Misconduct </w:t>
            </w:r>
            <w:hyperlink r:id="rId54" w:history="1">
              <w:r w:rsidRPr="001422F0">
                <w:rPr>
                  <w:rStyle w:val="Hyperlink"/>
                </w:rPr>
                <w:t>https://news.bloomberglaw.com/us-law-week/insight-employee-reporting-is-best-line-of-defense-against-corporate-misconduct</w:t>
              </w:r>
            </w:hyperlink>
          </w:p>
          <w:p w14:paraId="5DED01B0" w14:textId="2F252D19" w:rsidR="001A7581" w:rsidRDefault="001A7581" w:rsidP="00AD70B8"/>
          <w:p w14:paraId="50E225BB" w14:textId="671D22CF" w:rsidR="001A7581" w:rsidRPr="001A7581" w:rsidRDefault="001A7581" w:rsidP="00AD70B8">
            <w:pPr>
              <w:rPr>
                <w:u w:val="single"/>
              </w:rPr>
            </w:pPr>
            <w:r w:rsidRPr="001A7581">
              <w:rPr>
                <w:u w:val="single"/>
              </w:rPr>
              <w:t xml:space="preserve">Procedural Fairness </w:t>
            </w:r>
          </w:p>
          <w:p w14:paraId="403FD36D" w14:textId="2EFD924B" w:rsidR="001A7581" w:rsidRDefault="001A7581" w:rsidP="00AD70B8">
            <w:r>
              <w:t xml:space="preserve">Culture is not the Culprit, Harvard Business Review 2016 </w:t>
            </w:r>
            <w:hyperlink r:id="rId55" w:history="1">
              <w:r w:rsidRPr="001422F0">
                <w:rPr>
                  <w:rStyle w:val="Hyperlink"/>
                </w:rPr>
                <w:t>https://hbr.org/2016/04/culture-is-not-the-culprit</w:t>
              </w:r>
            </w:hyperlink>
          </w:p>
          <w:p w14:paraId="0D2E5A42" w14:textId="7F9FA339" w:rsidR="00AD70B8" w:rsidRDefault="00AD70B8" w:rsidP="00AD70B8"/>
        </w:tc>
      </w:tr>
      <w:tr w:rsidR="00AD70B8" w14:paraId="078AEA9A" w14:textId="77777777" w:rsidTr="00E459F7">
        <w:tc>
          <w:tcPr>
            <w:tcW w:w="778" w:type="dxa"/>
          </w:tcPr>
          <w:p w14:paraId="0614E77D" w14:textId="69AF1DE3" w:rsidR="00AD70B8" w:rsidRDefault="00AD70B8" w:rsidP="00AD70B8">
            <w:r>
              <w:lastRenderedPageBreak/>
              <w:t>12</w:t>
            </w:r>
          </w:p>
        </w:tc>
        <w:tc>
          <w:tcPr>
            <w:tcW w:w="796" w:type="dxa"/>
          </w:tcPr>
          <w:p w14:paraId="6B014A4C" w14:textId="7673975E" w:rsidR="00AD70B8" w:rsidRDefault="00AD70B8" w:rsidP="00AD70B8">
            <w:r>
              <w:t>11/10</w:t>
            </w:r>
          </w:p>
        </w:tc>
        <w:tc>
          <w:tcPr>
            <w:tcW w:w="2291" w:type="dxa"/>
          </w:tcPr>
          <w:p w14:paraId="52AA0662" w14:textId="2A45C1C3" w:rsidR="00AD70B8" w:rsidRDefault="00AD70B8" w:rsidP="00AD70B8">
            <w:r>
              <w:t xml:space="preserve">Ethical Challenge #12- Repair: You Are Responsible </w:t>
            </w:r>
            <w:proofErr w:type="gramStart"/>
            <w:r>
              <w:t>For</w:t>
            </w:r>
            <w:proofErr w:type="gramEnd"/>
            <w:r>
              <w:t xml:space="preserve"> A Mistake</w:t>
            </w:r>
          </w:p>
          <w:p w14:paraId="5FC3BC16" w14:textId="77777777" w:rsidR="00AD70B8" w:rsidRDefault="00AD70B8" w:rsidP="00AD70B8"/>
          <w:p w14:paraId="64978D3C" w14:textId="77777777" w:rsidR="00AD70B8" w:rsidRDefault="00AD70B8" w:rsidP="00AD70B8">
            <w:r>
              <w:t>Assessing Compliance Program Effectiveness</w:t>
            </w:r>
          </w:p>
          <w:p w14:paraId="46171535" w14:textId="77777777" w:rsidR="007B346D" w:rsidRDefault="007B346D" w:rsidP="00AD70B8"/>
          <w:p w14:paraId="45D3A138" w14:textId="77777777" w:rsidR="007B346D" w:rsidRDefault="007B346D" w:rsidP="00AD70B8"/>
          <w:p w14:paraId="47455FEC" w14:textId="77777777" w:rsidR="007B346D" w:rsidRDefault="007B346D" w:rsidP="00AD70B8"/>
          <w:p w14:paraId="2FF5BBE3" w14:textId="77777777" w:rsidR="007B346D" w:rsidRDefault="007B346D" w:rsidP="00AD70B8"/>
          <w:p w14:paraId="07CCFE1E" w14:textId="77777777" w:rsidR="007B346D" w:rsidRDefault="007B346D" w:rsidP="00AD70B8"/>
          <w:p w14:paraId="7DED964F" w14:textId="77777777" w:rsidR="001C5A8C" w:rsidRDefault="001C5A8C" w:rsidP="001C5A8C">
            <w:pPr>
              <w:rPr>
                <w:b/>
              </w:rPr>
            </w:pPr>
          </w:p>
          <w:p w14:paraId="1EAC5727" w14:textId="77777777" w:rsidR="001C5A8C" w:rsidRDefault="001C5A8C" w:rsidP="001C5A8C">
            <w:pPr>
              <w:rPr>
                <w:b/>
              </w:rPr>
            </w:pPr>
            <w:r>
              <w:rPr>
                <w:b/>
              </w:rPr>
              <w:t xml:space="preserve">Catherine </w:t>
            </w:r>
            <w:proofErr w:type="spellStart"/>
            <w:r>
              <w:rPr>
                <w:b/>
              </w:rPr>
              <w:t>Razzano</w:t>
            </w:r>
            <w:proofErr w:type="spellEnd"/>
            <w:r>
              <w:rPr>
                <w:b/>
              </w:rPr>
              <w:t xml:space="preserve">, JD- Head of Global Legal Compliance for </w:t>
            </w:r>
            <w:proofErr w:type="spellStart"/>
            <w:r>
              <w:rPr>
                <w:b/>
              </w:rPr>
              <w:t>TikTok</w:t>
            </w:r>
            <w:proofErr w:type="spellEnd"/>
            <w:r>
              <w:rPr>
                <w:b/>
              </w:rPr>
              <w:t>/</w:t>
            </w:r>
            <w:proofErr w:type="spellStart"/>
            <w:r>
              <w:rPr>
                <w:b/>
              </w:rPr>
              <w:t>ByteDance</w:t>
            </w:r>
            <w:proofErr w:type="spellEnd"/>
          </w:p>
          <w:p w14:paraId="74C1B4C1" w14:textId="77777777" w:rsidR="007B346D" w:rsidRDefault="007B346D" w:rsidP="00AD70B8"/>
          <w:p w14:paraId="2D9516E5" w14:textId="77777777" w:rsidR="007B346D" w:rsidRDefault="007B346D" w:rsidP="00AD70B8"/>
          <w:p w14:paraId="3D94AF79" w14:textId="77777777" w:rsidR="007B346D" w:rsidRDefault="007B346D" w:rsidP="00AD70B8"/>
          <w:p w14:paraId="3B887D59" w14:textId="77777777" w:rsidR="007B346D" w:rsidRDefault="007B346D" w:rsidP="00AD70B8"/>
          <w:p w14:paraId="19753DD4" w14:textId="77777777" w:rsidR="007B346D" w:rsidRDefault="007B346D" w:rsidP="00AD70B8"/>
          <w:p w14:paraId="230442AC" w14:textId="77777777" w:rsidR="007B346D" w:rsidRDefault="007B346D" w:rsidP="00AD70B8">
            <w:pPr>
              <w:rPr>
                <w:b/>
              </w:rPr>
            </w:pPr>
          </w:p>
          <w:p w14:paraId="0FC60F72" w14:textId="77777777" w:rsidR="007B346D" w:rsidRDefault="007B346D" w:rsidP="00AD70B8">
            <w:pPr>
              <w:rPr>
                <w:b/>
              </w:rPr>
            </w:pPr>
          </w:p>
          <w:p w14:paraId="3036899E" w14:textId="77777777" w:rsidR="007B346D" w:rsidRDefault="007B346D" w:rsidP="00AD70B8">
            <w:pPr>
              <w:rPr>
                <w:b/>
              </w:rPr>
            </w:pPr>
          </w:p>
          <w:p w14:paraId="2B8C460A" w14:textId="3C4B4F86" w:rsidR="007B346D" w:rsidRPr="007B346D" w:rsidRDefault="007B346D" w:rsidP="00AD70B8">
            <w:pPr>
              <w:rPr>
                <w:b/>
              </w:rPr>
            </w:pPr>
            <w:r>
              <w:rPr>
                <w:b/>
              </w:rPr>
              <w:t>Last Day to Submit Draft of Final Paper</w:t>
            </w:r>
          </w:p>
        </w:tc>
        <w:tc>
          <w:tcPr>
            <w:tcW w:w="5580" w:type="dxa"/>
          </w:tcPr>
          <w:p w14:paraId="2F453F48" w14:textId="77777777" w:rsidR="00AD70B8" w:rsidRDefault="00AD70B8" w:rsidP="00AD70B8">
            <w:r w:rsidRPr="00255F85">
              <w:rPr>
                <w:b/>
                <w:u w:val="single"/>
              </w:rPr>
              <w:lastRenderedPageBreak/>
              <w:t>Required:</w:t>
            </w:r>
          </w:p>
          <w:p w14:paraId="4E4E8FD9" w14:textId="77777777" w:rsidR="00AD70B8" w:rsidRDefault="00AD70B8" w:rsidP="00AD70B8">
            <w:r>
              <w:t>The Business Guide, Challenge #12- Repair, pp. 183-195</w:t>
            </w:r>
          </w:p>
          <w:p w14:paraId="66383E3A" w14:textId="77777777" w:rsidR="000B3A06" w:rsidRDefault="000B3A06" w:rsidP="00AD70B8"/>
          <w:p w14:paraId="1DD89E3F" w14:textId="77777777" w:rsidR="000B3A06" w:rsidRDefault="00F745FB" w:rsidP="00AD70B8">
            <w:r>
              <w:t xml:space="preserve">Compliance Program Maturity Model: How Do You </w:t>
            </w:r>
            <w:proofErr w:type="gramStart"/>
            <w:r>
              <w:t>Rank?,</w:t>
            </w:r>
            <w:proofErr w:type="gramEnd"/>
            <w:r>
              <w:t xml:space="preserve"> GAN Integrity (2020)</w:t>
            </w:r>
          </w:p>
          <w:p w14:paraId="31FA893C" w14:textId="07D03161" w:rsidR="00F745FB" w:rsidRDefault="00EE24F7" w:rsidP="00AD70B8">
            <w:hyperlink r:id="rId56" w:history="1">
              <w:r w:rsidR="00C33D42" w:rsidRPr="003435FB">
                <w:rPr>
                  <w:rStyle w:val="Hyperlink"/>
                </w:rPr>
                <w:t>https://www.ganintegrity.com/blog/compliance-program-maturity-model/</w:t>
              </w:r>
            </w:hyperlink>
          </w:p>
          <w:p w14:paraId="28D84DFD" w14:textId="77777777" w:rsidR="00C33D42" w:rsidRDefault="00C33D42" w:rsidP="00AD70B8"/>
          <w:p w14:paraId="2CA7A08E" w14:textId="22495BA8" w:rsidR="00335C9A" w:rsidRDefault="00C847C9" w:rsidP="00AD70B8">
            <w:r>
              <w:t xml:space="preserve">Compliance </w:t>
            </w:r>
            <w:r w:rsidR="00335C9A">
              <w:t>modernization is no</w:t>
            </w:r>
            <w:r>
              <w:t xml:space="preserve"> longer optional, Deloitte, 2017 </w:t>
            </w:r>
            <w:hyperlink r:id="rId57" w:history="1">
              <w:r w:rsidR="00C33D42" w:rsidRPr="003435FB">
                <w:rPr>
                  <w:rStyle w:val="Hyperlink"/>
                </w:rPr>
                <w:t>https://www2.deloitte.com/content/dam/Deloitte/pe/Documents/risk/us-compliance-modernization%20(1).pdf</w:t>
              </w:r>
            </w:hyperlink>
          </w:p>
          <w:p w14:paraId="4D3E2E99" w14:textId="77777777" w:rsidR="00C33D42" w:rsidRDefault="00C33D42" w:rsidP="00AD70B8">
            <w:pPr>
              <w:rPr>
                <w:b/>
                <w:u w:val="single"/>
              </w:rPr>
            </w:pPr>
          </w:p>
          <w:p w14:paraId="3409B39B" w14:textId="0506DCD7" w:rsidR="00335C9A" w:rsidRDefault="00335C9A" w:rsidP="00AD70B8">
            <w:r>
              <w:t>HCCA-OIG Compliance Effectiveness Roundtable, Measuring Compliance Program Effectiveness:  A Resource Guide, 2017</w:t>
            </w:r>
          </w:p>
          <w:p w14:paraId="06D4C72A" w14:textId="2C62B4FA" w:rsidR="00F745FB" w:rsidRDefault="00EE24F7" w:rsidP="00AD70B8">
            <w:hyperlink r:id="rId58" w:history="1">
              <w:r w:rsidR="00C33D42" w:rsidRPr="003435FB">
                <w:rPr>
                  <w:rStyle w:val="Hyperlink"/>
                </w:rPr>
                <w:t>https://oig.hhs.gov/documents/toolkits/928/HCCA-OIG-Resource-Guide.pdf</w:t>
              </w:r>
            </w:hyperlink>
          </w:p>
          <w:p w14:paraId="5758A69B" w14:textId="3A9152F1" w:rsidR="00C33D42" w:rsidRPr="009E7484" w:rsidRDefault="009E7484" w:rsidP="00AD70B8">
            <w:pPr>
              <w:rPr>
                <w:b/>
              </w:rPr>
            </w:pPr>
            <w:r w:rsidRPr="009E7484">
              <w:rPr>
                <w:b/>
              </w:rPr>
              <w:t>Draft Paper Due by midnight EST</w:t>
            </w:r>
          </w:p>
          <w:p w14:paraId="3F67ADFF" w14:textId="38066926" w:rsidR="00F745FB" w:rsidRPr="00F745FB" w:rsidRDefault="00F745FB" w:rsidP="00AD70B8"/>
        </w:tc>
      </w:tr>
      <w:tr w:rsidR="00AD70B8" w14:paraId="45559E8C" w14:textId="77777777" w:rsidTr="00E459F7">
        <w:tc>
          <w:tcPr>
            <w:tcW w:w="778" w:type="dxa"/>
          </w:tcPr>
          <w:p w14:paraId="7756DD0D" w14:textId="56CEA370" w:rsidR="00AD70B8" w:rsidRDefault="00AD70B8" w:rsidP="00AD70B8">
            <w:r>
              <w:lastRenderedPageBreak/>
              <w:t>13</w:t>
            </w:r>
          </w:p>
        </w:tc>
        <w:tc>
          <w:tcPr>
            <w:tcW w:w="796" w:type="dxa"/>
          </w:tcPr>
          <w:p w14:paraId="5A6B2406" w14:textId="4525B438" w:rsidR="00AD70B8" w:rsidRDefault="00AD70B8" w:rsidP="00AD70B8">
            <w:r>
              <w:t>11/17</w:t>
            </w:r>
          </w:p>
        </w:tc>
        <w:tc>
          <w:tcPr>
            <w:tcW w:w="2291" w:type="dxa"/>
          </w:tcPr>
          <w:p w14:paraId="6A74F155" w14:textId="77777777" w:rsidR="00AD70B8" w:rsidRDefault="00AD70B8" w:rsidP="00AD70B8">
            <w:r>
              <w:t xml:space="preserve">Ethical Challenge #13- Showing Mercy:  You Could Grant Forgiveness </w:t>
            </w:r>
            <w:proofErr w:type="gramStart"/>
            <w:r>
              <w:t>Or</w:t>
            </w:r>
            <w:proofErr w:type="gramEnd"/>
            <w:r>
              <w:t xml:space="preserve"> Forbearance, But Don’t Know If You Should</w:t>
            </w:r>
          </w:p>
          <w:p w14:paraId="235B29B7" w14:textId="77777777" w:rsidR="00AD70B8" w:rsidRDefault="00AD70B8" w:rsidP="00AD70B8"/>
          <w:p w14:paraId="7B5C112B" w14:textId="77777777" w:rsidR="00AD70B8" w:rsidRDefault="00AD70B8" w:rsidP="00AD70B8">
            <w:r w:rsidRPr="00F632DB">
              <w:rPr>
                <w:b/>
              </w:rPr>
              <w:t>Review Day</w:t>
            </w:r>
            <w:r>
              <w:t xml:space="preserve">- Review all material, discuss papers, etc. </w:t>
            </w:r>
          </w:p>
          <w:p w14:paraId="160B8799" w14:textId="77777777" w:rsidR="00AD70B8" w:rsidRDefault="00AD70B8" w:rsidP="00AD70B8"/>
          <w:p w14:paraId="5B51CE06" w14:textId="535DBE7D" w:rsidR="00AD70B8" w:rsidRPr="00F632DB" w:rsidRDefault="00AD70B8" w:rsidP="00AD70B8">
            <w:pPr>
              <w:rPr>
                <w:b/>
              </w:rPr>
            </w:pPr>
            <w:r w:rsidRPr="00F632DB">
              <w:rPr>
                <w:b/>
              </w:rPr>
              <w:t>Last Day of Class</w:t>
            </w:r>
          </w:p>
        </w:tc>
        <w:tc>
          <w:tcPr>
            <w:tcW w:w="5580" w:type="dxa"/>
          </w:tcPr>
          <w:p w14:paraId="284816B9" w14:textId="77777777" w:rsidR="00AD70B8" w:rsidRDefault="00AD70B8" w:rsidP="00AD70B8">
            <w:pPr>
              <w:rPr>
                <w:b/>
                <w:u w:val="single"/>
              </w:rPr>
            </w:pPr>
            <w:r>
              <w:rPr>
                <w:b/>
                <w:u w:val="single"/>
              </w:rPr>
              <w:t>Required:</w:t>
            </w:r>
          </w:p>
          <w:p w14:paraId="3D1FBCF4" w14:textId="77777777" w:rsidR="00AD70B8" w:rsidRDefault="00AD70B8" w:rsidP="00AD70B8">
            <w:r>
              <w:t xml:space="preserve">The Business Guide, Challenge #13- Showing Mercy, </w:t>
            </w:r>
          </w:p>
          <w:p w14:paraId="6C599FD5" w14:textId="05A0A181" w:rsidR="00AD70B8" w:rsidRDefault="00AD70B8" w:rsidP="00AD70B8">
            <w:r>
              <w:t>pp.197-209</w:t>
            </w:r>
          </w:p>
        </w:tc>
      </w:tr>
      <w:tr w:rsidR="00AD70B8" w14:paraId="7B080F7B" w14:textId="77777777" w:rsidTr="00E459F7">
        <w:tc>
          <w:tcPr>
            <w:tcW w:w="778" w:type="dxa"/>
          </w:tcPr>
          <w:p w14:paraId="00B0378E" w14:textId="78806C67" w:rsidR="00AD70B8" w:rsidRDefault="00AD70B8" w:rsidP="00AD70B8"/>
        </w:tc>
        <w:tc>
          <w:tcPr>
            <w:tcW w:w="796" w:type="dxa"/>
          </w:tcPr>
          <w:p w14:paraId="034FFC23" w14:textId="01687034" w:rsidR="00AD70B8" w:rsidRDefault="00AD70B8" w:rsidP="00AD70B8">
            <w:r>
              <w:t>11/24</w:t>
            </w:r>
          </w:p>
        </w:tc>
        <w:tc>
          <w:tcPr>
            <w:tcW w:w="2291" w:type="dxa"/>
          </w:tcPr>
          <w:p w14:paraId="2E886B03" w14:textId="6D25AFC9" w:rsidR="00AD70B8" w:rsidRDefault="00AD70B8" w:rsidP="00AD70B8">
            <w:r w:rsidRPr="00F632DB">
              <w:rPr>
                <w:b/>
              </w:rPr>
              <w:t>NO CLASS</w:t>
            </w:r>
            <w:r>
              <w:t>- Thanksgiving Holiday</w:t>
            </w:r>
          </w:p>
        </w:tc>
        <w:tc>
          <w:tcPr>
            <w:tcW w:w="5580" w:type="dxa"/>
          </w:tcPr>
          <w:p w14:paraId="427E1C14" w14:textId="77777777" w:rsidR="00AD70B8" w:rsidRDefault="00AD70B8" w:rsidP="00AD70B8"/>
        </w:tc>
      </w:tr>
      <w:tr w:rsidR="00D92A70" w14:paraId="147EBFD0" w14:textId="77777777" w:rsidTr="00E459F7">
        <w:tc>
          <w:tcPr>
            <w:tcW w:w="778" w:type="dxa"/>
          </w:tcPr>
          <w:p w14:paraId="61121757" w14:textId="77777777" w:rsidR="00D92A70" w:rsidRDefault="00D92A70" w:rsidP="00AD70B8"/>
        </w:tc>
        <w:tc>
          <w:tcPr>
            <w:tcW w:w="796" w:type="dxa"/>
          </w:tcPr>
          <w:p w14:paraId="0E1648CA" w14:textId="1E046CC4" w:rsidR="00D92A70" w:rsidRDefault="007B346D" w:rsidP="00AD70B8">
            <w:r>
              <w:t>11/27</w:t>
            </w:r>
          </w:p>
        </w:tc>
        <w:tc>
          <w:tcPr>
            <w:tcW w:w="2291" w:type="dxa"/>
          </w:tcPr>
          <w:p w14:paraId="07F31B3E" w14:textId="749468FD" w:rsidR="00D92A70" w:rsidRPr="0084699B" w:rsidRDefault="007B346D" w:rsidP="00AD70B8">
            <w:pPr>
              <w:rPr>
                <w:b/>
              </w:rPr>
            </w:pPr>
            <w:r w:rsidRPr="0084699B">
              <w:rPr>
                <w:b/>
              </w:rPr>
              <w:t>Final Paper Due</w:t>
            </w:r>
          </w:p>
        </w:tc>
        <w:tc>
          <w:tcPr>
            <w:tcW w:w="5580" w:type="dxa"/>
          </w:tcPr>
          <w:p w14:paraId="1468D34C" w14:textId="0D8F1611" w:rsidR="00D92A70" w:rsidRPr="00F632DB" w:rsidRDefault="007B346D" w:rsidP="00AD70B8">
            <w:pPr>
              <w:rPr>
                <w:b/>
              </w:rPr>
            </w:pPr>
            <w:r>
              <w:rPr>
                <w:b/>
              </w:rPr>
              <w:t>Final Paper Due 11/27/2022 by midnight EST</w:t>
            </w:r>
          </w:p>
        </w:tc>
      </w:tr>
      <w:tr w:rsidR="00AD70B8" w14:paraId="32AF6022" w14:textId="77777777" w:rsidTr="00E459F7">
        <w:tc>
          <w:tcPr>
            <w:tcW w:w="778" w:type="dxa"/>
          </w:tcPr>
          <w:p w14:paraId="6ACAD963" w14:textId="71CBA267" w:rsidR="00AD70B8" w:rsidRDefault="00AD70B8" w:rsidP="00AD70B8"/>
        </w:tc>
        <w:tc>
          <w:tcPr>
            <w:tcW w:w="796" w:type="dxa"/>
          </w:tcPr>
          <w:p w14:paraId="03029AD6" w14:textId="4C40A247" w:rsidR="00AD70B8" w:rsidRDefault="00AD70B8" w:rsidP="00AD70B8">
            <w:r>
              <w:t>12/1</w:t>
            </w:r>
          </w:p>
        </w:tc>
        <w:tc>
          <w:tcPr>
            <w:tcW w:w="2291" w:type="dxa"/>
          </w:tcPr>
          <w:p w14:paraId="15FABE90" w14:textId="640FDDE7" w:rsidR="00AD70B8" w:rsidRDefault="00AD70B8" w:rsidP="00AD70B8">
            <w:r>
              <w:t xml:space="preserve">Reading </w:t>
            </w:r>
            <w:proofErr w:type="gramStart"/>
            <w:r>
              <w:t>Period</w:t>
            </w:r>
            <w:r w:rsidR="008D3162">
              <w:t>:</w:t>
            </w:r>
            <w:proofErr w:type="gramEnd"/>
            <w:r>
              <w:t xml:space="preserve"> begins 11/28-12/1</w:t>
            </w:r>
          </w:p>
        </w:tc>
        <w:tc>
          <w:tcPr>
            <w:tcW w:w="5580" w:type="dxa"/>
          </w:tcPr>
          <w:p w14:paraId="4F6D6458" w14:textId="4864A27F" w:rsidR="00AD70B8" w:rsidRPr="00F632DB" w:rsidRDefault="00AD70B8" w:rsidP="00AD70B8">
            <w:pPr>
              <w:rPr>
                <w:b/>
              </w:rPr>
            </w:pPr>
          </w:p>
        </w:tc>
      </w:tr>
      <w:tr w:rsidR="00AD70B8" w14:paraId="279B1065" w14:textId="77777777" w:rsidTr="00E459F7">
        <w:tc>
          <w:tcPr>
            <w:tcW w:w="778" w:type="dxa"/>
          </w:tcPr>
          <w:p w14:paraId="28B0CB9D" w14:textId="2C223458" w:rsidR="00AD70B8" w:rsidRDefault="00AD70B8" w:rsidP="00AD70B8"/>
        </w:tc>
        <w:tc>
          <w:tcPr>
            <w:tcW w:w="796" w:type="dxa"/>
          </w:tcPr>
          <w:p w14:paraId="21801024" w14:textId="7A0FABDD" w:rsidR="00AD70B8" w:rsidRDefault="00AD70B8" w:rsidP="00AD70B8">
            <w:r>
              <w:t>12/8</w:t>
            </w:r>
          </w:p>
        </w:tc>
        <w:tc>
          <w:tcPr>
            <w:tcW w:w="2291" w:type="dxa"/>
          </w:tcPr>
          <w:p w14:paraId="48F80134" w14:textId="4FC0D6A3" w:rsidR="00AD70B8" w:rsidRDefault="00AD70B8" w:rsidP="00AD70B8">
            <w:r>
              <w:t>Exam Period</w:t>
            </w:r>
            <w:r w:rsidR="008D3162">
              <w:t xml:space="preserve">: </w:t>
            </w:r>
            <w:r>
              <w:t xml:space="preserve"> 12/2-12/15</w:t>
            </w:r>
          </w:p>
        </w:tc>
        <w:tc>
          <w:tcPr>
            <w:tcW w:w="5580" w:type="dxa"/>
          </w:tcPr>
          <w:p w14:paraId="6D5316B5" w14:textId="57BACB7C" w:rsidR="00AD70B8" w:rsidRPr="00F632DB" w:rsidRDefault="00AD70B8" w:rsidP="00AD70B8">
            <w:pPr>
              <w:rPr>
                <w:b/>
              </w:rPr>
            </w:pPr>
          </w:p>
        </w:tc>
      </w:tr>
    </w:tbl>
    <w:p w14:paraId="51B7B68D" w14:textId="77777777" w:rsidR="00EF08F5" w:rsidRDefault="00EF08F5" w:rsidP="00EF08F5"/>
    <w:p w14:paraId="10BD0261" w14:textId="63401CA4" w:rsidR="00EF08F5" w:rsidRPr="0017324D" w:rsidRDefault="0017324D" w:rsidP="00F632DB">
      <w:pPr>
        <w:jc w:val="center"/>
      </w:pPr>
      <w:r>
        <w:t>END OF DOCUMENT</w:t>
      </w:r>
    </w:p>
    <w:p w14:paraId="1B665B59" w14:textId="498B6E89" w:rsidR="00EF08F5" w:rsidRDefault="00EF08F5" w:rsidP="00EF08F5"/>
    <w:p w14:paraId="051C54EA" w14:textId="77777777" w:rsidR="00C16006" w:rsidRDefault="00C16006" w:rsidP="00EF08F5"/>
    <w:sectPr w:rsidR="00C16006" w:rsidSect="00655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85BC3"/>
    <w:multiLevelType w:val="hybridMultilevel"/>
    <w:tmpl w:val="D2ACB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92577"/>
    <w:multiLevelType w:val="hybridMultilevel"/>
    <w:tmpl w:val="EB688680"/>
    <w:lvl w:ilvl="0" w:tplc="D4CC17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10077A"/>
    <w:multiLevelType w:val="hybridMultilevel"/>
    <w:tmpl w:val="F79811C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B4C73F8"/>
    <w:multiLevelType w:val="hybridMultilevel"/>
    <w:tmpl w:val="06A2E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69"/>
    <w:rsid w:val="000033B5"/>
    <w:rsid w:val="00015CBB"/>
    <w:rsid w:val="000169B3"/>
    <w:rsid w:val="0001794B"/>
    <w:rsid w:val="00020EB3"/>
    <w:rsid w:val="00025E3C"/>
    <w:rsid w:val="000314B4"/>
    <w:rsid w:val="000451FD"/>
    <w:rsid w:val="000566A4"/>
    <w:rsid w:val="00064295"/>
    <w:rsid w:val="0007530F"/>
    <w:rsid w:val="00092884"/>
    <w:rsid w:val="00092887"/>
    <w:rsid w:val="00094FA4"/>
    <w:rsid w:val="000A1087"/>
    <w:rsid w:val="000B3534"/>
    <w:rsid w:val="000B3A06"/>
    <w:rsid w:val="000C062E"/>
    <w:rsid w:val="000C60A0"/>
    <w:rsid w:val="000D192F"/>
    <w:rsid w:val="000D1CB1"/>
    <w:rsid w:val="000D63DE"/>
    <w:rsid w:val="000E7135"/>
    <w:rsid w:val="000F0091"/>
    <w:rsid w:val="00122A27"/>
    <w:rsid w:val="00130BB8"/>
    <w:rsid w:val="00133A25"/>
    <w:rsid w:val="00141598"/>
    <w:rsid w:val="001662BA"/>
    <w:rsid w:val="0017324D"/>
    <w:rsid w:val="0018348D"/>
    <w:rsid w:val="00192CDF"/>
    <w:rsid w:val="001970A5"/>
    <w:rsid w:val="001A7581"/>
    <w:rsid w:val="001B32E9"/>
    <w:rsid w:val="001C5230"/>
    <w:rsid w:val="001C5A8C"/>
    <w:rsid w:val="001F578C"/>
    <w:rsid w:val="00207CFB"/>
    <w:rsid w:val="00216C03"/>
    <w:rsid w:val="00227357"/>
    <w:rsid w:val="00233681"/>
    <w:rsid w:val="00234BA5"/>
    <w:rsid w:val="00242CCE"/>
    <w:rsid w:val="00253FC3"/>
    <w:rsid w:val="00255F85"/>
    <w:rsid w:val="00260199"/>
    <w:rsid w:val="00276D50"/>
    <w:rsid w:val="00282036"/>
    <w:rsid w:val="00292A20"/>
    <w:rsid w:val="002A2330"/>
    <w:rsid w:val="002B572F"/>
    <w:rsid w:val="002B635F"/>
    <w:rsid w:val="002D1345"/>
    <w:rsid w:val="002D7270"/>
    <w:rsid w:val="002E21E1"/>
    <w:rsid w:val="00300373"/>
    <w:rsid w:val="0031410D"/>
    <w:rsid w:val="00320877"/>
    <w:rsid w:val="00325EB1"/>
    <w:rsid w:val="003302EF"/>
    <w:rsid w:val="00335C9A"/>
    <w:rsid w:val="00344354"/>
    <w:rsid w:val="00362F5F"/>
    <w:rsid w:val="003815A5"/>
    <w:rsid w:val="003828EE"/>
    <w:rsid w:val="003913FA"/>
    <w:rsid w:val="003942F1"/>
    <w:rsid w:val="003952A7"/>
    <w:rsid w:val="003A4604"/>
    <w:rsid w:val="003A7049"/>
    <w:rsid w:val="003A7D2B"/>
    <w:rsid w:val="003B6937"/>
    <w:rsid w:val="003C41C8"/>
    <w:rsid w:val="003C6BAF"/>
    <w:rsid w:val="003D7AAD"/>
    <w:rsid w:val="003F4F5A"/>
    <w:rsid w:val="003F5E42"/>
    <w:rsid w:val="004220D2"/>
    <w:rsid w:val="0042220D"/>
    <w:rsid w:val="0043404D"/>
    <w:rsid w:val="00435896"/>
    <w:rsid w:val="00436A33"/>
    <w:rsid w:val="00437E85"/>
    <w:rsid w:val="00464887"/>
    <w:rsid w:val="00465F5A"/>
    <w:rsid w:val="00470851"/>
    <w:rsid w:val="00485FBE"/>
    <w:rsid w:val="00487CE5"/>
    <w:rsid w:val="004A4173"/>
    <w:rsid w:val="004B2577"/>
    <w:rsid w:val="004C3DFB"/>
    <w:rsid w:val="004C4621"/>
    <w:rsid w:val="004E2115"/>
    <w:rsid w:val="004E4660"/>
    <w:rsid w:val="004E5FDA"/>
    <w:rsid w:val="004E7FBF"/>
    <w:rsid w:val="004F236F"/>
    <w:rsid w:val="004F3A11"/>
    <w:rsid w:val="00517E58"/>
    <w:rsid w:val="00520C5F"/>
    <w:rsid w:val="00541ED7"/>
    <w:rsid w:val="005535F3"/>
    <w:rsid w:val="005560F3"/>
    <w:rsid w:val="0055763C"/>
    <w:rsid w:val="0056222D"/>
    <w:rsid w:val="00572F20"/>
    <w:rsid w:val="0057322C"/>
    <w:rsid w:val="005963C9"/>
    <w:rsid w:val="005A05F6"/>
    <w:rsid w:val="005B2CA0"/>
    <w:rsid w:val="005B4B3E"/>
    <w:rsid w:val="005B5B31"/>
    <w:rsid w:val="005B6060"/>
    <w:rsid w:val="005C5EDA"/>
    <w:rsid w:val="005E7846"/>
    <w:rsid w:val="005F0EBD"/>
    <w:rsid w:val="005F33B3"/>
    <w:rsid w:val="006074FB"/>
    <w:rsid w:val="00617FE9"/>
    <w:rsid w:val="0063090C"/>
    <w:rsid w:val="00631053"/>
    <w:rsid w:val="006549E2"/>
    <w:rsid w:val="006553AE"/>
    <w:rsid w:val="006573FA"/>
    <w:rsid w:val="00660150"/>
    <w:rsid w:val="00670F4A"/>
    <w:rsid w:val="0068194F"/>
    <w:rsid w:val="006A2582"/>
    <w:rsid w:val="006B075F"/>
    <w:rsid w:val="006B3773"/>
    <w:rsid w:val="006B44FE"/>
    <w:rsid w:val="006B5D1E"/>
    <w:rsid w:val="006D272D"/>
    <w:rsid w:val="006E16D8"/>
    <w:rsid w:val="006F7E21"/>
    <w:rsid w:val="00700C6E"/>
    <w:rsid w:val="00715718"/>
    <w:rsid w:val="007352B8"/>
    <w:rsid w:val="00740343"/>
    <w:rsid w:val="00765D1B"/>
    <w:rsid w:val="00766FF6"/>
    <w:rsid w:val="00770796"/>
    <w:rsid w:val="007821F1"/>
    <w:rsid w:val="007B346D"/>
    <w:rsid w:val="007C152C"/>
    <w:rsid w:val="007D6D76"/>
    <w:rsid w:val="007E00DA"/>
    <w:rsid w:val="007E0546"/>
    <w:rsid w:val="007E6C6F"/>
    <w:rsid w:val="007F10CE"/>
    <w:rsid w:val="00804C9F"/>
    <w:rsid w:val="00810924"/>
    <w:rsid w:val="008116EA"/>
    <w:rsid w:val="00812ADE"/>
    <w:rsid w:val="00813FB1"/>
    <w:rsid w:val="00821B70"/>
    <w:rsid w:val="00834A88"/>
    <w:rsid w:val="00840CFF"/>
    <w:rsid w:val="00840FE2"/>
    <w:rsid w:val="0084699B"/>
    <w:rsid w:val="008508E9"/>
    <w:rsid w:val="00884E57"/>
    <w:rsid w:val="00893792"/>
    <w:rsid w:val="00896D8E"/>
    <w:rsid w:val="008C4BBE"/>
    <w:rsid w:val="008D3162"/>
    <w:rsid w:val="008E1A96"/>
    <w:rsid w:val="008F30E7"/>
    <w:rsid w:val="00902B55"/>
    <w:rsid w:val="00907DE6"/>
    <w:rsid w:val="00916419"/>
    <w:rsid w:val="00925110"/>
    <w:rsid w:val="009642B6"/>
    <w:rsid w:val="009859D5"/>
    <w:rsid w:val="009B03FE"/>
    <w:rsid w:val="009B4BF1"/>
    <w:rsid w:val="009C0858"/>
    <w:rsid w:val="009C3718"/>
    <w:rsid w:val="009C410E"/>
    <w:rsid w:val="009C779A"/>
    <w:rsid w:val="009D390E"/>
    <w:rsid w:val="009E7484"/>
    <w:rsid w:val="009E7925"/>
    <w:rsid w:val="009F54BE"/>
    <w:rsid w:val="009F703A"/>
    <w:rsid w:val="00A00A9D"/>
    <w:rsid w:val="00A0105C"/>
    <w:rsid w:val="00A040A3"/>
    <w:rsid w:val="00A05376"/>
    <w:rsid w:val="00A227C9"/>
    <w:rsid w:val="00A23E60"/>
    <w:rsid w:val="00A34551"/>
    <w:rsid w:val="00A34FF1"/>
    <w:rsid w:val="00A424CC"/>
    <w:rsid w:val="00A46905"/>
    <w:rsid w:val="00A65255"/>
    <w:rsid w:val="00A65999"/>
    <w:rsid w:val="00A676EE"/>
    <w:rsid w:val="00A67938"/>
    <w:rsid w:val="00A75396"/>
    <w:rsid w:val="00A93C14"/>
    <w:rsid w:val="00AA187F"/>
    <w:rsid w:val="00AD193C"/>
    <w:rsid w:val="00AD70B8"/>
    <w:rsid w:val="00AD77F5"/>
    <w:rsid w:val="00AF2384"/>
    <w:rsid w:val="00AF6E2C"/>
    <w:rsid w:val="00B125FA"/>
    <w:rsid w:val="00B31768"/>
    <w:rsid w:val="00B37266"/>
    <w:rsid w:val="00B41190"/>
    <w:rsid w:val="00B45DAE"/>
    <w:rsid w:val="00B47E94"/>
    <w:rsid w:val="00B52740"/>
    <w:rsid w:val="00B55452"/>
    <w:rsid w:val="00B65CE9"/>
    <w:rsid w:val="00B74668"/>
    <w:rsid w:val="00B835B6"/>
    <w:rsid w:val="00B84033"/>
    <w:rsid w:val="00B94151"/>
    <w:rsid w:val="00BA0297"/>
    <w:rsid w:val="00BA65CE"/>
    <w:rsid w:val="00BC2FCF"/>
    <w:rsid w:val="00BE370D"/>
    <w:rsid w:val="00BF37A9"/>
    <w:rsid w:val="00BF520F"/>
    <w:rsid w:val="00BF59B7"/>
    <w:rsid w:val="00C02F3A"/>
    <w:rsid w:val="00C05E31"/>
    <w:rsid w:val="00C16006"/>
    <w:rsid w:val="00C33D42"/>
    <w:rsid w:val="00C447FA"/>
    <w:rsid w:val="00C56FB3"/>
    <w:rsid w:val="00C65C39"/>
    <w:rsid w:val="00C811FB"/>
    <w:rsid w:val="00C847C9"/>
    <w:rsid w:val="00C849DC"/>
    <w:rsid w:val="00C8763E"/>
    <w:rsid w:val="00C917C5"/>
    <w:rsid w:val="00CA0823"/>
    <w:rsid w:val="00CC07E1"/>
    <w:rsid w:val="00CC6E37"/>
    <w:rsid w:val="00CE1270"/>
    <w:rsid w:val="00CF48A7"/>
    <w:rsid w:val="00D05B39"/>
    <w:rsid w:val="00D15302"/>
    <w:rsid w:val="00D22486"/>
    <w:rsid w:val="00D25447"/>
    <w:rsid w:val="00D46B6E"/>
    <w:rsid w:val="00D63E66"/>
    <w:rsid w:val="00D81A7D"/>
    <w:rsid w:val="00D8587B"/>
    <w:rsid w:val="00D91A00"/>
    <w:rsid w:val="00D92A70"/>
    <w:rsid w:val="00D945A4"/>
    <w:rsid w:val="00DA5353"/>
    <w:rsid w:val="00DB6B2B"/>
    <w:rsid w:val="00DD44EA"/>
    <w:rsid w:val="00DE4772"/>
    <w:rsid w:val="00E2731F"/>
    <w:rsid w:val="00E330DA"/>
    <w:rsid w:val="00E33F96"/>
    <w:rsid w:val="00E373DF"/>
    <w:rsid w:val="00E41A29"/>
    <w:rsid w:val="00E42E3B"/>
    <w:rsid w:val="00E43B27"/>
    <w:rsid w:val="00E459F7"/>
    <w:rsid w:val="00E74F12"/>
    <w:rsid w:val="00E959D5"/>
    <w:rsid w:val="00EA1BB5"/>
    <w:rsid w:val="00EA57C0"/>
    <w:rsid w:val="00EC0376"/>
    <w:rsid w:val="00EE07ED"/>
    <w:rsid w:val="00EE09BC"/>
    <w:rsid w:val="00EE0FBA"/>
    <w:rsid w:val="00EE24F7"/>
    <w:rsid w:val="00EF08F5"/>
    <w:rsid w:val="00EF5787"/>
    <w:rsid w:val="00EF7675"/>
    <w:rsid w:val="00F16C9A"/>
    <w:rsid w:val="00F3516C"/>
    <w:rsid w:val="00F35CC5"/>
    <w:rsid w:val="00F365D5"/>
    <w:rsid w:val="00F41AB8"/>
    <w:rsid w:val="00F41E10"/>
    <w:rsid w:val="00F632DB"/>
    <w:rsid w:val="00F656AD"/>
    <w:rsid w:val="00F71851"/>
    <w:rsid w:val="00F745FB"/>
    <w:rsid w:val="00F80969"/>
    <w:rsid w:val="00F86526"/>
    <w:rsid w:val="00F91E1C"/>
    <w:rsid w:val="00F92BDB"/>
    <w:rsid w:val="00F9376E"/>
    <w:rsid w:val="00FA11F9"/>
    <w:rsid w:val="00FB561F"/>
    <w:rsid w:val="00FC1EBE"/>
    <w:rsid w:val="00FD31CB"/>
    <w:rsid w:val="00FD4669"/>
    <w:rsid w:val="00FE1248"/>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782C"/>
  <w14:defaultImageDpi w14:val="32767"/>
  <w15:chartTrackingRefBased/>
  <w15:docId w15:val="{0C859C4A-36C9-D340-86AC-4279181B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5CE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E66"/>
    <w:rPr>
      <w:color w:val="0563C1" w:themeColor="hyperlink"/>
      <w:u w:val="single"/>
    </w:rPr>
  </w:style>
  <w:style w:type="character" w:customStyle="1" w:styleId="UnresolvedMention1">
    <w:name w:val="Unresolved Mention1"/>
    <w:basedOn w:val="DefaultParagraphFont"/>
    <w:uiPriority w:val="99"/>
    <w:rsid w:val="00D63E66"/>
    <w:rPr>
      <w:color w:val="605E5C"/>
      <w:shd w:val="clear" w:color="auto" w:fill="E1DFDD"/>
    </w:rPr>
  </w:style>
  <w:style w:type="paragraph" w:styleId="ListParagraph">
    <w:name w:val="List Paragraph"/>
    <w:basedOn w:val="Normal"/>
    <w:uiPriority w:val="34"/>
    <w:qFormat/>
    <w:rsid w:val="003828EE"/>
    <w:pPr>
      <w:ind w:left="720"/>
      <w:contextualSpacing/>
    </w:pPr>
  </w:style>
  <w:style w:type="paragraph" w:styleId="BalloonText">
    <w:name w:val="Balloon Text"/>
    <w:basedOn w:val="Normal"/>
    <w:link w:val="BalloonTextChar"/>
    <w:uiPriority w:val="99"/>
    <w:semiHidden/>
    <w:unhideWhenUsed/>
    <w:rsid w:val="005B606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606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B6060"/>
    <w:rPr>
      <w:sz w:val="16"/>
      <w:szCs w:val="16"/>
    </w:rPr>
  </w:style>
  <w:style w:type="paragraph" w:styleId="CommentText">
    <w:name w:val="annotation text"/>
    <w:basedOn w:val="Normal"/>
    <w:link w:val="CommentTextChar"/>
    <w:uiPriority w:val="99"/>
    <w:semiHidden/>
    <w:unhideWhenUsed/>
    <w:rsid w:val="005B6060"/>
    <w:rPr>
      <w:sz w:val="20"/>
      <w:szCs w:val="20"/>
    </w:rPr>
  </w:style>
  <w:style w:type="character" w:customStyle="1" w:styleId="CommentTextChar">
    <w:name w:val="Comment Text Char"/>
    <w:basedOn w:val="DefaultParagraphFont"/>
    <w:link w:val="CommentText"/>
    <w:uiPriority w:val="99"/>
    <w:semiHidden/>
    <w:rsid w:val="005B6060"/>
    <w:rPr>
      <w:sz w:val="20"/>
      <w:szCs w:val="20"/>
    </w:rPr>
  </w:style>
  <w:style w:type="paragraph" w:styleId="CommentSubject">
    <w:name w:val="annotation subject"/>
    <w:basedOn w:val="CommentText"/>
    <w:next w:val="CommentText"/>
    <w:link w:val="CommentSubjectChar"/>
    <w:uiPriority w:val="99"/>
    <w:semiHidden/>
    <w:unhideWhenUsed/>
    <w:rsid w:val="005B6060"/>
    <w:rPr>
      <w:b/>
      <w:bCs/>
    </w:rPr>
  </w:style>
  <w:style w:type="character" w:customStyle="1" w:styleId="CommentSubjectChar">
    <w:name w:val="Comment Subject Char"/>
    <w:basedOn w:val="CommentTextChar"/>
    <w:link w:val="CommentSubject"/>
    <w:uiPriority w:val="99"/>
    <w:semiHidden/>
    <w:rsid w:val="005B6060"/>
    <w:rPr>
      <w:b/>
      <w:bCs/>
      <w:sz w:val="20"/>
      <w:szCs w:val="20"/>
    </w:rPr>
  </w:style>
  <w:style w:type="character" w:customStyle="1" w:styleId="normaltextrun">
    <w:name w:val="normaltextrun"/>
    <w:basedOn w:val="DefaultParagraphFont"/>
    <w:rsid w:val="005B6060"/>
  </w:style>
  <w:style w:type="paragraph" w:styleId="Revision">
    <w:name w:val="Revision"/>
    <w:hidden/>
    <w:uiPriority w:val="99"/>
    <w:semiHidden/>
    <w:rsid w:val="00C849DC"/>
  </w:style>
  <w:style w:type="table" w:styleId="TableGrid">
    <w:name w:val="Table Grid"/>
    <w:basedOn w:val="TableNormal"/>
    <w:uiPriority w:val="39"/>
    <w:rsid w:val="00242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5CE9"/>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BF37A9"/>
    <w:rPr>
      <w:color w:val="954F72" w:themeColor="followedHyperlink"/>
      <w:u w:val="single"/>
    </w:rPr>
  </w:style>
  <w:style w:type="character" w:customStyle="1" w:styleId="UnresolvedMention2">
    <w:name w:val="Unresolved Mention2"/>
    <w:basedOn w:val="DefaultParagraphFont"/>
    <w:uiPriority w:val="99"/>
    <w:semiHidden/>
    <w:unhideWhenUsed/>
    <w:rsid w:val="00E2731F"/>
    <w:rPr>
      <w:color w:val="605E5C"/>
      <w:shd w:val="clear" w:color="auto" w:fill="E1DFDD"/>
    </w:rPr>
  </w:style>
  <w:style w:type="paragraph" w:customStyle="1" w:styleId="paragraph">
    <w:name w:val="paragraph"/>
    <w:basedOn w:val="Normal"/>
    <w:rsid w:val="00A040A3"/>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A040A3"/>
  </w:style>
  <w:style w:type="character" w:customStyle="1" w:styleId="superscript">
    <w:name w:val="superscript"/>
    <w:basedOn w:val="DefaultParagraphFont"/>
    <w:rsid w:val="00A04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90260">
      <w:bodyDiv w:val="1"/>
      <w:marLeft w:val="0"/>
      <w:marRight w:val="0"/>
      <w:marTop w:val="0"/>
      <w:marBottom w:val="0"/>
      <w:divBdr>
        <w:top w:val="none" w:sz="0" w:space="0" w:color="auto"/>
        <w:left w:val="none" w:sz="0" w:space="0" w:color="auto"/>
        <w:bottom w:val="none" w:sz="0" w:space="0" w:color="auto"/>
        <w:right w:val="none" w:sz="0" w:space="0" w:color="auto"/>
      </w:divBdr>
      <w:divsChild>
        <w:div w:id="805584863">
          <w:marLeft w:val="0"/>
          <w:marRight w:val="0"/>
          <w:marTop w:val="0"/>
          <w:marBottom w:val="0"/>
          <w:divBdr>
            <w:top w:val="none" w:sz="0" w:space="0" w:color="auto"/>
            <w:left w:val="none" w:sz="0" w:space="0" w:color="auto"/>
            <w:bottom w:val="none" w:sz="0" w:space="0" w:color="auto"/>
            <w:right w:val="none" w:sz="0" w:space="0" w:color="auto"/>
          </w:divBdr>
        </w:div>
        <w:div w:id="1462772896">
          <w:marLeft w:val="0"/>
          <w:marRight w:val="0"/>
          <w:marTop w:val="0"/>
          <w:marBottom w:val="0"/>
          <w:divBdr>
            <w:top w:val="none" w:sz="0" w:space="0" w:color="auto"/>
            <w:left w:val="none" w:sz="0" w:space="0" w:color="auto"/>
            <w:bottom w:val="none" w:sz="0" w:space="0" w:color="auto"/>
            <w:right w:val="none" w:sz="0" w:space="0" w:color="auto"/>
          </w:divBdr>
        </w:div>
        <w:div w:id="782041334">
          <w:marLeft w:val="0"/>
          <w:marRight w:val="0"/>
          <w:marTop w:val="0"/>
          <w:marBottom w:val="0"/>
          <w:divBdr>
            <w:top w:val="none" w:sz="0" w:space="0" w:color="auto"/>
            <w:left w:val="none" w:sz="0" w:space="0" w:color="auto"/>
            <w:bottom w:val="none" w:sz="0" w:space="0" w:color="auto"/>
            <w:right w:val="none" w:sz="0" w:space="0" w:color="auto"/>
          </w:divBdr>
        </w:div>
        <w:div w:id="1417482423">
          <w:marLeft w:val="0"/>
          <w:marRight w:val="0"/>
          <w:marTop w:val="0"/>
          <w:marBottom w:val="0"/>
          <w:divBdr>
            <w:top w:val="none" w:sz="0" w:space="0" w:color="auto"/>
            <w:left w:val="none" w:sz="0" w:space="0" w:color="auto"/>
            <w:bottom w:val="none" w:sz="0" w:space="0" w:color="auto"/>
            <w:right w:val="none" w:sz="0" w:space="0" w:color="auto"/>
          </w:divBdr>
        </w:div>
        <w:div w:id="1147937156">
          <w:marLeft w:val="0"/>
          <w:marRight w:val="0"/>
          <w:marTop w:val="0"/>
          <w:marBottom w:val="0"/>
          <w:divBdr>
            <w:top w:val="none" w:sz="0" w:space="0" w:color="auto"/>
            <w:left w:val="none" w:sz="0" w:space="0" w:color="auto"/>
            <w:bottom w:val="none" w:sz="0" w:space="0" w:color="auto"/>
            <w:right w:val="none" w:sz="0" w:space="0" w:color="auto"/>
          </w:divBdr>
        </w:div>
        <w:div w:id="1512138089">
          <w:marLeft w:val="0"/>
          <w:marRight w:val="0"/>
          <w:marTop w:val="0"/>
          <w:marBottom w:val="0"/>
          <w:divBdr>
            <w:top w:val="none" w:sz="0" w:space="0" w:color="auto"/>
            <w:left w:val="none" w:sz="0" w:space="0" w:color="auto"/>
            <w:bottom w:val="none" w:sz="0" w:space="0" w:color="auto"/>
            <w:right w:val="none" w:sz="0" w:space="0" w:color="auto"/>
          </w:divBdr>
        </w:div>
      </w:divsChild>
    </w:div>
    <w:div w:id="797337864">
      <w:bodyDiv w:val="1"/>
      <w:marLeft w:val="0"/>
      <w:marRight w:val="0"/>
      <w:marTop w:val="0"/>
      <w:marBottom w:val="0"/>
      <w:divBdr>
        <w:top w:val="none" w:sz="0" w:space="0" w:color="auto"/>
        <w:left w:val="none" w:sz="0" w:space="0" w:color="auto"/>
        <w:bottom w:val="none" w:sz="0" w:space="0" w:color="auto"/>
        <w:right w:val="none" w:sz="0" w:space="0" w:color="auto"/>
      </w:divBdr>
    </w:div>
    <w:div w:id="1053774266">
      <w:bodyDiv w:val="1"/>
      <w:marLeft w:val="0"/>
      <w:marRight w:val="0"/>
      <w:marTop w:val="0"/>
      <w:marBottom w:val="0"/>
      <w:divBdr>
        <w:top w:val="none" w:sz="0" w:space="0" w:color="auto"/>
        <w:left w:val="none" w:sz="0" w:space="0" w:color="auto"/>
        <w:bottom w:val="none" w:sz="0" w:space="0" w:color="auto"/>
        <w:right w:val="none" w:sz="0" w:space="0" w:color="auto"/>
      </w:divBdr>
    </w:div>
    <w:div w:id="1294140144">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97382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sc.gov/guidelines/2021-guidelines-manual/annotated-2021-chapter-8" TargetMode="External"/><Relationship Id="rId18" Type="http://schemas.openxmlformats.org/officeDocument/2006/relationships/hyperlink" Target="https://www.lexisnexis.com/community/casebrief/p/casebrief-upjohn-co-v-united-states" TargetMode="External"/><Relationship Id="rId26" Type="http://schemas.openxmlformats.org/officeDocument/2006/relationships/hyperlink" Target="https://www.youtube.com/watch?v=n8Y8FK8gonc" TargetMode="External"/><Relationship Id="rId39" Type="http://schemas.openxmlformats.org/officeDocument/2006/relationships/hyperlink" Target="https://www.law.cornell.edu/uscode/text/42/1320a-7b" TargetMode="External"/><Relationship Id="rId21" Type="http://schemas.openxmlformats.org/officeDocument/2006/relationships/hyperlink" Target="https://www.law.cornell.edu/uscode/text/15/78dd-1" TargetMode="External"/><Relationship Id="rId34" Type="http://schemas.openxmlformats.org/officeDocument/2006/relationships/hyperlink" Target="https://www.justice.gov/archives/dag/memorandum-heads-department-components-united-states-attorneys" TargetMode="External"/><Relationship Id="rId42" Type="http://schemas.openxmlformats.org/officeDocument/2006/relationships/hyperlink" Target="https://corpgov.law.harvard.edu/2019/12/10/thoughts-for-boards-of-directors-in-2020/" TargetMode="External"/><Relationship Id="rId47" Type="http://schemas.openxmlformats.org/officeDocument/2006/relationships/hyperlink" Target="https://www2.deloitte.com/content/dam/Deloitte/uk/Documents/risk/deloitte-uk-compliance-thought-leadership-16.pdf" TargetMode="External"/><Relationship Id="rId50" Type="http://schemas.openxmlformats.org/officeDocument/2006/relationships/hyperlink" Target="https://compliancechief360.com/so-what-exactly-is-tone-at-the-top/" TargetMode="External"/><Relationship Id="rId55" Type="http://schemas.openxmlformats.org/officeDocument/2006/relationships/hyperlink" Target="https://hbr.org/2016/04/culture-is-not-the-culprit" TargetMode="External"/><Relationship Id="rId7" Type="http://schemas.openxmlformats.org/officeDocument/2006/relationships/hyperlink" Target="https://catalog.ufl.edu/ugrad/1617/regulations/info/attendance.aspx" TargetMode="External"/><Relationship Id="rId2" Type="http://schemas.openxmlformats.org/officeDocument/2006/relationships/numbering" Target="numbering.xml"/><Relationship Id="rId16" Type="http://schemas.openxmlformats.org/officeDocument/2006/relationships/hyperlink" Target="https://www.weil.com/~/media/files/pdfs/understanding-the-false-claims-act-(75611346).pdf" TargetMode="External"/><Relationship Id="rId29" Type="http://schemas.openxmlformats.org/officeDocument/2006/relationships/hyperlink" Target="https://www.ibac.vic.gov.au/publications-and-resources/ibac-insights/issue-21/actual-and-perceived-conflicts-of-interest-why-both-matter" TargetMode="External"/><Relationship Id="rId11" Type="http://schemas.openxmlformats.org/officeDocument/2006/relationships/hyperlink" Target="https://evaluations.ufl.edu" TargetMode="External"/><Relationship Id="rId24" Type="http://schemas.openxmlformats.org/officeDocument/2006/relationships/hyperlink" Target="https://www.justice.gov.uk/downloads/legislation/bribery-act-2010-guidance.pdf" TargetMode="External"/><Relationship Id="rId32" Type="http://schemas.openxmlformats.org/officeDocument/2006/relationships/hyperlink" Target="https://oig.hhs.gov/compliance/corporate-integrity-agreements/" TargetMode="External"/><Relationship Id="rId37" Type="http://schemas.openxmlformats.org/officeDocument/2006/relationships/hyperlink" Target="https://www.nytimes.com/2001/10/04/business/2-drug-makers-to-pay-875-million-to-settle-fraud-case.html" TargetMode="External"/><Relationship Id="rId40" Type="http://schemas.openxmlformats.org/officeDocument/2006/relationships/hyperlink" Target="https://assets.corporatecompliance.org/Portals/1/PDF/Resources/past_handouts/Regional/2012/NewYork/BoardTraining_excerptedCEmanual.pdf" TargetMode="External"/><Relationship Id="rId45" Type="http://schemas.openxmlformats.org/officeDocument/2006/relationships/hyperlink" Target="https://www.jdsupra.com/legalnews/20-questions-boards-of-directors-should-5914231" TargetMode="External"/><Relationship Id="rId53" Type="http://schemas.openxmlformats.org/officeDocument/2006/relationships/hyperlink" Target="https://hbr.org/podcast/2019/01/creating-psychological-safety-in-the-workplace" TargetMode="External"/><Relationship Id="rId58" Type="http://schemas.openxmlformats.org/officeDocument/2006/relationships/hyperlink" Target="https://oig.hhs.gov/documents/toolkits/928/HCCA-OIG-Resource-Guide.pdf" TargetMode="External"/><Relationship Id="rId5" Type="http://schemas.openxmlformats.org/officeDocument/2006/relationships/webSettings" Target="webSettings.xml"/><Relationship Id="rId19" Type="http://schemas.openxmlformats.org/officeDocument/2006/relationships/hyperlink" Target="https://www.acc.com/sites/default/files/2020-02/whistleblower.pdf" TargetMode="External"/><Relationship Id="rId4" Type="http://schemas.openxmlformats.org/officeDocument/2006/relationships/settings" Target="settings.xml"/><Relationship Id="rId9" Type="http://schemas.openxmlformats.org/officeDocument/2006/relationships/hyperlink" Target="https://www.law.ufl.edu/life-at-uf-law/office-of-student-affairs/current-students/uf-law-student-handbook-and-academic-policies" TargetMode="External"/><Relationship Id="rId14" Type="http://schemas.openxmlformats.org/officeDocument/2006/relationships/hyperlink" Target="https://www.justice.gov/criminal-fraud/page/file/937501/download" TargetMode="External"/><Relationship Id="rId22" Type="http://schemas.openxmlformats.org/officeDocument/2006/relationships/hyperlink" Target="https://urldefense.com/v3/__https:/compliancecosmos.org/anti-corruption-and-anti-bribery-compliance-programs-0__;!!JtrAlv4X!2OWQvCZYt1qffv_N8tqepOBQnxp6EhsHMUe_FSGRvDBeOlzGDj5A6x7OpslVx2BjV6SGD9FJsRHeDPc$" TargetMode="External"/><Relationship Id="rId27" Type="http://schemas.openxmlformats.org/officeDocument/2006/relationships/hyperlink" Target="https://hbr.org/2016/09/case-study-an-office-romance-gone-wrong" TargetMode="External"/><Relationship Id="rId30" Type="http://schemas.openxmlformats.org/officeDocument/2006/relationships/hyperlink" Target="https://www.compliancewave.com/welcome-conflicts-of-interest-lp" TargetMode="External"/><Relationship Id="rId35" Type="http://schemas.openxmlformats.org/officeDocument/2006/relationships/hyperlink" Target="https://www.gibsondunn.com/2021-year-end-update-on-corporate-non-prosecution-agreements-and-deferred-prosecution-agreements/" TargetMode="External"/><Relationship Id="rId43" Type="http://schemas.openxmlformats.org/officeDocument/2006/relationships/hyperlink" Target="https://www.nist.gov/blogs/blogrige/board-director-responsibilities" TargetMode="External"/><Relationship Id="rId48" Type="http://schemas.openxmlformats.org/officeDocument/2006/relationships/hyperlink" Target="https://thepractice.law.harvard.edu/article/the-emergence-of-compliance/" TargetMode="External"/><Relationship Id="rId56" Type="http://schemas.openxmlformats.org/officeDocument/2006/relationships/hyperlink" Target="https://www.ganintegrity.com/blog/compliance-program-maturity-model/" TargetMode="External"/><Relationship Id="rId8" Type="http://schemas.openxmlformats.org/officeDocument/2006/relationships/hyperlink" Target="https://catalog.ufl.edu/UGRD/academic-regulations/attendance-policies/" TargetMode="External"/><Relationship Id="rId51" Type="http://schemas.openxmlformats.org/officeDocument/2006/relationships/hyperlink" Target="https://www.youtube.com/watch?v=6LQctbR47Hc" TargetMode="External"/><Relationship Id="rId3" Type="http://schemas.openxmlformats.org/officeDocument/2006/relationships/styles" Target="styles.xml"/><Relationship Id="rId12" Type="http://schemas.openxmlformats.org/officeDocument/2006/relationships/hyperlink" Target="https://evaluations.ufl.edu/results/" TargetMode="External"/><Relationship Id="rId17" Type="http://schemas.openxmlformats.org/officeDocument/2006/relationships/hyperlink" Target="https://www.law.cornell.edu/uscode/text/31/3729" TargetMode="External"/><Relationship Id="rId25" Type="http://schemas.openxmlformats.org/officeDocument/2006/relationships/hyperlink" Target="https://www2.deloitte.com/us/en/pages/advisory/articles/fcpa-anti-corruption-compliance-program.html" TargetMode="External"/><Relationship Id="rId33" Type="http://schemas.openxmlformats.org/officeDocument/2006/relationships/hyperlink" Target="https://www.justice.gov/archives/opa/blog/use-corporate-monitors-any-deferred-or-non-prosecution-agreement" TargetMode="External"/><Relationship Id="rId38" Type="http://schemas.openxmlformats.org/officeDocument/2006/relationships/hyperlink" Target="https://oig.hhs.gov/fraud/cia/agreements/tap_pharmaceutical_products_92801.pdf" TargetMode="External"/><Relationship Id="rId46" Type="http://schemas.openxmlformats.org/officeDocument/2006/relationships/hyperlink" Target="https://www.mckinsey.com/business-functions/risk-and-resilience/our-insights/the-compliance-function-at-an-inflection-point" TargetMode="External"/><Relationship Id="rId59" Type="http://schemas.openxmlformats.org/officeDocument/2006/relationships/fontTable" Target="fontTable.xml"/><Relationship Id="rId20" Type="http://schemas.openxmlformats.org/officeDocument/2006/relationships/hyperlink" Target="https://www.justice.gov/opa/pr/justice-department-s-false-claims-act-settlements-and-judgments-exceed-56-billion-fiscal-year" TargetMode="External"/><Relationship Id="rId41" Type="http://schemas.openxmlformats.org/officeDocument/2006/relationships/hyperlink" Target="https://papers.ssrn.com/sol3/papers.cfm?abstract_id=2271840" TargetMode="External"/><Relationship Id="rId54" Type="http://schemas.openxmlformats.org/officeDocument/2006/relationships/hyperlink" Target="https://news.bloomberglaw.com/us-law-week/insight-employee-reporting-is-best-line-of-defense-against-corporate-misconduct" TargetMode="External"/><Relationship Id="rId1" Type="http://schemas.openxmlformats.org/officeDocument/2006/relationships/customXml" Target="../customXml/item1.xml"/><Relationship Id="rId6" Type="http://schemas.openxmlformats.org/officeDocument/2006/relationships/hyperlink" Target="mailto:markpg65@gmail.com" TargetMode="External"/><Relationship Id="rId15" Type="http://schemas.openxmlformats.org/officeDocument/2006/relationships/hyperlink" Target="https://www.ussc.gov/sites/default/files/pdf/training/annual-national-training-seminar/2019/org_history.pdf" TargetMode="External"/><Relationship Id="rId23" Type="http://schemas.openxmlformats.org/officeDocument/2006/relationships/hyperlink" Target="https://www.kbr.com/sites/default/files/2021-02/kbr-anti-corruption-program.pdf" TargetMode="External"/><Relationship Id="rId28" Type="http://schemas.openxmlformats.org/officeDocument/2006/relationships/hyperlink" Target="https://fcpablog.com/2019/03/28/key-ingredients-of-an-effective-conflict-of-interest-program/" TargetMode="External"/><Relationship Id="rId36" Type="http://schemas.openxmlformats.org/officeDocument/2006/relationships/hyperlink" Target="https://www.justice.gov/archive/opa/pr/2001/October/513civ.htm" TargetMode="External"/><Relationship Id="rId49" Type="http://schemas.openxmlformats.org/officeDocument/2006/relationships/hyperlink" Target="https://www.corporatecompliance.org/publications/library/code-professional-ethics-compliance-and-ethics-professionals" TargetMode="External"/><Relationship Id="rId57" Type="http://schemas.openxmlformats.org/officeDocument/2006/relationships/hyperlink" Target="https://www2.deloitte.com/content/dam/Deloitte/pe/Documents/risk/us-compliance-modernization%20(1).pdf" TargetMode="External"/><Relationship Id="rId10" Type="http://schemas.openxmlformats.org/officeDocument/2006/relationships/hyperlink" Target="http://ufl.edu/studentaffairs/current-students/academic-policies" TargetMode="External"/><Relationship Id="rId31" Type="http://schemas.openxmlformats.org/officeDocument/2006/relationships/hyperlink" Target="https://urldefense.com/v3/__https:/www.bizjournals.com/sanjose/news/2018/04/04/hbr-why-compliance-programs-fail-and-how-to-fix.html__;!!JtrAlv4X!xR2CXc2LeUCluw2VrU2WlXuDYEexzVVTdc7-mfKaL_8l72a5KmT7RspTt3RUU9yivNHQZ1nredoc0E0$" TargetMode="External"/><Relationship Id="rId44" Type="http://schemas.openxmlformats.org/officeDocument/2006/relationships/hyperlink" Target="https://openscholarship.wustl.edu/cgi/viewcontent.cgi?article=6546&amp;context=law_lawreview" TargetMode="External"/><Relationship Id="rId52" Type="http://schemas.openxmlformats.org/officeDocument/2006/relationships/hyperlink" Target="https://www.complianceweek.com/leveraging-middle-management-to-foster-a-culture-of-compliance/3801.article"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DE1D-94E1-4646-A334-9B73ED62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4263</Words>
  <Characters>24305</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Morea</dc:creator>
  <cp:keywords/>
  <dc:description/>
  <cp:lastModifiedBy>McIlhenny, Ruth M.</cp:lastModifiedBy>
  <cp:revision>2</cp:revision>
  <cp:lastPrinted>2022-08-07T21:18:00Z</cp:lastPrinted>
  <dcterms:created xsi:type="dcterms:W3CDTF">2022-08-09T18:11:00Z</dcterms:created>
  <dcterms:modified xsi:type="dcterms:W3CDTF">2022-08-09T18:11:00Z</dcterms:modified>
</cp:coreProperties>
</file>