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BE5E" w14:textId="77777777" w:rsidR="00D20D2B" w:rsidRDefault="00D20D2B">
      <w:pPr>
        <w:spacing w:before="72"/>
        <w:ind w:right="119"/>
        <w:jc w:val="right"/>
        <w:rPr>
          <w:rFonts w:ascii="Arial"/>
          <w:sz w:val="16"/>
        </w:rPr>
      </w:pPr>
    </w:p>
    <w:p w14:paraId="69E8D9E3" w14:textId="77777777" w:rsidR="00FF32E4" w:rsidRDefault="00C7224D">
      <w:pPr>
        <w:spacing w:before="72"/>
        <w:ind w:right="119"/>
        <w:jc w:val="right"/>
        <w:rPr>
          <w:rFonts w:ascii="Arial"/>
          <w:sz w:val="16"/>
        </w:rPr>
      </w:pPr>
      <w:r>
        <w:rPr>
          <w:rFonts w:ascii="Arial"/>
          <w:sz w:val="16"/>
        </w:rPr>
        <w:t>Income Tax of Trusts &amp; Estates LLM</w:t>
      </w:r>
    </w:p>
    <w:p w14:paraId="24FBCD15" w14:textId="2BB2DBB8" w:rsidR="00FF32E4" w:rsidRDefault="00C7224D">
      <w:pPr>
        <w:spacing w:before="7"/>
        <w:ind w:right="118"/>
        <w:jc w:val="right"/>
        <w:rPr>
          <w:rFonts w:ascii="Arial"/>
          <w:sz w:val="16"/>
        </w:rPr>
      </w:pPr>
      <w:r>
        <w:rPr>
          <w:rFonts w:ascii="Arial"/>
          <w:sz w:val="16"/>
        </w:rPr>
        <w:t>Spring 20</w:t>
      </w:r>
      <w:r w:rsidR="00DB48ED">
        <w:rPr>
          <w:rFonts w:ascii="Arial"/>
          <w:sz w:val="16"/>
        </w:rPr>
        <w:t>2</w:t>
      </w:r>
      <w:r w:rsidR="001A0052">
        <w:rPr>
          <w:rFonts w:ascii="Arial"/>
          <w:sz w:val="16"/>
        </w:rPr>
        <w:t>2</w:t>
      </w:r>
    </w:p>
    <w:p w14:paraId="6AF75C84" w14:textId="77777777" w:rsidR="00FF32E4" w:rsidRDefault="00C7224D">
      <w:pPr>
        <w:spacing w:before="7"/>
        <w:ind w:right="118"/>
        <w:jc w:val="right"/>
        <w:rPr>
          <w:rFonts w:ascii="Arial"/>
          <w:sz w:val="16"/>
        </w:rPr>
      </w:pPr>
      <w:r>
        <w:rPr>
          <w:rFonts w:ascii="Arial"/>
          <w:sz w:val="16"/>
        </w:rPr>
        <w:t>Calfee</w:t>
      </w:r>
    </w:p>
    <w:p w14:paraId="2EA53581" w14:textId="77777777" w:rsidR="00FF32E4" w:rsidRDefault="00FF32E4">
      <w:pPr>
        <w:pStyle w:val="BodyText"/>
        <w:rPr>
          <w:rFonts w:ascii="Arial"/>
          <w:sz w:val="20"/>
        </w:rPr>
      </w:pPr>
    </w:p>
    <w:p w14:paraId="130271F4" w14:textId="77777777" w:rsidR="00FF32E4" w:rsidRDefault="00FF32E4">
      <w:pPr>
        <w:pStyle w:val="BodyText"/>
        <w:rPr>
          <w:rFonts w:ascii="Arial"/>
          <w:sz w:val="20"/>
        </w:rPr>
      </w:pPr>
    </w:p>
    <w:p w14:paraId="5FDA5A2E" w14:textId="77777777" w:rsidR="00FF32E4" w:rsidRDefault="00FF32E4">
      <w:pPr>
        <w:pStyle w:val="BodyText"/>
        <w:rPr>
          <w:rFonts w:ascii="Arial"/>
          <w:sz w:val="20"/>
        </w:rPr>
      </w:pPr>
    </w:p>
    <w:p w14:paraId="56C28DEC" w14:textId="77777777" w:rsidR="00FF32E4" w:rsidRDefault="00FF32E4">
      <w:pPr>
        <w:pStyle w:val="BodyText"/>
        <w:rPr>
          <w:rFonts w:ascii="Arial"/>
          <w:sz w:val="20"/>
        </w:rPr>
      </w:pPr>
    </w:p>
    <w:p w14:paraId="00CB7034" w14:textId="77777777" w:rsidR="00FF32E4" w:rsidRPr="00C7224D" w:rsidRDefault="00FF32E4" w:rsidP="00C7224D">
      <w:pPr>
        <w:pStyle w:val="BodyText"/>
        <w:jc w:val="center"/>
        <w:rPr>
          <w:b/>
          <w:sz w:val="28"/>
          <w:szCs w:val="28"/>
        </w:rPr>
      </w:pPr>
    </w:p>
    <w:p w14:paraId="179C29B9" w14:textId="77777777" w:rsidR="00C7224D" w:rsidRDefault="00C7224D" w:rsidP="00C7224D">
      <w:pPr>
        <w:pStyle w:val="BodyText"/>
        <w:jc w:val="center"/>
        <w:rPr>
          <w:b/>
          <w:sz w:val="28"/>
          <w:szCs w:val="28"/>
        </w:rPr>
      </w:pPr>
      <w:r w:rsidRPr="00C7224D">
        <w:rPr>
          <w:b/>
          <w:sz w:val="28"/>
          <w:szCs w:val="28"/>
        </w:rPr>
        <w:t xml:space="preserve">Income Taxation of Trusts &amp; Estates </w:t>
      </w:r>
    </w:p>
    <w:p w14:paraId="5CF965D7" w14:textId="71BB096C" w:rsidR="00FF32E4" w:rsidRPr="00C7224D" w:rsidRDefault="001A0052" w:rsidP="00C7224D">
      <w:pPr>
        <w:pStyle w:val="BodyText"/>
        <w:jc w:val="center"/>
        <w:rPr>
          <w:b/>
          <w:sz w:val="28"/>
          <w:szCs w:val="28"/>
        </w:rPr>
      </w:pPr>
      <w:r>
        <w:rPr>
          <w:b/>
          <w:sz w:val="28"/>
          <w:szCs w:val="28"/>
        </w:rPr>
        <w:t>LAW 7631</w:t>
      </w:r>
    </w:p>
    <w:p w14:paraId="66C4C0F5" w14:textId="5ADB278B" w:rsidR="00C7224D" w:rsidRPr="00C7224D" w:rsidRDefault="00DB48ED" w:rsidP="00C7224D">
      <w:pPr>
        <w:pStyle w:val="BodyText"/>
        <w:jc w:val="center"/>
        <w:rPr>
          <w:b/>
          <w:sz w:val="28"/>
          <w:szCs w:val="28"/>
        </w:rPr>
      </w:pPr>
      <w:r>
        <w:rPr>
          <w:b/>
          <w:sz w:val="28"/>
          <w:szCs w:val="28"/>
        </w:rPr>
        <w:t>3</w:t>
      </w:r>
      <w:r w:rsidR="00C7224D" w:rsidRPr="00C7224D">
        <w:rPr>
          <w:b/>
          <w:sz w:val="28"/>
          <w:szCs w:val="28"/>
        </w:rPr>
        <w:t xml:space="preserve"> Credit Hours</w:t>
      </w:r>
    </w:p>
    <w:p w14:paraId="252B630D" w14:textId="6EF4346C" w:rsidR="00FF32E4" w:rsidRPr="00C7224D" w:rsidRDefault="00C7224D" w:rsidP="00C7224D">
      <w:pPr>
        <w:pStyle w:val="BodyText"/>
        <w:jc w:val="center"/>
        <w:rPr>
          <w:b/>
          <w:sz w:val="28"/>
          <w:szCs w:val="28"/>
        </w:rPr>
      </w:pPr>
      <w:r w:rsidRPr="00C7224D">
        <w:rPr>
          <w:b/>
          <w:sz w:val="28"/>
          <w:szCs w:val="28"/>
        </w:rPr>
        <w:t>Spring 20</w:t>
      </w:r>
      <w:r w:rsidR="001A0052">
        <w:rPr>
          <w:b/>
          <w:sz w:val="28"/>
          <w:szCs w:val="28"/>
        </w:rPr>
        <w:t>22</w:t>
      </w:r>
    </w:p>
    <w:p w14:paraId="0C83C0B8" w14:textId="77777777" w:rsidR="00FF32E4" w:rsidRDefault="00FF32E4">
      <w:pPr>
        <w:pStyle w:val="BodyText"/>
        <w:spacing w:before="11"/>
        <w:rPr>
          <w:b/>
          <w:sz w:val="26"/>
        </w:rPr>
      </w:pPr>
    </w:p>
    <w:p w14:paraId="358501E6" w14:textId="77777777" w:rsidR="00C7224D" w:rsidRPr="00C7224D" w:rsidRDefault="00C7224D" w:rsidP="00C7224D">
      <w:pPr>
        <w:pStyle w:val="BodyText"/>
      </w:pPr>
      <w:r>
        <w:t xml:space="preserve">   </w:t>
      </w:r>
      <w:r w:rsidRPr="00C7224D">
        <w:t xml:space="preserve">Professor: </w:t>
      </w:r>
      <w:r>
        <w:t xml:space="preserve">     </w:t>
      </w:r>
      <w:r w:rsidRPr="00C7224D">
        <w:t xml:space="preserve">Dennis Calfee </w:t>
      </w:r>
    </w:p>
    <w:p w14:paraId="4AA6B117" w14:textId="4B04BCF9" w:rsidR="00C7224D" w:rsidRDefault="00C7224D" w:rsidP="00C7224D">
      <w:pPr>
        <w:pStyle w:val="BodyText"/>
      </w:pPr>
      <w:r>
        <w:t xml:space="preserve">   </w:t>
      </w:r>
      <w:r w:rsidRPr="00C7224D">
        <w:t xml:space="preserve">Class Time: </w:t>
      </w:r>
      <w:r>
        <w:t xml:space="preserve">  </w:t>
      </w:r>
      <w:r w:rsidR="001A0052">
        <w:t>Tuesday</w:t>
      </w:r>
      <w:r w:rsidR="00DB48ED">
        <w:t xml:space="preserve"> &amp; </w:t>
      </w:r>
      <w:proofErr w:type="gramStart"/>
      <w:r>
        <w:t>Thursday</w:t>
      </w:r>
      <w:r w:rsidR="001A0052">
        <w:t xml:space="preserve">  8:45</w:t>
      </w:r>
      <w:proofErr w:type="gramEnd"/>
      <w:r w:rsidR="00DB48ED">
        <w:t xml:space="preserve"> a.m. to 10:1</w:t>
      </w:r>
      <w:r w:rsidR="001A0052">
        <w:t>0</w:t>
      </w:r>
      <w:r>
        <w:t xml:space="preserve"> a.m.</w:t>
      </w:r>
    </w:p>
    <w:p w14:paraId="77E4A5B4" w14:textId="51FB42B1" w:rsidR="00C7224D" w:rsidRPr="00C7224D" w:rsidRDefault="00C7224D" w:rsidP="00C7224D">
      <w:pPr>
        <w:pStyle w:val="BodyText"/>
      </w:pPr>
      <w:r>
        <w:t xml:space="preserve">   Classroom:     Holland </w:t>
      </w:r>
      <w:r w:rsidR="0017160C">
        <w:t>359</w:t>
      </w:r>
    </w:p>
    <w:p w14:paraId="19B5EF3E" w14:textId="77777777" w:rsidR="00C7224D" w:rsidRDefault="00C7224D" w:rsidP="00C7224D">
      <w:pPr>
        <w:pStyle w:val="BodyText"/>
      </w:pPr>
      <w:r>
        <w:t xml:space="preserve">   </w:t>
      </w:r>
      <w:r w:rsidRPr="00C7224D">
        <w:t>Office:</w:t>
      </w:r>
      <w:r w:rsidRPr="00C7224D">
        <w:tab/>
        <w:t>315</w:t>
      </w:r>
      <w:r w:rsidRPr="00C7224D">
        <w:rPr>
          <w:spacing w:val="-2"/>
        </w:rPr>
        <w:t xml:space="preserve"> </w:t>
      </w:r>
      <w:r w:rsidRPr="00C7224D">
        <w:t>Holland</w:t>
      </w:r>
      <w:r w:rsidRPr="00C7224D">
        <w:rPr>
          <w:spacing w:val="-2"/>
        </w:rPr>
        <w:t xml:space="preserve"> </w:t>
      </w:r>
      <w:r w:rsidRPr="00C7224D">
        <w:t xml:space="preserve">Hall </w:t>
      </w:r>
    </w:p>
    <w:p w14:paraId="73A7D2F2" w14:textId="77777777" w:rsidR="00FF32E4" w:rsidRPr="00C7224D" w:rsidRDefault="00C7224D" w:rsidP="00C7224D">
      <w:pPr>
        <w:pStyle w:val="BodyText"/>
      </w:pPr>
      <w:r>
        <w:t xml:space="preserve">   </w:t>
      </w:r>
      <w:r w:rsidRPr="00C7224D">
        <w:t>Phone:</w:t>
      </w:r>
      <w:r w:rsidRPr="00C7224D">
        <w:tab/>
        <w:t>352-273-0911</w:t>
      </w:r>
    </w:p>
    <w:p w14:paraId="08547B50" w14:textId="77777777" w:rsidR="00FF32E4" w:rsidRPr="00C7224D" w:rsidRDefault="00C7224D" w:rsidP="00C7224D">
      <w:pPr>
        <w:pStyle w:val="BodyText"/>
      </w:pPr>
      <w:r>
        <w:t xml:space="preserve">   </w:t>
      </w:r>
      <w:r w:rsidRPr="00C7224D">
        <w:t>Email:</w:t>
      </w:r>
      <w:r w:rsidRPr="00C7224D">
        <w:tab/>
      </w:r>
      <w:hyperlink r:id="rId5">
        <w:r w:rsidRPr="00C7224D">
          <w:rPr>
            <w:color w:val="0000FF"/>
            <w:u w:val="single" w:color="0000FF"/>
          </w:rPr>
          <w:t>calfee@law.ufl.edu</w:t>
        </w:r>
      </w:hyperlink>
    </w:p>
    <w:p w14:paraId="2C0B6708" w14:textId="77777777" w:rsidR="00FF32E4" w:rsidRPr="00C7224D" w:rsidRDefault="00C7224D" w:rsidP="00C7224D">
      <w:pPr>
        <w:pStyle w:val="BodyText"/>
      </w:pPr>
      <w:r>
        <w:t xml:space="preserve">   </w:t>
      </w:r>
      <w:r w:rsidRPr="00C7224D">
        <w:t>Office Hours: TBD</w:t>
      </w:r>
    </w:p>
    <w:p w14:paraId="4C7C75DF" w14:textId="77777777" w:rsidR="00FF32E4" w:rsidRDefault="00FF32E4">
      <w:pPr>
        <w:pStyle w:val="BodyText"/>
        <w:spacing w:before="9"/>
        <w:rPr>
          <w:sz w:val="24"/>
        </w:rPr>
      </w:pPr>
    </w:p>
    <w:p w14:paraId="5DC2CF4A" w14:textId="77777777" w:rsidR="00FF32E4" w:rsidRDefault="00C7224D">
      <w:pPr>
        <w:pStyle w:val="Heading3"/>
        <w:rPr>
          <w:u w:val="none"/>
        </w:rPr>
      </w:pPr>
      <w:r>
        <w:rPr>
          <w:u w:val="thick"/>
        </w:rPr>
        <w:t>Required Textbooks/Course materials:</w:t>
      </w:r>
    </w:p>
    <w:p w14:paraId="15973D93" w14:textId="77777777" w:rsidR="00FF32E4" w:rsidRDefault="00FF32E4">
      <w:pPr>
        <w:pStyle w:val="BodyText"/>
        <w:spacing w:before="9"/>
        <w:rPr>
          <w:b/>
          <w:sz w:val="13"/>
        </w:rPr>
      </w:pPr>
    </w:p>
    <w:p w14:paraId="6621F542" w14:textId="3A2453CE" w:rsidR="00FF32E4" w:rsidRDefault="00C7224D">
      <w:pPr>
        <w:pStyle w:val="BodyText"/>
        <w:spacing w:before="94" w:line="254" w:lineRule="exact"/>
        <w:ind w:left="820" w:right="150"/>
      </w:pPr>
      <w:r>
        <w:t xml:space="preserve">Course materials for the first day will be available in the </w:t>
      </w:r>
      <w:r w:rsidR="00AF3976">
        <w:t>Faculty Support Suite</w:t>
      </w:r>
      <w:r>
        <w:t xml:space="preserve">, </w:t>
      </w:r>
      <w:r w:rsidR="00AF3976">
        <w:t>room 323</w:t>
      </w:r>
      <w:r>
        <w:t>, on the 3</w:t>
      </w:r>
      <w:proofErr w:type="spellStart"/>
      <w:r w:rsidRPr="00AF3976">
        <w:rPr>
          <w:position w:val="8"/>
          <w:sz w:val="14"/>
          <w:vertAlign w:val="superscript"/>
        </w:rPr>
        <w:t>rd</w:t>
      </w:r>
      <w:proofErr w:type="spellEnd"/>
      <w:r w:rsidR="00AF3976">
        <w:rPr>
          <w:position w:val="8"/>
          <w:sz w:val="14"/>
        </w:rPr>
        <w:t xml:space="preserve"> </w:t>
      </w:r>
      <w:r>
        <w:t>floor of Holland Hall. Thereafter course material will be provided in class by the Professor.</w:t>
      </w:r>
    </w:p>
    <w:p w14:paraId="3FCAE268" w14:textId="77777777" w:rsidR="00FF32E4" w:rsidRDefault="00FF32E4">
      <w:pPr>
        <w:pStyle w:val="BodyText"/>
        <w:spacing w:before="1"/>
        <w:rPr>
          <w:sz w:val="21"/>
        </w:rPr>
      </w:pPr>
    </w:p>
    <w:p w14:paraId="655C8C2A" w14:textId="209C9A54" w:rsidR="00FF32E4" w:rsidRDefault="00C7224D">
      <w:pPr>
        <w:pStyle w:val="BodyText"/>
        <w:ind w:left="820" w:right="296"/>
      </w:pPr>
      <w:r>
        <w:t>Federal Internal Revenue Code Section &amp; Regulations covering Sub Chapter J including related income tax provisions.</w:t>
      </w:r>
      <w:r w:rsidR="00AC321D">
        <w:t xml:space="preserve">  A paper copy of the code and regulations is required.  </w:t>
      </w:r>
    </w:p>
    <w:p w14:paraId="2A7A260A" w14:textId="77777777" w:rsidR="00FF32E4" w:rsidRDefault="00FF32E4">
      <w:pPr>
        <w:pStyle w:val="BodyText"/>
        <w:spacing w:before="7"/>
      </w:pPr>
    </w:p>
    <w:p w14:paraId="2B120DFF" w14:textId="77777777" w:rsidR="00FF32E4" w:rsidRDefault="00C7224D">
      <w:pPr>
        <w:pStyle w:val="Heading3"/>
        <w:rPr>
          <w:u w:val="none"/>
        </w:rPr>
      </w:pPr>
      <w:r>
        <w:rPr>
          <w:u w:val="thick"/>
        </w:rPr>
        <w:t>Course Objective:</w:t>
      </w:r>
    </w:p>
    <w:p w14:paraId="6EAFCA99" w14:textId="77777777" w:rsidR="00FF32E4" w:rsidRDefault="00FF32E4">
      <w:pPr>
        <w:pStyle w:val="BodyText"/>
        <w:spacing w:before="2"/>
        <w:rPr>
          <w:b/>
          <w:sz w:val="13"/>
        </w:rPr>
      </w:pPr>
    </w:p>
    <w:p w14:paraId="68FC3D0D" w14:textId="5762ECD7" w:rsidR="00FF32E4" w:rsidRDefault="00C7224D">
      <w:pPr>
        <w:pStyle w:val="BodyText"/>
        <w:spacing w:before="91"/>
        <w:ind w:left="820"/>
      </w:pPr>
      <w:r>
        <w:t>To learn the Federal Income Tax as it relates to Income Taxation of Estates and Trusts.</w:t>
      </w:r>
    </w:p>
    <w:p w14:paraId="0924DCEF" w14:textId="77777777" w:rsidR="008974B8" w:rsidRDefault="008974B8">
      <w:pPr>
        <w:pStyle w:val="BodyText"/>
        <w:spacing w:before="91"/>
        <w:ind w:left="820"/>
      </w:pPr>
    </w:p>
    <w:p w14:paraId="45ABAF83" w14:textId="7CA8160D" w:rsidR="008974B8" w:rsidRPr="004E1C8D" w:rsidRDefault="008974B8" w:rsidP="008974B8">
      <w:pPr>
        <w:pStyle w:val="BodyText"/>
        <w:kinsoku w:val="0"/>
        <w:overflowPunct w:val="0"/>
        <w:spacing w:before="1" w:line="242" w:lineRule="exact"/>
        <w:ind w:left="206"/>
        <w:rPr>
          <w:b/>
          <w:u w:val="single"/>
        </w:rPr>
      </w:pPr>
      <w:r w:rsidRPr="004E1C8D">
        <w:rPr>
          <w:b/>
          <w:u w:val="single"/>
        </w:rPr>
        <w:t>Learning Outcomes</w:t>
      </w:r>
      <w:r>
        <w:rPr>
          <w:b/>
          <w:u w:val="single"/>
        </w:rPr>
        <w:t>:</w:t>
      </w:r>
    </w:p>
    <w:p w14:paraId="6679074F" w14:textId="77777777" w:rsidR="008974B8" w:rsidRPr="004E1C8D" w:rsidRDefault="008974B8" w:rsidP="008974B8">
      <w:pPr>
        <w:pStyle w:val="BodyText"/>
        <w:kinsoku w:val="0"/>
        <w:overflowPunct w:val="0"/>
        <w:spacing w:line="237" w:lineRule="auto"/>
        <w:ind w:left="431" w:right="2016"/>
      </w:pPr>
      <w:r w:rsidRPr="004E1C8D">
        <w:t xml:space="preserve">Upon completion of the course, students should have an understanding of </w:t>
      </w:r>
      <w:r>
        <w:t>Sub-chapter J of the Internal Revenue Code, the federal income tax provisions dealing with decedent’s estates, trusts and beneficiaries, sufficient to enable them to practice in this area of taxation and pursue advanced courses which rely upon and understanding of these provision of the code. After this course, a student should be able to administer a trust or estate and better understand provisions in wills and trusts.</w:t>
      </w:r>
    </w:p>
    <w:p w14:paraId="4C1A4FEB" w14:textId="77777777" w:rsidR="008974B8" w:rsidRDefault="008974B8" w:rsidP="008974B8">
      <w:pPr>
        <w:pStyle w:val="BodyText"/>
        <w:kinsoku w:val="0"/>
        <w:overflowPunct w:val="0"/>
        <w:rPr>
          <w:sz w:val="26"/>
          <w:szCs w:val="26"/>
        </w:rPr>
      </w:pPr>
    </w:p>
    <w:p w14:paraId="2878CBA1" w14:textId="77777777" w:rsidR="008974B8" w:rsidRPr="008974B8" w:rsidRDefault="008974B8" w:rsidP="008974B8">
      <w:pPr>
        <w:pStyle w:val="Heading2"/>
        <w:kinsoku w:val="0"/>
        <w:overflowPunct w:val="0"/>
        <w:rPr>
          <w:b/>
        </w:rPr>
      </w:pPr>
      <w:r w:rsidRPr="008974B8">
        <w:rPr>
          <w:b/>
          <w:u w:val="single" w:color="000000"/>
        </w:rPr>
        <w:t>Topical Outline of Subjects to be Covered (Tentative):</w:t>
      </w:r>
    </w:p>
    <w:p w14:paraId="74D305D2" w14:textId="77777777" w:rsidR="001A0052" w:rsidRDefault="008974B8" w:rsidP="008974B8">
      <w:pPr>
        <w:pStyle w:val="BodyText"/>
        <w:kinsoku w:val="0"/>
        <w:overflowPunct w:val="0"/>
        <w:spacing w:line="276" w:lineRule="auto"/>
        <w:ind w:left="821" w:right="2070" w:hanging="1"/>
      </w:pPr>
      <w:r>
        <w:t>Uniform Principal and Income</w:t>
      </w:r>
      <w:r w:rsidR="001A0052">
        <w:t xml:space="preserve"> </w:t>
      </w:r>
      <w:r>
        <w:t xml:space="preserve">Act </w:t>
      </w:r>
    </w:p>
    <w:p w14:paraId="5D076C72" w14:textId="06AEA3EA" w:rsidR="008974B8" w:rsidRDefault="008974B8" w:rsidP="008974B8">
      <w:pPr>
        <w:pStyle w:val="BodyText"/>
        <w:kinsoku w:val="0"/>
        <w:overflowPunct w:val="0"/>
        <w:spacing w:line="276" w:lineRule="auto"/>
        <w:ind w:left="821" w:right="2070" w:hanging="1"/>
      </w:pPr>
      <w:r>
        <w:t>Simple Trusts</w:t>
      </w:r>
    </w:p>
    <w:p w14:paraId="529FA225" w14:textId="77777777" w:rsidR="001A0052" w:rsidRDefault="008974B8" w:rsidP="008974B8">
      <w:pPr>
        <w:pStyle w:val="BodyText"/>
        <w:kinsoku w:val="0"/>
        <w:overflowPunct w:val="0"/>
        <w:spacing w:line="276" w:lineRule="auto"/>
        <w:ind w:left="821" w:right="2070" w:firstLine="619"/>
      </w:pPr>
      <w:r>
        <w:t xml:space="preserve">What is a “Simple” Trust? The Simple Trust Fact Pattern </w:t>
      </w:r>
    </w:p>
    <w:p w14:paraId="00D844BC" w14:textId="77C3C688" w:rsidR="008974B8" w:rsidRDefault="001A0052" w:rsidP="001A0052">
      <w:pPr>
        <w:pStyle w:val="BodyText"/>
        <w:kinsoku w:val="0"/>
        <w:overflowPunct w:val="0"/>
        <w:spacing w:line="276" w:lineRule="auto"/>
        <w:ind w:right="2070"/>
      </w:pPr>
      <w:r>
        <w:t xml:space="preserve">               </w:t>
      </w:r>
      <w:r w:rsidR="008974B8">
        <w:t>Complex</w:t>
      </w:r>
      <w:r>
        <w:t xml:space="preserve"> </w:t>
      </w:r>
      <w:r w:rsidR="008974B8">
        <w:t>Trusts</w:t>
      </w:r>
    </w:p>
    <w:p w14:paraId="03D18251" w14:textId="77777777" w:rsidR="008974B8" w:rsidRDefault="008974B8" w:rsidP="008974B8">
      <w:pPr>
        <w:pStyle w:val="BodyText"/>
        <w:kinsoku w:val="0"/>
        <w:overflowPunct w:val="0"/>
        <w:spacing w:line="276" w:lineRule="auto"/>
        <w:ind w:left="821" w:right="2070" w:firstLine="619"/>
      </w:pPr>
      <w:r>
        <w:t>Single Beneficiary Questions</w:t>
      </w:r>
    </w:p>
    <w:p w14:paraId="178122BD" w14:textId="34F90AAF" w:rsidR="008974B8" w:rsidRDefault="001A0052" w:rsidP="008974B8">
      <w:pPr>
        <w:pStyle w:val="BodyText"/>
        <w:kinsoku w:val="0"/>
        <w:overflowPunct w:val="0"/>
        <w:spacing w:line="276" w:lineRule="auto"/>
        <w:ind w:left="821" w:right="2070" w:firstLine="619"/>
      </w:pPr>
      <w:r>
        <w:t>Multiple Beneficiaries i</w:t>
      </w:r>
      <w:r w:rsidR="008974B8">
        <w:t>n General</w:t>
      </w:r>
    </w:p>
    <w:p w14:paraId="501E6C4E" w14:textId="77777777" w:rsidR="008974B8" w:rsidRDefault="008974B8" w:rsidP="008974B8">
      <w:pPr>
        <w:pStyle w:val="BodyText"/>
        <w:kinsoku w:val="0"/>
        <w:overflowPunct w:val="0"/>
        <w:spacing w:line="276" w:lineRule="auto"/>
        <w:ind w:left="821" w:right="2070" w:firstLine="619"/>
      </w:pPr>
      <w:r>
        <w:t>The Annuity Provisions</w:t>
      </w:r>
    </w:p>
    <w:p w14:paraId="3A2DDD62" w14:textId="77777777" w:rsidR="008974B8" w:rsidRDefault="008974B8" w:rsidP="008974B8">
      <w:pPr>
        <w:pStyle w:val="BodyText"/>
        <w:kinsoku w:val="0"/>
        <w:overflowPunct w:val="0"/>
        <w:spacing w:line="276" w:lineRule="auto"/>
        <w:ind w:left="821" w:right="2070" w:firstLine="619"/>
      </w:pPr>
      <w:r>
        <w:t>The Separate Share Rules</w:t>
      </w:r>
    </w:p>
    <w:p w14:paraId="0C92DDFC" w14:textId="77777777" w:rsidR="008974B8" w:rsidRDefault="008974B8" w:rsidP="008974B8">
      <w:pPr>
        <w:pStyle w:val="BodyText"/>
        <w:kinsoku w:val="0"/>
        <w:overflowPunct w:val="0"/>
        <w:spacing w:line="276" w:lineRule="auto"/>
        <w:ind w:left="821" w:right="2070" w:hanging="1"/>
      </w:pPr>
      <w:r>
        <w:t>Charitable Deduction</w:t>
      </w:r>
    </w:p>
    <w:p w14:paraId="795AB6CE" w14:textId="77777777" w:rsidR="008974B8" w:rsidRDefault="008974B8" w:rsidP="008974B8">
      <w:pPr>
        <w:pStyle w:val="BodyText"/>
        <w:kinsoku w:val="0"/>
        <w:overflowPunct w:val="0"/>
        <w:spacing w:line="276" w:lineRule="auto"/>
        <w:ind w:left="821" w:right="2070" w:hanging="1"/>
      </w:pPr>
      <w:r>
        <w:t>Specific Gifts, Bequests, Devises and Inheritance</w:t>
      </w:r>
    </w:p>
    <w:p w14:paraId="2823E7C3" w14:textId="77777777" w:rsidR="008974B8" w:rsidRDefault="008974B8" w:rsidP="008974B8">
      <w:pPr>
        <w:pStyle w:val="BodyText"/>
        <w:kinsoku w:val="0"/>
        <w:overflowPunct w:val="0"/>
        <w:spacing w:line="276" w:lineRule="auto"/>
        <w:ind w:left="821" w:right="2070" w:hanging="1"/>
      </w:pPr>
      <w:r>
        <w:t>Distributions in Kind</w:t>
      </w:r>
    </w:p>
    <w:p w14:paraId="047EDF1D" w14:textId="77777777" w:rsidR="008974B8" w:rsidRDefault="008974B8" w:rsidP="008974B8">
      <w:pPr>
        <w:pStyle w:val="BodyText"/>
        <w:kinsoku w:val="0"/>
        <w:overflowPunct w:val="0"/>
        <w:spacing w:line="276" w:lineRule="auto"/>
        <w:ind w:left="821" w:right="2070" w:hanging="1"/>
      </w:pPr>
      <w:r>
        <w:tab/>
      </w:r>
      <w:r>
        <w:tab/>
        <w:t>Distributions and Transfers of Property in Kind</w:t>
      </w:r>
    </w:p>
    <w:p w14:paraId="124202A7" w14:textId="77777777" w:rsidR="008974B8" w:rsidRDefault="008974B8" w:rsidP="008974B8">
      <w:pPr>
        <w:pStyle w:val="BodyText"/>
        <w:kinsoku w:val="0"/>
        <w:overflowPunct w:val="0"/>
        <w:spacing w:line="276" w:lineRule="auto"/>
        <w:ind w:left="821" w:right="2070" w:hanging="1"/>
      </w:pPr>
      <w:r>
        <w:tab/>
      </w:r>
      <w:r>
        <w:tab/>
        <w:t xml:space="preserve">Section 663 and </w:t>
      </w:r>
      <w:r>
        <w:rPr>
          <w:u w:val="single"/>
        </w:rPr>
        <w:t>Kenan</w:t>
      </w:r>
      <w:r>
        <w:t xml:space="preserve"> Considerations</w:t>
      </w:r>
    </w:p>
    <w:p w14:paraId="16FB9266" w14:textId="77777777" w:rsidR="00CA5D88" w:rsidRDefault="00CA5D88" w:rsidP="008974B8">
      <w:pPr>
        <w:pStyle w:val="BodyText"/>
        <w:kinsoku w:val="0"/>
        <w:overflowPunct w:val="0"/>
        <w:spacing w:line="276" w:lineRule="auto"/>
        <w:ind w:left="821" w:right="2070" w:hanging="1"/>
      </w:pPr>
    </w:p>
    <w:p w14:paraId="510055B2" w14:textId="23306434" w:rsidR="00CA5D88" w:rsidRDefault="00CA5D88" w:rsidP="008974B8">
      <w:pPr>
        <w:pStyle w:val="BodyText"/>
        <w:kinsoku w:val="0"/>
        <w:overflowPunct w:val="0"/>
        <w:spacing w:line="276" w:lineRule="auto"/>
        <w:ind w:left="821" w:right="2070" w:hanging="1"/>
      </w:pPr>
    </w:p>
    <w:p w14:paraId="1280E0AE" w14:textId="77777777" w:rsidR="00CA5D88" w:rsidRDefault="00CA5D88" w:rsidP="008974B8">
      <w:pPr>
        <w:pStyle w:val="BodyText"/>
        <w:kinsoku w:val="0"/>
        <w:overflowPunct w:val="0"/>
        <w:spacing w:line="276" w:lineRule="auto"/>
        <w:ind w:left="821" w:right="2070" w:hanging="1"/>
      </w:pPr>
    </w:p>
    <w:p w14:paraId="1C772E1A" w14:textId="77777777" w:rsidR="00CA5D88" w:rsidRDefault="00CA5D88" w:rsidP="008974B8">
      <w:pPr>
        <w:pStyle w:val="BodyText"/>
        <w:kinsoku w:val="0"/>
        <w:overflowPunct w:val="0"/>
        <w:spacing w:line="276" w:lineRule="auto"/>
        <w:ind w:left="821" w:right="2070" w:hanging="1"/>
      </w:pPr>
    </w:p>
    <w:p w14:paraId="096C6D1B" w14:textId="14E47C09" w:rsidR="008974B8" w:rsidRDefault="008974B8" w:rsidP="008974B8">
      <w:pPr>
        <w:pStyle w:val="BodyText"/>
        <w:kinsoku w:val="0"/>
        <w:overflowPunct w:val="0"/>
        <w:spacing w:line="276" w:lineRule="auto"/>
        <w:ind w:left="821" w:right="2070" w:hanging="1"/>
      </w:pPr>
      <w:r>
        <w:t>Estate and Trust Termination</w:t>
      </w:r>
    </w:p>
    <w:p w14:paraId="1FA24D46" w14:textId="77777777" w:rsidR="008974B8" w:rsidRDefault="008974B8" w:rsidP="008974B8">
      <w:pPr>
        <w:pStyle w:val="BodyText"/>
        <w:kinsoku w:val="0"/>
        <w:overflowPunct w:val="0"/>
        <w:spacing w:line="276" w:lineRule="auto"/>
        <w:ind w:left="821" w:right="2070" w:hanging="1"/>
      </w:pPr>
      <w:r>
        <w:t>Income and Deductions in Respect of a Decedent</w:t>
      </w:r>
    </w:p>
    <w:p w14:paraId="307B2D34" w14:textId="77777777" w:rsidR="008974B8" w:rsidRDefault="008974B8" w:rsidP="008974B8">
      <w:pPr>
        <w:pStyle w:val="BodyText"/>
        <w:kinsoku w:val="0"/>
        <w:overflowPunct w:val="0"/>
        <w:spacing w:line="276" w:lineRule="auto"/>
        <w:ind w:left="821" w:right="2070" w:hanging="1"/>
      </w:pPr>
      <w:r>
        <w:t>Grantor Trust Rules</w:t>
      </w:r>
    </w:p>
    <w:p w14:paraId="7A989CA7" w14:textId="07104EE9" w:rsidR="008974B8" w:rsidRDefault="008974B8" w:rsidP="008974B8">
      <w:pPr>
        <w:pStyle w:val="BodyText"/>
        <w:kinsoku w:val="0"/>
        <w:overflowPunct w:val="0"/>
        <w:spacing w:line="276" w:lineRule="auto"/>
        <w:ind w:left="821" w:right="2070" w:hanging="1"/>
      </w:pPr>
      <w:r>
        <w:t xml:space="preserve">           Grantor’s Benefit Indirect</w:t>
      </w:r>
    </w:p>
    <w:p w14:paraId="557CCC30" w14:textId="77777777" w:rsidR="008974B8" w:rsidRDefault="008974B8" w:rsidP="008974B8">
      <w:pPr>
        <w:pStyle w:val="BodyText"/>
        <w:kinsoku w:val="0"/>
        <w:overflowPunct w:val="0"/>
        <w:spacing w:line="276" w:lineRule="auto"/>
        <w:ind w:left="821" w:right="2070" w:hanging="1"/>
      </w:pPr>
      <w:r>
        <w:tab/>
      </w:r>
      <w:r>
        <w:tab/>
        <w:t xml:space="preserve">Grantor Benefit </w:t>
      </w:r>
    </w:p>
    <w:p w14:paraId="6F7BF456" w14:textId="429CE0E2" w:rsidR="008974B8" w:rsidRDefault="008974B8" w:rsidP="008974B8">
      <w:pPr>
        <w:pStyle w:val="BodyText"/>
        <w:kinsoku w:val="0"/>
        <w:overflowPunct w:val="0"/>
        <w:spacing w:line="276" w:lineRule="auto"/>
        <w:ind w:left="821" w:right="2070" w:hanging="1"/>
      </w:pPr>
      <w:r>
        <w:t xml:space="preserve">           Third Party’s Benefit</w:t>
      </w:r>
    </w:p>
    <w:p w14:paraId="2D2926CA" w14:textId="77777777" w:rsidR="003E7626" w:rsidRDefault="003E7626" w:rsidP="003E7626">
      <w:pPr>
        <w:pStyle w:val="BodyText"/>
        <w:spacing w:before="2"/>
        <w:ind w:left="1080"/>
      </w:pPr>
    </w:p>
    <w:p w14:paraId="1EC1DBFE" w14:textId="77777777" w:rsidR="00FF32E4" w:rsidRDefault="00C7224D">
      <w:pPr>
        <w:pStyle w:val="Heading3"/>
        <w:spacing w:before="1"/>
        <w:rPr>
          <w:u w:val="none"/>
        </w:rPr>
      </w:pPr>
      <w:r>
        <w:rPr>
          <w:u w:val="thick"/>
        </w:rPr>
        <w:t>Grading Policy</w:t>
      </w:r>
    </w:p>
    <w:p w14:paraId="0E215321" w14:textId="77777777" w:rsidR="00FF32E4" w:rsidRDefault="00FF32E4">
      <w:pPr>
        <w:pStyle w:val="BodyText"/>
        <w:spacing w:before="3"/>
        <w:rPr>
          <w:b/>
          <w:sz w:val="13"/>
        </w:rPr>
      </w:pPr>
    </w:p>
    <w:p w14:paraId="2F7EC0C7" w14:textId="0D02E9AC" w:rsidR="00FF32E4" w:rsidRDefault="007177D8">
      <w:pPr>
        <w:pStyle w:val="BodyText"/>
        <w:spacing w:before="91"/>
        <w:ind w:left="820"/>
      </w:pPr>
      <w:r>
        <w:t>One three (3) hour</w:t>
      </w:r>
      <w:r w:rsidR="00C7224D">
        <w:t xml:space="preserve"> examination.</w:t>
      </w:r>
    </w:p>
    <w:p w14:paraId="21E2529D" w14:textId="77777777" w:rsidR="00297279" w:rsidRDefault="00297279" w:rsidP="00297279">
      <w:pPr>
        <w:pStyle w:val="BodyText"/>
        <w:spacing w:before="92"/>
        <w:ind w:left="820"/>
      </w:pPr>
      <w:r>
        <w:rPr>
          <w:sz w:val="24"/>
          <w:szCs w:val="24"/>
        </w:rPr>
        <w:t>T</w:t>
      </w:r>
      <w:r w:rsidRPr="002603F7">
        <w:rPr>
          <w:sz w:val="24"/>
          <w:szCs w:val="24"/>
        </w:rPr>
        <w:t xml:space="preserve">his course follows the Levin College of Law’s grading policies found </w:t>
      </w:r>
      <w:hyperlink r:id="rId6" w:history="1">
        <w:r w:rsidRPr="002603F7">
          <w:rPr>
            <w:rStyle w:val="Hyperlink"/>
            <w:sz w:val="24"/>
            <w:szCs w:val="24"/>
          </w:rPr>
          <w:t>here</w:t>
        </w:r>
      </w:hyperlink>
      <w:r w:rsidRPr="002603F7">
        <w:rPr>
          <w:sz w:val="24"/>
          <w:szCs w:val="24"/>
        </w:rPr>
        <w:t>.</w:t>
      </w:r>
      <w:r>
        <w:rPr>
          <w:sz w:val="24"/>
          <w:szCs w:val="24"/>
        </w:rPr>
        <w:t xml:space="preserve"> </w:t>
      </w:r>
      <w:r w:rsidRPr="002603F7">
        <w:rPr>
          <w:sz w:val="24"/>
          <w:szCs w:val="24"/>
        </w:rPr>
        <w:t xml:space="preserve">The law school policy on exam delays and accommodations can be found </w:t>
      </w:r>
      <w:hyperlink r:id="rId7" w:history="1">
        <w:r w:rsidRPr="002603F7">
          <w:rPr>
            <w:rStyle w:val="Hyperlink"/>
            <w:sz w:val="24"/>
            <w:szCs w:val="24"/>
          </w:rPr>
          <w:t>here</w:t>
        </w:r>
      </w:hyperlink>
      <w:r w:rsidRPr="002603F7">
        <w:rPr>
          <w:sz w:val="24"/>
          <w:szCs w:val="24"/>
        </w:rPr>
        <w:t>.</w:t>
      </w:r>
    </w:p>
    <w:p w14:paraId="02881646" w14:textId="77777777" w:rsidR="00297279" w:rsidRDefault="00297279" w:rsidP="00297279">
      <w:pPr>
        <w:pStyle w:val="BodyText"/>
      </w:pPr>
    </w:p>
    <w:p w14:paraId="6AF8524A" w14:textId="77777777" w:rsidR="00C7224D" w:rsidRDefault="00C7224D" w:rsidP="00AF085F">
      <w:pPr>
        <w:pStyle w:val="BodyText"/>
      </w:pPr>
    </w:p>
    <w:p w14:paraId="047C7134" w14:textId="77777777" w:rsidR="003E7626" w:rsidRDefault="003E7626" w:rsidP="00C7224D">
      <w:pPr>
        <w:pStyle w:val="BodyText"/>
        <w:rPr>
          <w:b/>
          <w:u w:val="single"/>
        </w:rPr>
      </w:pPr>
    </w:p>
    <w:p w14:paraId="350F7A82" w14:textId="77777777" w:rsidR="00AF085F" w:rsidRDefault="00AF085F" w:rsidP="00C7224D">
      <w:pPr>
        <w:pStyle w:val="BodyText"/>
        <w:rPr>
          <w:b/>
          <w:u w:val="single"/>
        </w:rPr>
      </w:pPr>
      <w:r>
        <w:rPr>
          <w:b/>
          <w:u w:val="single"/>
        </w:rPr>
        <w:t>Workload/Class Preparation:</w:t>
      </w:r>
    </w:p>
    <w:p w14:paraId="2DDBA3EC" w14:textId="77777777" w:rsidR="00D56A5F" w:rsidRPr="00D56A5F" w:rsidRDefault="00D56A5F" w:rsidP="00C7224D">
      <w:pPr>
        <w:pStyle w:val="BodyText"/>
      </w:pPr>
      <w:r>
        <w:tab/>
        <w:t xml:space="preserve">ABA Standard 310 requires that students devote 120 minutes to out-of-class preparation for every </w:t>
      </w:r>
      <w:r>
        <w:tab/>
        <w:t xml:space="preserve">“classroom hour” of in-class instruction. (Course) has 3 “classroom hours” of in-class instruction </w:t>
      </w:r>
      <w:r>
        <w:tab/>
        <w:t xml:space="preserve">each week, requiring at least 6 hours of preparation outside of class. Accordingly, you will have </w:t>
      </w:r>
      <w:r>
        <w:tab/>
        <w:t xml:space="preserve">about 60 pages of reading each week. Because the course includes statutory and regulatory excerpts </w:t>
      </w:r>
      <w:r>
        <w:tab/>
        <w:t xml:space="preserve">that require careful reading, as well as discussion problems that require thoughtful advance written </w:t>
      </w:r>
      <w:r>
        <w:tab/>
        <w:t>preparation, you should spend at least one hour on every 10-15 pages of reading.</w:t>
      </w:r>
    </w:p>
    <w:p w14:paraId="5E2C4E47" w14:textId="77777777" w:rsidR="00AF085F" w:rsidRDefault="00AF085F" w:rsidP="00C7224D">
      <w:pPr>
        <w:pStyle w:val="BodyText"/>
        <w:rPr>
          <w:b/>
          <w:u w:val="single"/>
        </w:rPr>
      </w:pPr>
    </w:p>
    <w:p w14:paraId="64C3E6D0" w14:textId="77777777" w:rsidR="00C7224D" w:rsidRPr="00C7224D" w:rsidRDefault="00C7224D" w:rsidP="00C7224D">
      <w:pPr>
        <w:pStyle w:val="BodyText"/>
        <w:rPr>
          <w:b/>
          <w:u w:val="single"/>
        </w:rPr>
      </w:pPr>
      <w:r w:rsidRPr="00C7224D">
        <w:rPr>
          <w:b/>
          <w:noProof/>
          <w:u w:val="single"/>
        </w:rPr>
        <mc:AlternateContent>
          <mc:Choice Requires="wps">
            <w:drawing>
              <wp:anchor distT="0" distB="0" distL="114300" distR="114300" simplePos="0" relativeHeight="251657728" behindDoc="1" locked="0" layoutInCell="1" allowOverlap="1" wp14:anchorId="2C5EB956" wp14:editId="48F8E51E">
                <wp:simplePos x="0" y="0"/>
                <wp:positionH relativeFrom="page">
                  <wp:posOffset>2344420</wp:posOffset>
                </wp:positionH>
                <wp:positionV relativeFrom="paragraph">
                  <wp:posOffset>155575</wp:posOffset>
                </wp:positionV>
                <wp:extent cx="35560" cy="0"/>
                <wp:effectExtent l="10795" t="11430" r="1079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9C43"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6pt,12.25pt" to="18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wLGwIAAEAEAAAOAAAAZHJzL2Uyb0RvYy54bWysU8GO2jAQvVfqP1i5QxI2U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" strokeweight="1.02pt">
                <w10:wrap anchorx="page"/>
              </v:line>
            </w:pict>
          </mc:Fallback>
        </mc:AlternateContent>
      </w:r>
      <w:r w:rsidRPr="00C7224D">
        <w:rPr>
          <w:b/>
          <w:u w:val="single"/>
        </w:rPr>
        <w:t xml:space="preserve">Class Attendance Policy: </w:t>
      </w:r>
    </w:p>
    <w:p w14:paraId="6883E340" w14:textId="77777777" w:rsidR="00297279" w:rsidRDefault="00C7224D" w:rsidP="00297279">
      <w:pPr>
        <w:pStyle w:val="BodyText"/>
      </w:pPr>
      <w:r>
        <w:t xml:space="preserve">              </w:t>
      </w:r>
      <w:r w:rsidR="00297279">
        <w:t xml:space="preserve">Class attendance is required. </w:t>
      </w:r>
      <w:r w:rsidR="00297279" w:rsidRPr="002603F7">
        <w:rPr>
          <w:sz w:val="24"/>
          <w:szCs w:val="24"/>
        </w:rPr>
        <w:t xml:space="preserve">The law school's policy on attendance can be found </w:t>
      </w:r>
      <w:hyperlink r:id="rId8" w:anchor=":~:text=co%2Dcurricular%20activities.-,Attendance,regular%20and%20punctual%20class%20attendance.&amp;text=UF%20Law%20policy%20permits%20dismissal,of%2012%20credits%20per%20semester." w:history="1">
        <w:r w:rsidR="00297279" w:rsidRPr="002603F7">
          <w:rPr>
            <w:rStyle w:val="Hyperlink"/>
            <w:sz w:val="24"/>
            <w:szCs w:val="24"/>
          </w:rPr>
          <w:t>here</w:t>
        </w:r>
      </w:hyperlink>
      <w:r w:rsidR="00297279" w:rsidRPr="002603F7">
        <w:rPr>
          <w:sz w:val="24"/>
          <w:szCs w:val="24"/>
        </w:rPr>
        <w:t>.</w:t>
      </w:r>
    </w:p>
    <w:p w14:paraId="5D1C3514" w14:textId="26B1FFC5" w:rsidR="00FF32E4" w:rsidRDefault="00FF32E4" w:rsidP="00297279">
      <w:pPr>
        <w:pStyle w:val="BodyText"/>
        <w:rPr>
          <w:sz w:val="13"/>
        </w:rPr>
      </w:pPr>
    </w:p>
    <w:p w14:paraId="1E2D21AD" w14:textId="77777777" w:rsidR="00FF32E4" w:rsidRPr="00C7224D" w:rsidRDefault="00FF32E4">
      <w:pPr>
        <w:pStyle w:val="BodyText"/>
        <w:spacing w:before="9"/>
        <w:rPr>
          <w:b/>
          <w:sz w:val="13"/>
          <w:u w:val="single"/>
        </w:rPr>
      </w:pPr>
    </w:p>
    <w:p w14:paraId="4471A26B" w14:textId="77777777" w:rsidR="00300CBB" w:rsidRDefault="00300CBB" w:rsidP="00C7224D">
      <w:pPr>
        <w:pStyle w:val="BodyText"/>
        <w:rPr>
          <w:b/>
          <w:u w:val="single"/>
        </w:rPr>
      </w:pPr>
    </w:p>
    <w:p w14:paraId="5670C207" w14:textId="77777777" w:rsidR="00FF32E4" w:rsidRPr="00D20D2B" w:rsidRDefault="00C7224D" w:rsidP="00D20D2B">
      <w:pPr>
        <w:pStyle w:val="BodyText"/>
        <w:rPr>
          <w:rFonts w:ascii="Arial"/>
          <w:b/>
          <w:sz w:val="16"/>
          <w:u w:val="single"/>
        </w:rPr>
      </w:pPr>
      <w:r w:rsidRPr="00D20D2B">
        <w:rPr>
          <w:b/>
          <w:u w:val="single"/>
        </w:rPr>
        <w:t>Accommodations for students with disabilities:</w:t>
      </w:r>
    </w:p>
    <w:p w14:paraId="3ED07A9B" w14:textId="77777777" w:rsidR="00FF32E4" w:rsidRDefault="00C7224D">
      <w:pPr>
        <w:pStyle w:val="BodyText"/>
        <w:spacing w:before="1"/>
        <w:ind w:left="1540" w:right="518"/>
      </w:pPr>
      <w:r>
        <w:t xml:space="preserve">Students with disabilities requesting accommodations should first register with the Disability Resource Center (352-392-8565, </w:t>
      </w:r>
      <w:hyperlink r:id="rId9">
        <w:r>
          <w:rPr>
            <w:color w:val="0000FF"/>
            <w:u w:val="single" w:color="0000FF"/>
          </w:rPr>
          <w:t>www.dso.ufl.edu/drc</w:t>
        </w:r>
        <w:r>
          <w:t>)</w:t>
        </w:r>
      </w:hyperlink>
      <w:r>
        <w:t xml:space="preserve"> by providing appropriate documentation. Once registered, students will receive an accommodation letter which must be presented to the instructor when requesting accommodations.</w:t>
      </w:r>
    </w:p>
    <w:p w14:paraId="5EFC7402" w14:textId="77777777" w:rsidR="00FF32E4" w:rsidRDefault="00C7224D">
      <w:pPr>
        <w:pStyle w:val="BodyText"/>
        <w:spacing w:before="1"/>
        <w:ind w:left="1540" w:right="932"/>
      </w:pPr>
      <w:r>
        <w:t>Students with disabilities should follow this procedure as early as possible in the semester.</w:t>
      </w:r>
    </w:p>
    <w:p w14:paraId="15FB598E" w14:textId="77777777" w:rsidR="00C7224D" w:rsidRDefault="00C7224D">
      <w:pPr>
        <w:pStyle w:val="BodyText"/>
        <w:spacing w:before="1"/>
        <w:ind w:left="1540" w:right="932"/>
      </w:pPr>
    </w:p>
    <w:p w14:paraId="66A7547B" w14:textId="77777777" w:rsidR="00C7224D" w:rsidRDefault="00C7224D">
      <w:pPr>
        <w:pStyle w:val="BodyText"/>
        <w:spacing w:before="1"/>
        <w:ind w:left="1540" w:right="932"/>
      </w:pPr>
    </w:p>
    <w:p w14:paraId="3C60DFDB" w14:textId="77777777" w:rsidR="00C7224D" w:rsidRPr="002B12C9" w:rsidRDefault="00C7224D" w:rsidP="00C7224D">
      <w:pPr>
        <w:spacing w:before="120"/>
        <w:rPr>
          <w:rFonts w:eastAsia="Calibri"/>
        </w:rPr>
      </w:pPr>
      <w:r w:rsidRPr="002B12C9">
        <w:rPr>
          <w:rStyle w:val="Heading3Char"/>
        </w:rPr>
        <w:t>University Policy on Academic Misconduct:</w:t>
      </w:r>
      <w:r w:rsidRPr="002B12C9">
        <w:rPr>
          <w:rFonts w:eastAsia="Calibri"/>
        </w:rPr>
        <w:t xml:space="preserve">  </w:t>
      </w:r>
    </w:p>
    <w:p w14:paraId="6B78A0FC" w14:textId="77777777" w:rsidR="00C7224D" w:rsidRPr="002B12C9" w:rsidRDefault="00C7224D" w:rsidP="00C7224D">
      <w:pPr>
        <w:spacing w:before="120"/>
      </w:pPr>
      <w:r w:rsidRPr="002B12C9">
        <w:rPr>
          <w:rFonts w:eastAsia="Calibri"/>
        </w:rPr>
        <w:tab/>
      </w:r>
      <w:r w:rsidRPr="002B12C9">
        <w:rPr>
          <w:rFonts w:eastAsia="Calibri"/>
        </w:rPr>
        <w:tab/>
        <w:t>A</w:t>
      </w:r>
      <w:r w:rsidRPr="002B12C9">
        <w:t xml:space="preserve">cademic honesty and integrity are fundamental values of the University community. </w:t>
      </w:r>
      <w:r w:rsidRPr="002B12C9">
        <w:tab/>
      </w:r>
      <w:r w:rsidRPr="002B12C9">
        <w:tab/>
      </w:r>
      <w:r w:rsidRPr="002B12C9">
        <w:tab/>
        <w:t xml:space="preserve">Students should be sure that they understand the UF Student Honor Code at </w:t>
      </w:r>
      <w:r w:rsidRPr="002B12C9">
        <w:tab/>
      </w:r>
      <w:r w:rsidRPr="002B12C9">
        <w:tab/>
      </w:r>
      <w:r w:rsidRPr="002B12C9">
        <w:tab/>
      </w:r>
      <w:r w:rsidRPr="002B12C9">
        <w:tab/>
      </w:r>
      <w:hyperlink r:id="rId10" w:history="1">
        <w:r w:rsidRPr="002B12C9">
          <w:rPr>
            <w:rStyle w:val="Hyperlink"/>
          </w:rPr>
          <w:t>http</w:t>
        </w:r>
      </w:hyperlink>
      <w:hyperlink r:id="rId11" w:history="1">
        <w:r w:rsidRPr="002B12C9">
          <w:rPr>
            <w:rStyle w:val="Hyperlink"/>
          </w:rPr>
          <w:t>://</w:t>
        </w:r>
      </w:hyperlink>
      <w:hyperlink r:id="rId12" w:history="1">
        <w:r w:rsidRPr="002B12C9">
          <w:rPr>
            <w:rStyle w:val="Hyperlink"/>
          </w:rPr>
          <w:t>www</w:t>
        </w:r>
      </w:hyperlink>
      <w:hyperlink r:id="rId13" w:history="1">
        <w:r w:rsidRPr="002B12C9">
          <w:rPr>
            <w:rStyle w:val="Hyperlink"/>
          </w:rPr>
          <w:t>.</w:t>
        </w:r>
      </w:hyperlink>
      <w:hyperlink r:id="rId14" w:history="1">
        <w:r w:rsidRPr="002B12C9">
          <w:rPr>
            <w:rStyle w:val="Hyperlink"/>
          </w:rPr>
          <w:t>dso</w:t>
        </w:r>
      </w:hyperlink>
      <w:hyperlink r:id="rId15" w:history="1">
        <w:r w:rsidRPr="002B12C9">
          <w:rPr>
            <w:rStyle w:val="Hyperlink"/>
          </w:rPr>
          <w:t>.</w:t>
        </w:r>
      </w:hyperlink>
      <w:hyperlink r:id="rId16" w:history="1">
        <w:r w:rsidRPr="002B12C9">
          <w:rPr>
            <w:rStyle w:val="Hyperlink"/>
          </w:rPr>
          <w:t>ufl</w:t>
        </w:r>
      </w:hyperlink>
      <w:hyperlink r:id="rId17" w:history="1">
        <w:r w:rsidRPr="002B12C9">
          <w:rPr>
            <w:rStyle w:val="Hyperlink"/>
          </w:rPr>
          <w:t>.</w:t>
        </w:r>
      </w:hyperlink>
      <w:hyperlink r:id="rId18" w:history="1">
        <w:r w:rsidRPr="002B12C9">
          <w:rPr>
            <w:rStyle w:val="Hyperlink"/>
          </w:rPr>
          <w:t>edu</w:t>
        </w:r>
      </w:hyperlink>
      <w:hyperlink r:id="rId19" w:history="1">
        <w:r w:rsidRPr="002B12C9">
          <w:rPr>
            <w:rStyle w:val="Hyperlink"/>
          </w:rPr>
          <w:t>/</w:t>
        </w:r>
      </w:hyperlink>
      <w:hyperlink r:id="rId20" w:history="1">
        <w:r w:rsidRPr="002B12C9">
          <w:rPr>
            <w:rStyle w:val="Hyperlink"/>
          </w:rPr>
          <w:t>students</w:t>
        </w:r>
      </w:hyperlink>
      <w:hyperlink r:id="rId21" w:history="1">
        <w:r w:rsidRPr="002B12C9">
          <w:rPr>
            <w:rStyle w:val="Hyperlink"/>
          </w:rPr>
          <w:t>.</w:t>
        </w:r>
      </w:hyperlink>
      <w:hyperlink r:id="rId22" w:history="1">
        <w:r w:rsidRPr="002B12C9">
          <w:rPr>
            <w:rStyle w:val="Hyperlink"/>
          </w:rPr>
          <w:t>php</w:t>
        </w:r>
      </w:hyperlink>
      <w:r w:rsidRPr="002B12C9">
        <w:t>.</w:t>
      </w:r>
    </w:p>
    <w:p w14:paraId="0DC4C7E1" w14:textId="77777777" w:rsidR="00C7224D" w:rsidRPr="002B12C9" w:rsidRDefault="00C7224D" w:rsidP="00C7224D">
      <w:pPr>
        <w:spacing w:before="120"/>
        <w:rPr>
          <w:rFonts w:eastAsia="Calibri"/>
        </w:rPr>
      </w:pPr>
      <w:r w:rsidRPr="002B12C9">
        <w:rPr>
          <w:rStyle w:val="Heading3Char"/>
        </w:rPr>
        <w:t>Netiquette: Communication Courtesy:</w:t>
      </w:r>
      <w:r w:rsidRPr="002B12C9">
        <w:rPr>
          <w:rFonts w:eastAsia="Calibri"/>
        </w:rPr>
        <w:t xml:space="preserve"> </w:t>
      </w:r>
    </w:p>
    <w:p w14:paraId="5134BE9B" w14:textId="25870178" w:rsidR="00C7224D" w:rsidRDefault="00C7224D" w:rsidP="00C7224D">
      <w:pPr>
        <w:spacing w:before="120"/>
      </w:pPr>
      <w:r w:rsidRPr="002B12C9">
        <w:rPr>
          <w:rFonts w:eastAsia="Calibri"/>
        </w:rPr>
        <w:tab/>
      </w:r>
      <w:r w:rsidRPr="002B12C9">
        <w:rPr>
          <w:rFonts w:eastAsia="Calibri"/>
        </w:rPr>
        <w:tab/>
      </w:r>
      <w:r w:rsidRPr="002B12C9">
        <w:t xml:space="preserve">All members of the class are expected to follow rules of common courtesy in all email </w:t>
      </w:r>
      <w:r w:rsidRPr="002B12C9">
        <w:tab/>
      </w:r>
      <w:r w:rsidRPr="002B12C9">
        <w:tab/>
      </w:r>
      <w:r w:rsidRPr="002B12C9">
        <w:tab/>
        <w:t xml:space="preserve">messages, threaded </w:t>
      </w:r>
      <w:proofErr w:type="gramStart"/>
      <w:r w:rsidRPr="002B12C9">
        <w:t>discussions</w:t>
      </w:r>
      <w:proofErr w:type="gramEnd"/>
      <w:r w:rsidRPr="002B12C9">
        <w:t xml:space="preserve"> and chats.  </w:t>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hyperlink r:id="rId23" w:history="1">
        <w:r w:rsidRPr="002B12C9">
          <w:rPr>
            <w:rStyle w:val="Hyperlink"/>
          </w:rPr>
          <w:t>http://teach.ufl.edu/docs/NetiquetteGuideforOnlineCourses.pdf</w:t>
        </w:r>
      </w:hyperlink>
      <w:r w:rsidRPr="002B12C9">
        <w:t xml:space="preserve"> </w:t>
      </w:r>
    </w:p>
    <w:p w14:paraId="47502505" w14:textId="159349C9" w:rsidR="001F4728" w:rsidRDefault="001F4728" w:rsidP="00C7224D">
      <w:pPr>
        <w:spacing w:before="120"/>
        <w:rPr>
          <w:b/>
          <w:bCs/>
          <w:u w:val="single"/>
        </w:rPr>
      </w:pPr>
      <w:r>
        <w:rPr>
          <w:b/>
          <w:bCs/>
          <w:u w:val="single"/>
        </w:rPr>
        <w:t>Online Course Evaluation Process:</w:t>
      </w:r>
    </w:p>
    <w:p w14:paraId="4E826AD4" w14:textId="6F6DC373" w:rsidR="001F4728" w:rsidRPr="001F4728" w:rsidRDefault="001F4728" w:rsidP="001F4728">
      <w:pPr>
        <w:spacing w:before="120"/>
        <w:ind w:left="1440"/>
        <w:rPr>
          <w:rFonts w:eastAsia="Calibri"/>
        </w:rPr>
      </w:pPr>
      <w:r>
        <w:rPr>
          <w:sz w:val="24"/>
          <w:szCs w:val="24"/>
        </w:rPr>
        <w:t>S</w:t>
      </w:r>
      <w:r w:rsidRPr="00DF2791">
        <w:rPr>
          <w:sz w:val="24"/>
          <w:szCs w:val="24"/>
        </w:rPr>
        <w:t xml:space="preserve">tudents are expected to provide professional and respectful feedback on the quality of instruction in this course by completing course evaluations online via </w:t>
      </w:r>
      <w:proofErr w:type="spellStart"/>
      <w:r w:rsidRPr="00DF2791">
        <w:rPr>
          <w:sz w:val="24"/>
          <w:szCs w:val="24"/>
        </w:rPr>
        <w:t>GatorEvals</w:t>
      </w:r>
      <w:proofErr w:type="spellEnd"/>
      <w:r w:rsidRPr="00DF2791">
        <w:rPr>
          <w:sz w:val="24"/>
          <w:szCs w:val="24"/>
        </w:rPr>
        <w:t xml:space="preserve">. Click </w:t>
      </w:r>
      <w:hyperlink r:id="rId24" w:history="1">
        <w:r w:rsidRPr="007A1D2B">
          <w:rPr>
            <w:rStyle w:val="Hyperlink"/>
            <w:sz w:val="24"/>
            <w:szCs w:val="24"/>
          </w:rPr>
          <w:t>here</w:t>
        </w:r>
      </w:hyperlink>
      <w:r w:rsidRPr="00DF2791">
        <w:rPr>
          <w:sz w:val="24"/>
          <w:szCs w:val="24"/>
        </w:rPr>
        <w:t xml:space="preserve"> for guidance on how to give feedback in a professional and respectful manner. Students will be notified when the evaluation period opens, and can complete evaluations through the email they receive from </w:t>
      </w:r>
      <w:proofErr w:type="spellStart"/>
      <w:r w:rsidRPr="00DF2791">
        <w:rPr>
          <w:sz w:val="24"/>
          <w:szCs w:val="24"/>
        </w:rPr>
        <w:t>GatorEvals</w:t>
      </w:r>
      <w:proofErr w:type="spellEnd"/>
      <w:r w:rsidRPr="00DF2791">
        <w:rPr>
          <w:sz w:val="24"/>
          <w:szCs w:val="24"/>
        </w:rPr>
        <w:t xml:space="preserve">, in their Canvas course menu under </w:t>
      </w:r>
      <w:proofErr w:type="spellStart"/>
      <w:r w:rsidRPr="00DF2791">
        <w:rPr>
          <w:sz w:val="24"/>
          <w:szCs w:val="24"/>
        </w:rPr>
        <w:t>GatorEvals</w:t>
      </w:r>
      <w:proofErr w:type="spellEnd"/>
      <w:r w:rsidRPr="00DF2791">
        <w:rPr>
          <w:sz w:val="24"/>
          <w:szCs w:val="24"/>
        </w:rPr>
        <w:t xml:space="preserve">, or via </w:t>
      </w:r>
      <w:hyperlink r:id="rId25" w:history="1">
        <w:r w:rsidRPr="007A1D2B">
          <w:rPr>
            <w:rStyle w:val="Hyperlink"/>
            <w:sz w:val="24"/>
            <w:szCs w:val="24"/>
          </w:rPr>
          <w:t>ufl.bluera.com/</w:t>
        </w:r>
        <w:proofErr w:type="spellStart"/>
        <w:r w:rsidRPr="007A1D2B">
          <w:rPr>
            <w:rStyle w:val="Hyperlink"/>
            <w:sz w:val="24"/>
            <w:szCs w:val="24"/>
          </w:rPr>
          <w:t>ufl</w:t>
        </w:r>
        <w:proofErr w:type="spellEnd"/>
        <w:r w:rsidRPr="007A1D2B">
          <w:rPr>
            <w:rStyle w:val="Hyperlink"/>
            <w:sz w:val="24"/>
            <w:szCs w:val="24"/>
          </w:rPr>
          <w:t>/</w:t>
        </w:r>
      </w:hyperlink>
      <w:r>
        <w:rPr>
          <w:sz w:val="24"/>
          <w:szCs w:val="24"/>
        </w:rPr>
        <w:t xml:space="preserve">. </w:t>
      </w:r>
      <w:r w:rsidRPr="00DF2791">
        <w:rPr>
          <w:sz w:val="24"/>
          <w:szCs w:val="24"/>
        </w:rPr>
        <w:t xml:space="preserve">Summaries of </w:t>
      </w:r>
      <w:r w:rsidRPr="00DF2791">
        <w:rPr>
          <w:sz w:val="24"/>
          <w:szCs w:val="24"/>
        </w:rPr>
        <w:lastRenderedPageBreak/>
        <w:t xml:space="preserve">course evaluation results are available to students </w:t>
      </w:r>
      <w:hyperlink r:id="rId26" w:history="1">
        <w:r w:rsidRPr="007A1D2B">
          <w:rPr>
            <w:rStyle w:val="Hyperlink"/>
            <w:sz w:val="24"/>
            <w:szCs w:val="24"/>
          </w:rPr>
          <w:t>here</w:t>
        </w:r>
      </w:hyperlink>
      <w:r w:rsidRPr="00DF2791">
        <w:rPr>
          <w:sz w:val="24"/>
          <w:szCs w:val="24"/>
        </w:rPr>
        <w:t>.</w:t>
      </w:r>
    </w:p>
    <w:p w14:paraId="6F811F2A" w14:textId="77777777" w:rsidR="00C7224D" w:rsidRPr="002B12C9" w:rsidRDefault="00C7224D" w:rsidP="00C7224D">
      <w:pPr>
        <w:pStyle w:val="BodyText"/>
      </w:pPr>
    </w:p>
    <w:p w14:paraId="47958CD0" w14:textId="71CB0F85" w:rsidR="00C7224D" w:rsidRPr="002B12C9" w:rsidRDefault="00C7224D" w:rsidP="00C7224D">
      <w:pPr>
        <w:rPr>
          <w:rStyle w:val="ItemDescription"/>
          <w:rFonts w:ascii="Times New Roman" w:hAnsi="Times New Roman" w:cs="Times New Roman"/>
        </w:rPr>
      </w:pPr>
      <w:r w:rsidRPr="002B12C9">
        <w:rPr>
          <w:rStyle w:val="CategoryUnderlined"/>
          <w:rFonts w:ascii="Times New Roman" w:hAnsi="Times New Roman"/>
          <w:b/>
        </w:rPr>
        <w:t>Disclaimer:</w:t>
      </w:r>
      <w:r w:rsidRPr="002B12C9">
        <w:rPr>
          <w:rFonts w:eastAsia="Calibri"/>
        </w:rPr>
        <w:t xml:space="preserve"> </w:t>
      </w:r>
    </w:p>
    <w:p w14:paraId="4F47D975" w14:textId="77777777" w:rsidR="00C7224D" w:rsidRPr="002B12C9" w:rsidRDefault="00C7224D" w:rsidP="00C7224D">
      <w:pPr>
        <w:rPr>
          <w:rFonts w:eastAsia="Calibri"/>
        </w:rPr>
      </w:pPr>
      <w:r w:rsidRPr="002B12C9">
        <w:rPr>
          <w:rStyle w:val="ItemDescription"/>
          <w:rFonts w:ascii="Times New Roman" w:hAnsi="Times New Roman" w:cs="Times New Roman"/>
        </w:rPr>
        <w:tab/>
      </w:r>
      <w:r w:rsidRPr="002B12C9">
        <w:rPr>
          <w:rStyle w:val="ItemDescription"/>
          <w:rFonts w:ascii="Times New Roman" w:hAnsi="Times New Roman" w:cs="Times New Roman"/>
        </w:rPr>
        <w:tab/>
      </w:r>
      <w:r w:rsidRPr="002B12C9">
        <w:t xml:space="preserve">This syllabus represents my current plans and objectives.  As we go through the semester, </w:t>
      </w:r>
      <w:r w:rsidRPr="002B12C9">
        <w:tab/>
      </w:r>
      <w:r w:rsidRPr="002B12C9">
        <w:tab/>
        <w:t xml:space="preserve">those plans may need to change to enhance the class learning opportunity.  Such changes, </w:t>
      </w:r>
      <w:r w:rsidRPr="002B12C9">
        <w:tab/>
      </w:r>
      <w:r w:rsidRPr="002B12C9">
        <w:tab/>
        <w:t>communicated clearly, are not unusual and should be expected.</w:t>
      </w:r>
    </w:p>
    <w:p w14:paraId="126E4BCD" w14:textId="77777777" w:rsidR="00C7224D" w:rsidRPr="00C7224D" w:rsidRDefault="00C7224D" w:rsidP="00C7224D">
      <w:pPr>
        <w:pStyle w:val="BodyText"/>
      </w:pPr>
    </w:p>
    <w:sectPr w:rsidR="00C7224D" w:rsidRPr="00C7224D">
      <w:type w:val="continuous"/>
      <w:pgSz w:w="12240" w:h="15840"/>
      <w:pgMar w:top="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E0198"/>
    <w:multiLevelType w:val="hybridMultilevel"/>
    <w:tmpl w:val="CF7C60E2"/>
    <w:lvl w:ilvl="0" w:tplc="582AB1C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E4"/>
    <w:rsid w:val="0017160C"/>
    <w:rsid w:val="00194745"/>
    <w:rsid w:val="001A0052"/>
    <w:rsid w:val="001D3096"/>
    <w:rsid w:val="001F4728"/>
    <w:rsid w:val="002231A7"/>
    <w:rsid w:val="00297279"/>
    <w:rsid w:val="002D2E9B"/>
    <w:rsid w:val="00300CBB"/>
    <w:rsid w:val="003E7626"/>
    <w:rsid w:val="005F185F"/>
    <w:rsid w:val="006B09B7"/>
    <w:rsid w:val="007177D8"/>
    <w:rsid w:val="00744CE3"/>
    <w:rsid w:val="008974B8"/>
    <w:rsid w:val="008D5E25"/>
    <w:rsid w:val="00AC321D"/>
    <w:rsid w:val="00AF085F"/>
    <w:rsid w:val="00AF3976"/>
    <w:rsid w:val="00B72E15"/>
    <w:rsid w:val="00C7224D"/>
    <w:rsid w:val="00C80625"/>
    <w:rsid w:val="00CA5D88"/>
    <w:rsid w:val="00D20D2B"/>
    <w:rsid w:val="00D56A5F"/>
    <w:rsid w:val="00DB48ED"/>
    <w:rsid w:val="00FF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9146"/>
  <w15:docId w15:val="{2F9384A3-6203-42E2-AC7B-AA3B66E2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61" w:hanging="886"/>
      <w:outlineLvl w:val="0"/>
    </w:pPr>
    <w:rPr>
      <w:b/>
      <w:bCs/>
      <w:sz w:val="28"/>
      <w:szCs w:val="28"/>
    </w:rPr>
  </w:style>
  <w:style w:type="paragraph" w:styleId="Heading2">
    <w:name w:val="heading 2"/>
    <w:basedOn w:val="Normal"/>
    <w:uiPriority w:val="1"/>
    <w:qFormat/>
    <w:pPr>
      <w:ind w:left="100"/>
      <w:outlineLvl w:val="1"/>
    </w:pPr>
    <w:rPr>
      <w:sz w:val="24"/>
      <w:szCs w:val="24"/>
    </w:rPr>
  </w:style>
  <w:style w:type="paragraph" w:styleId="Heading3">
    <w:name w:val="heading 3"/>
    <w:basedOn w:val="Normal"/>
    <w:link w:val="Heading3Char"/>
    <w:uiPriority w:val="1"/>
    <w:qFormat/>
    <w:pPr>
      <w:ind w:left="10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C7224D"/>
    <w:rPr>
      <w:color w:val="0000FF"/>
      <w:u w:val="single"/>
    </w:rPr>
  </w:style>
  <w:style w:type="character" w:customStyle="1" w:styleId="Heading3Char">
    <w:name w:val="Heading 3 Char"/>
    <w:link w:val="Heading3"/>
    <w:uiPriority w:val="1"/>
    <w:rsid w:val="00C7224D"/>
    <w:rPr>
      <w:rFonts w:ascii="Times New Roman" w:eastAsia="Times New Roman" w:hAnsi="Times New Roman" w:cs="Times New Roman"/>
      <w:b/>
      <w:bCs/>
      <w:u w:val="single" w:color="000000"/>
    </w:rPr>
  </w:style>
  <w:style w:type="character" w:customStyle="1" w:styleId="ItemDescription">
    <w:name w:val="Item Description"/>
    <w:rsid w:val="00C7224D"/>
    <w:rPr>
      <w:rFonts w:ascii="Calibri" w:eastAsia="Calibri" w:hAnsi="Calibri" w:cs="Calibri"/>
      <w:i/>
      <w:sz w:val="24"/>
    </w:rPr>
  </w:style>
  <w:style w:type="character" w:customStyle="1" w:styleId="CategoryUnderlined">
    <w:name w:val="Category Underlined"/>
    <w:rsid w:val="00C7224D"/>
    <w:rPr>
      <w:rFonts w:ascii="Calibri" w:hAnsi="Calibri"/>
      <w:u w:val="single"/>
    </w:rPr>
  </w:style>
  <w:style w:type="paragraph" w:styleId="BalloonText">
    <w:name w:val="Balloon Text"/>
    <w:basedOn w:val="Normal"/>
    <w:link w:val="BalloonTextChar"/>
    <w:uiPriority w:val="99"/>
    <w:semiHidden/>
    <w:unhideWhenUsed/>
    <w:rsid w:val="00300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B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9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s://gatorevals.aa.ufl.edu/public-results/"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7" Type="http://schemas.openxmlformats.org/officeDocument/2006/relationships/hyperlink" Target="http://www.law.ufl.edu/student-affairs/current-students/forms-applications/exam-delays-accommodations-form"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file:///C:\Users\rmcilhenny\AppData\Local\Microsoft\Windows\INetCache\Content.Outlook\QH37XRU4\ufl.bluera.com\ufl\"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www.dso.ufl.edu/students.php" TargetMode="External"/><Relationship Id="rId24" Type="http://schemas.openxmlformats.org/officeDocument/2006/relationships/hyperlink" Target="https://gatorevals.aa.ufl.edu/students/" TargetMode="External"/><Relationship Id="rId5" Type="http://schemas.openxmlformats.org/officeDocument/2006/relationships/hyperlink" Target="mailto:calfee@law.ufl.edu" TargetMode="External"/><Relationship Id="rId15" Type="http://schemas.openxmlformats.org/officeDocument/2006/relationships/hyperlink" Target="http://www.dso.ufl.edu/students.php" TargetMode="External"/><Relationship Id="rId23" Type="http://schemas.openxmlformats.org/officeDocument/2006/relationships/hyperlink" Target="http://teach.ufl.edu/docs/NetiquetteGuideforOnlineCourses.pdf" TargetMode="External"/><Relationship Id="rId28" Type="http://schemas.openxmlformats.org/officeDocument/2006/relationships/theme" Target="theme/theme1.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5517</Characters>
  <Application>Microsoft Office Word</Application>
  <DocSecurity>4</DocSecurity>
  <Lines>102</Lines>
  <Paragraphs>32</Paragraphs>
  <ScaleCrop>false</ScaleCrop>
  <HeadingPairs>
    <vt:vector size="2" baseType="variant">
      <vt:variant>
        <vt:lpstr>Title</vt:lpstr>
      </vt:variant>
      <vt:variant>
        <vt:i4>1</vt:i4>
      </vt:variant>
    </vt:vector>
  </HeadingPairs>
  <TitlesOfParts>
    <vt:vector size="1" baseType="lpstr">
      <vt:lpstr>Microsoft Word - Spring 2016 - Income Tax of Trusts  Estates (Calfee) Syllabus (LLM).docx</vt:lpstr>
    </vt:vector>
  </TitlesOfParts>
  <Company>University of Florida Levin College of Law</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 2016 - Income Tax of Trusts  Estates (Calfee) Syllabus (LLM).docx</dc:title>
  <dc:creator>klbartlett</dc:creator>
  <cp:lastModifiedBy>McIlhenny, Ruth M.</cp:lastModifiedBy>
  <cp:revision>2</cp:revision>
  <cp:lastPrinted>2021-12-10T20:29:00Z</cp:lastPrinted>
  <dcterms:created xsi:type="dcterms:W3CDTF">2022-01-05T13:18:00Z</dcterms:created>
  <dcterms:modified xsi:type="dcterms:W3CDTF">2022-01-05T13:18:00Z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2013</vt:lpwstr>
  </property>
  <property fmtid="{D5CDD505-2E9C-101B-9397-08002B2CF9AE}" pid="4" name="LastSaved">
    <vt:filetime>2017-10-11T00:00:00Z</vt:filetime>
  </property>
</Properties>
</file>