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6C" w:rsidRDefault="00703421">
      <w:pPr>
        <w:jc w:val="center"/>
        <w:rPr>
          <w:b/>
        </w:rPr>
      </w:pPr>
      <w:bookmarkStart w:id="0" w:name="_GoBack"/>
      <w:bookmarkEnd w:id="0"/>
      <w:r>
        <w:rPr>
          <w:b/>
        </w:rPr>
        <w:t>PATENT PROSECUTION</w:t>
      </w:r>
    </w:p>
    <w:p w:rsidR="00DF6D6C" w:rsidRDefault="00703421">
      <w:pPr>
        <w:jc w:val="center"/>
        <w:rPr>
          <w:b/>
        </w:rPr>
      </w:pPr>
      <w:r>
        <w:rPr>
          <w:b/>
        </w:rPr>
        <w:t>SPRING TERM  2019</w:t>
      </w:r>
    </w:p>
    <w:p w:rsidR="00DF6D6C" w:rsidRDefault="00703421">
      <w:pPr>
        <w:jc w:val="center"/>
        <w:rPr>
          <w:b/>
        </w:rPr>
      </w:pPr>
      <w:r>
        <w:rPr>
          <w:b/>
        </w:rPr>
        <w:t>Law 6930 (Class Number 16159)</w:t>
      </w:r>
    </w:p>
    <w:p w:rsidR="00DF6D6C" w:rsidRDefault="00703421">
      <w:pPr>
        <w:jc w:val="center"/>
        <w:rPr>
          <w:b/>
        </w:rPr>
      </w:pPr>
      <w:r>
        <w:rPr>
          <w:b/>
        </w:rPr>
        <w:t>3 Credits</w:t>
      </w:r>
    </w:p>
    <w:p w:rsidR="00DF6D6C" w:rsidRDefault="00DF6D6C"/>
    <w:p w:rsidR="00DF6D6C" w:rsidRDefault="00703421">
      <w:pPr>
        <w:jc w:val="both"/>
        <w:rPr>
          <w:b/>
        </w:rPr>
      </w:pPr>
      <w:r>
        <w:rPr>
          <w:b/>
        </w:rPr>
        <w:t>Adjunct Professors</w:t>
      </w:r>
    </w:p>
    <w:p w:rsidR="00DF6D6C" w:rsidRDefault="00703421">
      <w:pPr>
        <w:jc w:val="both"/>
      </w:pPr>
      <w:r>
        <w:t>Michael J. Colitz, III</w:t>
      </w:r>
      <w:r>
        <w:t xml:space="preserve"> </w:t>
      </w:r>
    </w:p>
    <w:p w:rsidR="00DF6D6C" w:rsidRDefault="00703421">
      <w:pPr>
        <w:jc w:val="both"/>
      </w:pPr>
      <w:r>
        <w:t xml:space="preserve">Thomas C. McThenia, Jr. </w:t>
      </w:r>
      <w:r>
        <w:t xml:space="preserve"> </w:t>
      </w:r>
    </w:p>
    <w:p w:rsidR="00DF6D6C" w:rsidRDefault="00DF6D6C">
      <w:pPr>
        <w:jc w:val="both"/>
      </w:pPr>
    </w:p>
    <w:p w:rsidR="00DF6D6C" w:rsidRDefault="00703421">
      <w:pPr>
        <w:jc w:val="both"/>
        <w:rPr>
          <w:b/>
        </w:rPr>
      </w:pPr>
      <w:r>
        <w:rPr>
          <w:b/>
        </w:rPr>
        <w:t>Required Text</w:t>
      </w:r>
    </w:p>
    <w:p w:rsidR="00DF6D6C" w:rsidRDefault="00DF6D6C">
      <w:pPr>
        <w:jc w:val="both"/>
        <w:rPr>
          <w:b/>
        </w:rPr>
      </w:pPr>
    </w:p>
    <w:p w:rsidR="00DF6D6C" w:rsidRDefault="00703421">
      <w:pPr>
        <w:jc w:val="both"/>
      </w:pPr>
      <w:r>
        <w:t xml:space="preserve">The required text for this course is How to Write a Patent Application, Second Edition, </w:t>
      </w:r>
      <w:r>
        <w:t>Practicing Law Institute, Jeffrey G. Sheldon (3rd Ed.)</w:t>
      </w:r>
    </w:p>
    <w:p w:rsidR="00DF6D6C" w:rsidRDefault="00DF6D6C">
      <w:pPr>
        <w:jc w:val="both"/>
      </w:pPr>
    </w:p>
    <w:p w:rsidR="00DF6D6C" w:rsidRDefault="00703421">
      <w:pPr>
        <w:jc w:val="both"/>
      </w:pPr>
      <w:r>
        <w:t>Manual of Patent Examining Procedure (MPEP) Ninth Edition, Revision 08.2017, Last Revised January 2018</w:t>
      </w:r>
    </w:p>
    <w:p w:rsidR="00DF6D6C" w:rsidRDefault="00DF6D6C">
      <w:pPr>
        <w:jc w:val="both"/>
      </w:pPr>
    </w:p>
    <w:p w:rsidR="00DF6D6C" w:rsidRDefault="00703421">
      <w:pPr>
        <w:jc w:val="both"/>
      </w:pPr>
      <w:r>
        <w:t>(</w:t>
      </w:r>
      <w:r>
        <w:t>https://www.uspto.gov/web/offices/pac/mpep/index.html</w:t>
      </w:r>
      <w:r>
        <w:t>)</w:t>
      </w:r>
    </w:p>
    <w:p w:rsidR="00DF6D6C" w:rsidRDefault="00DF6D6C"/>
    <w:p w:rsidR="00DF6D6C" w:rsidRDefault="00703421">
      <w:pPr>
        <w:jc w:val="both"/>
      </w:pPr>
      <w:r>
        <w:t>Other handouts or materials may be assi</w:t>
      </w:r>
      <w:r>
        <w:t>gned during the semester.  You may access supplemental materials and view other course related information on the course TWEN</w:t>
      </w:r>
      <w:r>
        <w:rPr>
          <w:vertAlign w:val="superscript"/>
        </w:rPr>
        <w:t>®</w:t>
      </w:r>
      <w:r>
        <w:t xml:space="preserve"> page. You are required to register on TWEN</w:t>
      </w:r>
      <w:r>
        <w:rPr>
          <w:vertAlign w:val="superscript"/>
        </w:rPr>
        <w:t>®</w:t>
      </w:r>
      <w:r>
        <w:t xml:space="preserve"> by the end of the drop/add period for the semester. Students should expect to spend, </w:t>
      </w:r>
      <w:r>
        <w:t>on average, approximately two hours preparing for every hour of class.  That preparation will include reading and writing assignments as well as related research activities.</w:t>
      </w:r>
    </w:p>
    <w:p w:rsidR="00DF6D6C" w:rsidRDefault="00DF6D6C"/>
    <w:p w:rsidR="00DF6D6C" w:rsidRDefault="00703421">
      <w:pPr>
        <w:rPr>
          <w:b/>
        </w:rPr>
      </w:pPr>
      <w:r>
        <w:rPr>
          <w:b/>
        </w:rPr>
        <w:t>Classes</w:t>
      </w:r>
    </w:p>
    <w:p w:rsidR="00DF6D6C" w:rsidRDefault="00DF6D6C">
      <w:pPr>
        <w:rPr>
          <w:b/>
        </w:rPr>
      </w:pPr>
    </w:p>
    <w:p w:rsidR="00DF6D6C" w:rsidRDefault="00703421">
      <w:r>
        <w:t xml:space="preserve">Classes will be held on Thursdays from 4:00-6:30 p.m. in classroom HH - </w:t>
      </w:r>
      <w:r>
        <w:t xml:space="preserve">285A </w:t>
      </w:r>
    </w:p>
    <w:p w:rsidR="00DF6D6C" w:rsidRDefault="00DF6D6C"/>
    <w:p w:rsidR="00DF6D6C" w:rsidRDefault="00703421">
      <w:pPr>
        <w:rPr>
          <w:b/>
        </w:rPr>
      </w:pPr>
      <w:r>
        <w:rPr>
          <w:b/>
        </w:rPr>
        <w:t>Office Hours</w:t>
      </w:r>
    </w:p>
    <w:p w:rsidR="00DF6D6C" w:rsidRDefault="00DF6D6C">
      <w:pPr>
        <w:rPr>
          <w:b/>
        </w:rPr>
      </w:pPr>
    </w:p>
    <w:p w:rsidR="00DF6D6C" w:rsidRDefault="00703421">
      <w:r>
        <w:t xml:space="preserve">Our office hours are on Thursdays from 2:00-4:00 p.m. </w:t>
      </w:r>
    </w:p>
    <w:p w:rsidR="00DF6D6C" w:rsidRDefault="00703421">
      <w:r>
        <w:t>The office is in Holland Hall, Room 356.</w:t>
      </w:r>
    </w:p>
    <w:p w:rsidR="00DF6D6C" w:rsidRDefault="00DF6D6C"/>
    <w:p w:rsidR="00DF6D6C" w:rsidRDefault="00703421">
      <w:pPr>
        <w:rPr>
          <w:b/>
        </w:rPr>
      </w:pPr>
      <w:r>
        <w:rPr>
          <w:b/>
        </w:rPr>
        <w:t xml:space="preserve">Contact Information </w:t>
      </w:r>
    </w:p>
    <w:p w:rsidR="00DF6D6C" w:rsidRDefault="00DF6D6C">
      <w:pPr>
        <w:rPr>
          <w:b/>
        </w:rPr>
      </w:pPr>
    </w:p>
    <w:p w:rsidR="00DF6D6C" w:rsidRDefault="00703421">
      <w:r>
        <w:t>Our office at the law school is in Holland Hall.  Our e-mail addresses are:</w:t>
      </w:r>
    </w:p>
    <w:p w:rsidR="00DF6D6C" w:rsidRDefault="00DF6D6C"/>
    <w:p w:rsidR="00DF6D6C" w:rsidRDefault="00703421">
      <w:r>
        <w:t>Michael J. Colitz, III</w:t>
      </w:r>
    </w:p>
    <w:p w:rsidR="00DF6D6C" w:rsidRDefault="00703421">
      <w:r>
        <w:t xml:space="preserve">Email: </w:t>
      </w:r>
      <w:r>
        <w:t>colitz@law.ufl.edu</w:t>
      </w:r>
    </w:p>
    <w:p w:rsidR="00DF6D6C" w:rsidRDefault="00703421">
      <w:r>
        <w:t>Phone: 813-857-3201</w:t>
      </w:r>
    </w:p>
    <w:p w:rsidR="00DF6D6C" w:rsidRDefault="00DF6D6C"/>
    <w:p w:rsidR="00DF6D6C" w:rsidRDefault="00703421">
      <w:r>
        <w:t>Thomas McThenia</w:t>
      </w:r>
    </w:p>
    <w:p w:rsidR="00DF6D6C" w:rsidRDefault="00703421">
      <w:r>
        <w:t>Email: tom.mcthenia@gray-robinson.com</w:t>
      </w:r>
    </w:p>
    <w:p w:rsidR="00DF6D6C" w:rsidRDefault="00703421">
      <w:r>
        <w:t>Phone: 407-832-8393</w:t>
      </w:r>
    </w:p>
    <w:p w:rsidR="00DF6D6C" w:rsidRDefault="00703421">
      <w:pPr>
        <w:rPr>
          <w:b/>
        </w:rPr>
      </w:pPr>
      <w:r>
        <w:rPr>
          <w:b/>
        </w:rPr>
        <w:t>Course Description</w:t>
      </w:r>
    </w:p>
    <w:p w:rsidR="00DF6D6C" w:rsidRDefault="00DF6D6C">
      <w:pPr>
        <w:rPr>
          <w:b/>
        </w:rPr>
      </w:pPr>
    </w:p>
    <w:p w:rsidR="00DF6D6C" w:rsidRDefault="00703421">
      <w:pPr>
        <w:jc w:val="both"/>
      </w:pPr>
      <w:r>
        <w:t>This course teaches skills related to patent application preparation and prosecution for various technologies. Students wi</w:t>
      </w:r>
      <w:r>
        <w:t>ll learn how to interview inventors, conduct a patentability search, render a patentability opinion, draft patent claims, draft a patent specification, electronically file a patent application, and respond to an office action. International patent protecti</w:t>
      </w:r>
      <w:r>
        <w:t>on and issues related to patent infringement will also be addressed.  Most classes will include a lecture portion and a workshop portion. Patent bar eligibility is a prerequisite for the course and so is Patent Law.</w:t>
      </w:r>
    </w:p>
    <w:p w:rsidR="00DF6D6C" w:rsidRDefault="00DF6D6C">
      <w:pPr>
        <w:jc w:val="both"/>
      </w:pPr>
    </w:p>
    <w:p w:rsidR="00DF6D6C" w:rsidRDefault="00703421">
      <w:pPr>
        <w:jc w:val="both"/>
        <w:rPr>
          <w:b/>
        </w:rPr>
      </w:pPr>
      <w:r>
        <w:rPr>
          <w:b/>
        </w:rPr>
        <w:t>Student Learning Outcomes</w:t>
      </w:r>
    </w:p>
    <w:p w:rsidR="00DF6D6C" w:rsidRDefault="00DF6D6C">
      <w:pPr>
        <w:jc w:val="both"/>
        <w:rPr>
          <w:b/>
        </w:rPr>
      </w:pPr>
    </w:p>
    <w:p w:rsidR="00DF6D6C" w:rsidRDefault="00703421">
      <w:pPr>
        <w:jc w:val="both"/>
      </w:pPr>
      <w:r>
        <w:t>After comple</w:t>
      </w:r>
      <w:r>
        <w:t>ting this course, students should be able to:</w:t>
      </w:r>
    </w:p>
    <w:p w:rsidR="00DF6D6C" w:rsidRDefault="00703421">
      <w:pPr>
        <w:jc w:val="both"/>
      </w:pPr>
      <w:r>
        <w:t>1. Draft a utility patent application suitable for filing with the U.S. Patent and Trademark Office;</w:t>
      </w:r>
    </w:p>
    <w:p w:rsidR="00DF6D6C" w:rsidRDefault="00703421">
      <w:pPr>
        <w:jc w:val="both"/>
      </w:pPr>
      <w:r>
        <w:t>2. Prepare the formal paperwork associated with a utility patent application;</w:t>
      </w:r>
    </w:p>
    <w:p w:rsidR="00DF6D6C" w:rsidRDefault="00703421">
      <w:pPr>
        <w:jc w:val="both"/>
      </w:pPr>
      <w:r>
        <w:t xml:space="preserve">3. Conduct a patent search and </w:t>
      </w:r>
      <w:r>
        <w:t>render a patentability opinion;</w:t>
      </w:r>
    </w:p>
    <w:p w:rsidR="00DF6D6C" w:rsidRDefault="00703421">
      <w:pPr>
        <w:jc w:val="both"/>
      </w:pPr>
      <w:r>
        <w:t>4. Respond to an Office Action from the U.S. Patent and Trademark Office;</w:t>
      </w:r>
    </w:p>
    <w:p w:rsidR="00DF6D6C" w:rsidRDefault="00703421">
      <w:pPr>
        <w:jc w:val="both"/>
      </w:pPr>
      <w:r>
        <w:t>5. Effectively counsel a client on all matters related to patent application preparation and prosecution.</w:t>
      </w:r>
    </w:p>
    <w:p w:rsidR="00DF6D6C" w:rsidRDefault="00DF6D6C"/>
    <w:p w:rsidR="00DF6D6C" w:rsidRDefault="00703421">
      <w:pPr>
        <w:rPr>
          <w:b/>
        </w:rPr>
      </w:pPr>
      <w:r>
        <w:rPr>
          <w:b/>
        </w:rPr>
        <w:t>Class Preparation, Participation, and Atten</w:t>
      </w:r>
      <w:r>
        <w:rPr>
          <w:b/>
        </w:rPr>
        <w:t>dance</w:t>
      </w:r>
    </w:p>
    <w:p w:rsidR="00DF6D6C" w:rsidRDefault="00DF6D6C"/>
    <w:p w:rsidR="00DF6D6C" w:rsidRDefault="00703421">
      <w:pPr>
        <w:rPr>
          <w:b/>
        </w:rPr>
      </w:pPr>
      <w:r>
        <w:rPr>
          <w:b/>
        </w:rPr>
        <w:t>A.</w:t>
      </w:r>
      <w:r>
        <w:rPr>
          <w:b/>
        </w:rPr>
        <w:tab/>
        <w:t>Class Preparation and Participation</w:t>
      </w:r>
    </w:p>
    <w:p w:rsidR="00DF6D6C" w:rsidRDefault="00703421">
      <w:pPr>
        <w:jc w:val="both"/>
      </w:pPr>
      <w:r>
        <w:t xml:space="preserve">Preparation for class is mandatory. Before each class you must complete the assigned reading and writing assignments and be prepared to provide thoughtful answers to questions posed during class. </w:t>
      </w:r>
    </w:p>
    <w:p w:rsidR="00DF6D6C" w:rsidRDefault="00DF6D6C"/>
    <w:p w:rsidR="00DF6D6C" w:rsidRDefault="00703421">
      <w:pPr>
        <w:jc w:val="both"/>
      </w:pPr>
      <w:r>
        <w:t xml:space="preserve">We expect </w:t>
      </w:r>
      <w:r>
        <w:t>you to participate meaningfully, professionally, and effectively in this course.  Exceptional preparation and participation may, at our discretion, be rewarded with an increase of your final course grade by up to one letter grade.  Conversely, those who ar</w:t>
      </w:r>
      <w:r>
        <w:t>e consistently unprepared and/or who do not participate meaningfully and professionally in class could be penalized with a deduction of up to one letter grade.  Our assessment of the strength of your participation in the course includes, but is not limited</w:t>
      </w:r>
      <w:r>
        <w:t xml:space="preserve"> to, such factors as the quality of classroom comments, the amount of interest demonstrated in the subject, degree of preparation for class and willingness to respond to questions, demonstration of active engagement of the material via application to conte</w:t>
      </w:r>
      <w:r>
        <w:t>mporaneous events, class attendance, disruptive, distracting, or unprofessional behavior in the classroom, and observance of course policies.</w:t>
      </w:r>
    </w:p>
    <w:p w:rsidR="00DF6D6C" w:rsidRDefault="00DF6D6C"/>
    <w:p w:rsidR="00DF6D6C" w:rsidRDefault="00703421">
      <w:pPr>
        <w:jc w:val="both"/>
      </w:pPr>
      <w:r>
        <w:t>Please note that while we encourage the free exchange of ideas and opinions in class, expressions of disagreement</w:t>
      </w:r>
      <w:r>
        <w:t xml:space="preserve"> must be made in a professional manner that is respectful of your classmates.  </w:t>
      </w:r>
    </w:p>
    <w:p w:rsidR="00DF6D6C" w:rsidRDefault="00DF6D6C"/>
    <w:p w:rsidR="00DF6D6C" w:rsidRDefault="00703421">
      <w:pPr>
        <w:jc w:val="both"/>
      </w:pPr>
      <w:r>
        <w:t>Conducting yourselves in a professional manner also means not engaging in any behavior during class that may distract us or your classmates.  This includes, but is not limited</w:t>
      </w:r>
      <w:r>
        <w:t xml:space="preserve"> to, playing computer games, surfing the web, sending e-mails, and any other use of your computers during class that does not involve note taking.  Your failure to comply with this policy may be subject to the grade deduction for participation described ab</w:t>
      </w:r>
      <w:r>
        <w:t>ove, your removal from the classroom, and/or loss of your privilege to use a laptop in the classroom.</w:t>
      </w:r>
    </w:p>
    <w:p w:rsidR="00DF6D6C" w:rsidRDefault="00DF6D6C"/>
    <w:p w:rsidR="00DF6D6C" w:rsidRDefault="00703421">
      <w:pPr>
        <w:rPr>
          <w:b/>
        </w:rPr>
      </w:pPr>
      <w:r>
        <w:rPr>
          <w:b/>
        </w:rPr>
        <w:lastRenderedPageBreak/>
        <w:t>B.</w:t>
      </w:r>
      <w:r>
        <w:rPr>
          <w:b/>
        </w:rPr>
        <w:tab/>
        <w:t xml:space="preserve">Class Attendance  </w:t>
      </w:r>
    </w:p>
    <w:p w:rsidR="00DF6D6C" w:rsidRDefault="00703421">
      <w:pPr>
        <w:jc w:val="both"/>
      </w:pPr>
      <w:r>
        <w:t xml:space="preserve">Attendance is mandatory and you are expected to be on time.  It is your responsibility to locate and initial the sign-in sheet for </w:t>
      </w:r>
      <w:r>
        <w:t xml:space="preserve">each class session.  </w:t>
      </w:r>
    </w:p>
    <w:p w:rsidR="00DF6D6C" w:rsidRDefault="00DF6D6C"/>
    <w:p w:rsidR="00DF6D6C" w:rsidRDefault="00703421">
      <w:pPr>
        <w:jc w:val="both"/>
      </w:pPr>
      <w:r>
        <w:t>If you have three (3) or more absences , you may automatically fail this course.  Alternatively, three (3) or more absences may result in a reduction of your grade as described above in the section describing grade adjustments for co</w:t>
      </w:r>
      <w:r>
        <w:t>urse participation. Please contact one of the instructors if you anticipate missing class.</w:t>
      </w:r>
    </w:p>
    <w:p w:rsidR="00DF6D6C" w:rsidRDefault="00DF6D6C"/>
    <w:p w:rsidR="00DF6D6C" w:rsidRDefault="00703421">
      <w:pPr>
        <w:jc w:val="both"/>
        <w:rPr>
          <w:b/>
        </w:rPr>
      </w:pPr>
      <w:r>
        <w:rPr>
          <w:b/>
        </w:rPr>
        <w:t xml:space="preserve">Policy related to Make-up exams or other work </w:t>
      </w:r>
    </w:p>
    <w:p w:rsidR="00DF6D6C" w:rsidRDefault="00DF6D6C">
      <w:pPr>
        <w:jc w:val="both"/>
        <w:rPr>
          <w:b/>
        </w:rPr>
      </w:pPr>
    </w:p>
    <w:p w:rsidR="00DF6D6C" w:rsidRDefault="00703421">
      <w:r>
        <w:t xml:space="preserve">The law school policy on delays in taking exams can be found at: </w:t>
      </w:r>
    </w:p>
    <w:p w:rsidR="00DF6D6C" w:rsidRDefault="00703421">
      <w:r>
        <w:t>http://www.law.ufl.edu/student-affairs/current-stu</w:t>
      </w:r>
      <w:r>
        <w:t>dents/academic-policies</w:t>
      </w:r>
      <w:r>
        <w:t xml:space="preserve">. </w:t>
      </w:r>
    </w:p>
    <w:p w:rsidR="00DF6D6C" w:rsidRDefault="00DF6D6C"/>
    <w:p w:rsidR="00DF6D6C" w:rsidRDefault="00703421">
      <w:pPr>
        <w:rPr>
          <w:b/>
        </w:rPr>
      </w:pPr>
      <w:r>
        <w:rPr>
          <w:b/>
        </w:rPr>
        <w:t>Statement related to accommodations for students with disabilities</w:t>
      </w:r>
    </w:p>
    <w:p w:rsidR="00DF6D6C" w:rsidRDefault="00DF6D6C">
      <w:pPr>
        <w:rPr>
          <w:b/>
        </w:rPr>
      </w:pPr>
    </w:p>
    <w:p w:rsidR="00DF6D6C" w:rsidRDefault="00703421">
      <w:pPr>
        <w:jc w:val="both"/>
      </w:pPr>
      <w:r>
        <w:t>Students requesting classroom accommodation must first register with the Office of Disability Resources.  The UF Office of Disability Resources will provide docu</w:t>
      </w:r>
      <w:r>
        <w:t>mentation to the student who must then provide this documentation to the Law School Office of Student Affairs when requesting accommodation.</w:t>
      </w:r>
    </w:p>
    <w:p w:rsidR="00DF6D6C" w:rsidRDefault="00DF6D6C"/>
    <w:p w:rsidR="00DF6D6C" w:rsidRDefault="00703421">
      <w:pPr>
        <w:rPr>
          <w:b/>
        </w:rPr>
      </w:pPr>
      <w:r>
        <w:rPr>
          <w:b/>
        </w:rPr>
        <w:t xml:space="preserve">Grading </w:t>
      </w:r>
    </w:p>
    <w:p w:rsidR="00DF6D6C" w:rsidRDefault="00DF6D6C">
      <w:pPr>
        <w:rPr>
          <w:b/>
        </w:rPr>
      </w:pPr>
    </w:p>
    <w:p w:rsidR="00DF6D6C" w:rsidRDefault="00703421">
      <w:pPr>
        <w:jc w:val="both"/>
      </w:pPr>
      <w:r>
        <w:t>Your final course grade will be based principally on the writing and drafting assignments during the sem</w:t>
      </w:r>
      <w:r>
        <w:t xml:space="preserve">ester, class participation, and possibly a practical test of patent procedure.   </w:t>
      </w:r>
    </w:p>
    <w:p w:rsidR="00DF6D6C" w:rsidRDefault="00DF6D6C">
      <w:pPr>
        <w:jc w:val="both"/>
      </w:pPr>
    </w:p>
    <w:p w:rsidR="00DF6D6C" w:rsidRDefault="00703421">
      <w:pPr>
        <w:jc w:val="both"/>
      </w:pPr>
      <w:r>
        <w:t>The reading and writing assignments will generally be due prior to the start of the next class.  We will take time during class to review your writing assignments.</w:t>
      </w:r>
    </w:p>
    <w:p w:rsidR="00DF6D6C" w:rsidRDefault="00DF6D6C">
      <w:pPr>
        <w:jc w:val="both"/>
      </w:pPr>
    </w:p>
    <w:p w:rsidR="00DF6D6C" w:rsidRDefault="00703421">
      <w:pPr>
        <w:jc w:val="both"/>
      </w:pPr>
      <w:r>
        <w:t xml:space="preserve">The law </w:t>
      </w:r>
      <w:r>
        <w:t xml:space="preserve">school grading policy is available at: </w:t>
      </w:r>
      <w:r>
        <w:t>http://www.law.ufl.edu/student-affairs/current-students/academic-policies</w:t>
      </w:r>
      <w:r>
        <w:t xml:space="preserve">. </w:t>
      </w:r>
    </w:p>
    <w:p w:rsidR="00DF6D6C" w:rsidRDefault="00703421">
      <w:r>
        <w:tab/>
      </w:r>
    </w:p>
    <w:p w:rsidR="00DF6D6C" w:rsidRDefault="00703421">
      <w:pPr>
        <w:rPr>
          <w:b/>
        </w:rPr>
      </w:pPr>
      <w:r>
        <w:rPr>
          <w:b/>
        </w:rPr>
        <w:t>Recording Devices and Cell Phones</w:t>
      </w:r>
    </w:p>
    <w:p w:rsidR="00DF6D6C" w:rsidRDefault="00DF6D6C">
      <w:pPr>
        <w:rPr>
          <w:b/>
        </w:rPr>
      </w:pPr>
    </w:p>
    <w:p w:rsidR="00DF6D6C" w:rsidRDefault="00703421">
      <w:pPr>
        <w:jc w:val="both"/>
      </w:pPr>
      <w:r>
        <w:t xml:space="preserve">Use of any recording devices (including audio and/or video) is not permitted in the classroom without </w:t>
      </w:r>
      <w:r>
        <w:t>our express permission. Cellular telephones should not be used during class, and ringers must be silenced.</w:t>
      </w:r>
    </w:p>
    <w:p w:rsidR="00DF6D6C" w:rsidRDefault="00DF6D6C"/>
    <w:p w:rsidR="00DF6D6C" w:rsidRDefault="00703421">
      <w:pPr>
        <w:rPr>
          <w:b/>
        </w:rPr>
      </w:pPr>
      <w:r>
        <w:rPr>
          <w:b/>
        </w:rPr>
        <w:t>Student Course Evaluations</w:t>
      </w:r>
    </w:p>
    <w:p w:rsidR="00DF6D6C" w:rsidRDefault="00DF6D6C"/>
    <w:p w:rsidR="00DF6D6C" w:rsidRDefault="00703421">
      <w:pPr>
        <w:jc w:val="both"/>
      </w:pPr>
      <w:r>
        <w:t xml:space="preserve">Students can provide feedback on the quality of instruction in this course by completing online evaluations at </w:t>
      </w:r>
      <w:r>
        <w:t>https://e</w:t>
      </w:r>
      <w:r>
        <w:t>valuations.ufl.edu</w:t>
      </w:r>
      <w:r>
        <w:t xml:space="preserve">.  Evaluations are typically open during the last two or three weeks of the semester, but students will receive notice of the specific times when they are </w:t>
      </w:r>
      <w:r>
        <w:lastRenderedPageBreak/>
        <w:t xml:space="preserve">open. Summary results of these assessments are available to students at </w:t>
      </w:r>
      <w:r>
        <w:t>https://eva</w:t>
      </w:r>
      <w:r>
        <w:t>luations.ufl.edu/results/.</w:t>
      </w:r>
      <w:r>
        <w:t xml:space="preserve"> </w:t>
      </w:r>
    </w:p>
    <w:p w:rsidR="00DF6D6C" w:rsidRDefault="00DF6D6C">
      <w:pPr>
        <w:jc w:val="both"/>
      </w:pPr>
    </w:p>
    <w:p w:rsidR="00DF6D6C" w:rsidRDefault="00703421">
      <w:pPr>
        <w:jc w:val="both"/>
        <w:rPr>
          <w:b/>
        </w:rPr>
      </w:pPr>
      <w:r>
        <w:rPr>
          <w:b/>
        </w:rPr>
        <w:t>Academic misconduct/honesty</w:t>
      </w:r>
    </w:p>
    <w:p w:rsidR="00DF6D6C" w:rsidRDefault="00DF6D6C">
      <w:pPr>
        <w:jc w:val="both"/>
        <w:rPr>
          <w:b/>
        </w:rPr>
      </w:pPr>
    </w:p>
    <w:p w:rsidR="00DF6D6C" w:rsidRDefault="00703421">
      <w:pPr>
        <w:jc w:val="both"/>
      </w:pPr>
      <w:r>
        <w:t xml:space="preserve">Academic honesty and integrity are fundamental values of the University community. Students should be sure that they understand the UF Student Honor Code at </w:t>
      </w:r>
      <w:r>
        <w:t>https://www.law.ufl.edu/life-at-uf-law/of</w:t>
      </w:r>
      <w:r>
        <w:t>fice-of-student-affairs/additional-information/honor-code-and-committee/honor-code</w:t>
      </w:r>
    </w:p>
    <w:p w:rsidR="00DF6D6C" w:rsidRDefault="00DF6D6C">
      <w:pPr>
        <w:jc w:val="both"/>
      </w:pPr>
    </w:p>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p w:rsidR="00DF6D6C" w:rsidRDefault="00703421">
      <w:pPr>
        <w:jc w:val="center"/>
        <w:rPr>
          <w:b/>
          <w:u w:val="single"/>
        </w:rPr>
      </w:pPr>
      <w:r>
        <w:rPr>
          <w:b/>
          <w:u w:val="single"/>
        </w:rPr>
        <w:lastRenderedPageBreak/>
        <w:t>TOPICS AND READING ASSIGNMENTS</w:t>
      </w:r>
    </w:p>
    <w:p w:rsidR="00DF6D6C" w:rsidRDefault="00DF6D6C">
      <w:pPr>
        <w:jc w:val="center"/>
        <w:rPr>
          <w:b/>
        </w:rPr>
      </w:pPr>
    </w:p>
    <w:tbl>
      <w:tblPr>
        <w:tblStyle w:val="TableGrid"/>
        <w:tblW w:w="10278" w:type="dxa"/>
        <w:tblLayout w:type="fixed"/>
        <w:tblLook w:val="04A0" w:firstRow="1" w:lastRow="0" w:firstColumn="1" w:lastColumn="0" w:noHBand="0" w:noVBand="1"/>
      </w:tblPr>
      <w:tblGrid>
        <w:gridCol w:w="1098"/>
        <w:gridCol w:w="1530"/>
        <w:gridCol w:w="1440"/>
        <w:gridCol w:w="6210"/>
      </w:tblGrid>
      <w:tr w:rsidR="00DF6D6C">
        <w:trPr>
          <w:tblHeader/>
        </w:trPr>
        <w:tc>
          <w:tcPr>
            <w:tcW w:w="1098" w:type="dxa"/>
            <w:shd w:val="clear" w:color="auto" w:fill="BFBFBF" w:themeFill="background1" w:themeFillShade="BF"/>
          </w:tcPr>
          <w:p w:rsidR="00DF6D6C" w:rsidRDefault="00703421">
            <w:pPr>
              <w:jc w:val="center"/>
              <w:rPr>
                <w:b/>
                <w:sz w:val="22"/>
                <w:szCs w:val="22"/>
              </w:rPr>
            </w:pPr>
            <w:r>
              <w:rPr>
                <w:b/>
                <w:sz w:val="22"/>
                <w:szCs w:val="22"/>
              </w:rPr>
              <w:t>Lesson No.</w:t>
            </w:r>
          </w:p>
        </w:tc>
        <w:tc>
          <w:tcPr>
            <w:tcW w:w="1530" w:type="dxa"/>
            <w:shd w:val="clear" w:color="auto" w:fill="BFBFBF" w:themeFill="background1" w:themeFillShade="BF"/>
          </w:tcPr>
          <w:p w:rsidR="00DF6D6C" w:rsidRDefault="00703421">
            <w:pPr>
              <w:jc w:val="center"/>
              <w:rPr>
                <w:b/>
                <w:sz w:val="22"/>
                <w:szCs w:val="22"/>
              </w:rPr>
            </w:pPr>
            <w:r>
              <w:rPr>
                <w:b/>
                <w:sz w:val="22"/>
                <w:szCs w:val="22"/>
              </w:rPr>
              <w:t>Topic</w:t>
            </w:r>
          </w:p>
        </w:tc>
        <w:tc>
          <w:tcPr>
            <w:tcW w:w="1440" w:type="dxa"/>
            <w:shd w:val="clear" w:color="auto" w:fill="BFBFBF" w:themeFill="background1" w:themeFillShade="BF"/>
          </w:tcPr>
          <w:p w:rsidR="00DF6D6C" w:rsidRDefault="00703421">
            <w:pPr>
              <w:jc w:val="center"/>
              <w:rPr>
                <w:b/>
                <w:sz w:val="22"/>
                <w:szCs w:val="22"/>
              </w:rPr>
            </w:pPr>
            <w:r>
              <w:rPr>
                <w:b/>
                <w:sz w:val="22"/>
                <w:szCs w:val="22"/>
              </w:rPr>
              <w:t>Reading Assignment:</w:t>
            </w:r>
          </w:p>
          <w:p w:rsidR="00DF6D6C" w:rsidRDefault="00703421">
            <w:pPr>
              <w:jc w:val="center"/>
              <w:rPr>
                <w:b/>
                <w:sz w:val="22"/>
                <w:szCs w:val="22"/>
              </w:rPr>
            </w:pPr>
            <w:r>
              <w:rPr>
                <w:b/>
                <w:sz w:val="22"/>
                <w:szCs w:val="22"/>
              </w:rPr>
              <w:t>Sheldon</w:t>
            </w:r>
            <w:r>
              <w:rPr>
                <w:rStyle w:val="FootnoteReference"/>
                <w:b/>
                <w:sz w:val="22"/>
                <w:szCs w:val="22"/>
              </w:rPr>
              <w:footnoteReference w:id="1"/>
            </w:r>
          </w:p>
        </w:tc>
        <w:tc>
          <w:tcPr>
            <w:tcW w:w="6210" w:type="dxa"/>
            <w:shd w:val="clear" w:color="auto" w:fill="BFBFBF" w:themeFill="background1" w:themeFillShade="BF"/>
          </w:tcPr>
          <w:p w:rsidR="00DF6D6C" w:rsidRDefault="00703421">
            <w:pPr>
              <w:jc w:val="center"/>
              <w:rPr>
                <w:b/>
                <w:sz w:val="22"/>
                <w:szCs w:val="22"/>
              </w:rPr>
            </w:pPr>
            <w:r>
              <w:rPr>
                <w:b/>
                <w:sz w:val="22"/>
                <w:szCs w:val="22"/>
              </w:rPr>
              <w:t>Reading Assignment:</w:t>
            </w:r>
          </w:p>
          <w:p w:rsidR="00DF6D6C" w:rsidRDefault="00703421">
            <w:pPr>
              <w:jc w:val="center"/>
              <w:rPr>
                <w:b/>
                <w:sz w:val="22"/>
                <w:szCs w:val="22"/>
              </w:rPr>
            </w:pPr>
            <w:r>
              <w:rPr>
                <w:b/>
                <w:sz w:val="22"/>
                <w:szCs w:val="22"/>
              </w:rPr>
              <w:t>Manual of Patent Examining Procedure</w:t>
            </w:r>
            <w:r>
              <w:rPr>
                <w:rStyle w:val="FootnoteReference"/>
                <w:b/>
                <w:sz w:val="22"/>
                <w:szCs w:val="22"/>
              </w:rPr>
              <w:footnoteReference w:id="2"/>
            </w:r>
          </w:p>
        </w:tc>
      </w:tr>
      <w:tr w:rsidR="00DF6D6C">
        <w:tc>
          <w:tcPr>
            <w:tcW w:w="1098" w:type="dxa"/>
          </w:tcPr>
          <w:p w:rsidR="00DF6D6C" w:rsidRDefault="00703421">
            <w:pPr>
              <w:rPr>
                <w:sz w:val="22"/>
                <w:szCs w:val="22"/>
              </w:rPr>
            </w:pPr>
            <w:r>
              <w:rPr>
                <w:sz w:val="22"/>
                <w:szCs w:val="22"/>
              </w:rPr>
              <w:t>Lesson 1 (1.10.19)</w:t>
            </w:r>
          </w:p>
        </w:tc>
        <w:tc>
          <w:tcPr>
            <w:tcW w:w="1530" w:type="dxa"/>
          </w:tcPr>
          <w:p w:rsidR="00DF6D6C" w:rsidRDefault="00703421">
            <w:pPr>
              <w:rPr>
                <w:sz w:val="22"/>
                <w:szCs w:val="22"/>
              </w:rPr>
            </w:pPr>
            <w:r>
              <w:rPr>
                <w:sz w:val="22"/>
                <w:szCs w:val="22"/>
              </w:rPr>
              <w:t>Pre-Filing:</w:t>
            </w:r>
          </w:p>
          <w:p w:rsidR="00DF6D6C" w:rsidRDefault="00703421">
            <w:pPr>
              <w:rPr>
                <w:sz w:val="22"/>
                <w:szCs w:val="22"/>
              </w:rPr>
            </w:pPr>
            <w:r>
              <w:rPr>
                <w:sz w:val="22"/>
                <w:szCs w:val="22"/>
              </w:rPr>
              <w:t>Inventorship</w:t>
            </w:r>
          </w:p>
        </w:tc>
        <w:tc>
          <w:tcPr>
            <w:tcW w:w="1440" w:type="dxa"/>
          </w:tcPr>
          <w:p w:rsidR="00DF6D6C" w:rsidRDefault="00703421">
            <w:pPr>
              <w:rPr>
                <w:sz w:val="22"/>
                <w:szCs w:val="22"/>
              </w:rPr>
            </w:pPr>
            <w:r>
              <w:rPr>
                <w:sz w:val="22"/>
                <w:szCs w:val="22"/>
              </w:rPr>
              <w:t>Sheldon Chapter 4</w:t>
            </w:r>
          </w:p>
        </w:tc>
        <w:tc>
          <w:tcPr>
            <w:tcW w:w="6210" w:type="dxa"/>
          </w:tcPr>
          <w:p w:rsidR="00DF6D6C" w:rsidRDefault="00703421">
            <w:pPr>
              <w:rPr>
                <w:sz w:val="22"/>
                <w:szCs w:val="22"/>
              </w:rPr>
            </w:pPr>
            <w:r>
              <w:rPr>
                <w:sz w:val="22"/>
                <w:szCs w:val="22"/>
              </w:rPr>
              <w:t>None</w:t>
            </w:r>
          </w:p>
        </w:tc>
      </w:tr>
      <w:tr w:rsidR="00DF6D6C">
        <w:tc>
          <w:tcPr>
            <w:tcW w:w="1098" w:type="dxa"/>
          </w:tcPr>
          <w:p w:rsidR="00DF6D6C" w:rsidRDefault="00703421">
            <w:pPr>
              <w:rPr>
                <w:sz w:val="22"/>
                <w:szCs w:val="22"/>
              </w:rPr>
            </w:pPr>
            <w:r>
              <w:rPr>
                <w:sz w:val="22"/>
                <w:szCs w:val="22"/>
              </w:rPr>
              <w:t>Lesson 2 (1.17.19)</w:t>
            </w:r>
          </w:p>
        </w:tc>
        <w:tc>
          <w:tcPr>
            <w:tcW w:w="1530" w:type="dxa"/>
          </w:tcPr>
          <w:p w:rsidR="00DF6D6C" w:rsidRDefault="00703421">
            <w:pPr>
              <w:rPr>
                <w:sz w:val="22"/>
                <w:szCs w:val="22"/>
              </w:rPr>
            </w:pPr>
            <w:r>
              <w:rPr>
                <w:sz w:val="22"/>
                <w:szCs w:val="22"/>
              </w:rPr>
              <w:t>Pre-Filing:</w:t>
            </w:r>
          </w:p>
          <w:p w:rsidR="00DF6D6C" w:rsidRDefault="00703421">
            <w:pPr>
              <w:rPr>
                <w:sz w:val="22"/>
                <w:szCs w:val="22"/>
              </w:rPr>
            </w:pPr>
            <w:r>
              <w:rPr>
                <w:sz w:val="22"/>
                <w:szCs w:val="22"/>
              </w:rPr>
              <w:t>Time Bars</w:t>
            </w:r>
          </w:p>
        </w:tc>
        <w:tc>
          <w:tcPr>
            <w:tcW w:w="1440" w:type="dxa"/>
          </w:tcPr>
          <w:p w:rsidR="00DF6D6C" w:rsidRDefault="00703421">
            <w:pPr>
              <w:rPr>
                <w:sz w:val="22"/>
                <w:szCs w:val="22"/>
              </w:rPr>
            </w:pPr>
            <w:r>
              <w:rPr>
                <w:sz w:val="22"/>
                <w:szCs w:val="22"/>
              </w:rPr>
              <w:t>None</w:t>
            </w:r>
          </w:p>
        </w:tc>
        <w:tc>
          <w:tcPr>
            <w:tcW w:w="6210" w:type="dxa"/>
          </w:tcPr>
          <w:p w:rsidR="00DF6D6C" w:rsidRDefault="00703421">
            <w:pPr>
              <w:rPr>
                <w:sz w:val="22"/>
                <w:szCs w:val="22"/>
              </w:rPr>
            </w:pPr>
            <w:r>
              <w:rPr>
                <w:sz w:val="22"/>
                <w:szCs w:val="22"/>
              </w:rPr>
              <w:t>Manual of Patent Examining Procedure (M.P.E.P.) §2151</w:t>
            </w:r>
          </w:p>
          <w:p w:rsidR="00DF6D6C" w:rsidRDefault="00703421">
            <w:pPr>
              <w:rPr>
                <w:sz w:val="22"/>
                <w:szCs w:val="22"/>
              </w:rPr>
            </w:pPr>
            <w:r>
              <w:rPr>
                <w:sz w:val="22"/>
                <w:szCs w:val="22"/>
              </w:rPr>
              <w:t>http://www.uspto.gov/web/offices/pac/mpep/s2151.html</w:t>
            </w:r>
          </w:p>
          <w:p w:rsidR="00DF6D6C" w:rsidRDefault="00DF6D6C">
            <w:pPr>
              <w:rPr>
                <w:sz w:val="22"/>
                <w:szCs w:val="22"/>
              </w:rPr>
            </w:pPr>
          </w:p>
          <w:p w:rsidR="00DF6D6C" w:rsidRDefault="00703421">
            <w:pPr>
              <w:rPr>
                <w:sz w:val="22"/>
                <w:szCs w:val="22"/>
              </w:rPr>
            </w:pPr>
            <w:r>
              <w:rPr>
                <w:sz w:val="22"/>
                <w:szCs w:val="22"/>
              </w:rPr>
              <w:t xml:space="preserve">Manual of Patent Examining Procedure (M.P.E.P.) §2152 </w:t>
            </w:r>
          </w:p>
          <w:p w:rsidR="00DF6D6C" w:rsidRDefault="00703421">
            <w:pPr>
              <w:rPr>
                <w:sz w:val="22"/>
                <w:szCs w:val="22"/>
              </w:rPr>
            </w:pPr>
            <w:r>
              <w:rPr>
                <w:sz w:val="22"/>
                <w:szCs w:val="22"/>
              </w:rPr>
              <w:t>https://www.uspto.gov/web/offices/pac/mpep/s2152.html</w:t>
            </w:r>
          </w:p>
          <w:p w:rsidR="00DF6D6C" w:rsidRDefault="00DF6D6C">
            <w:pPr>
              <w:rPr>
                <w:sz w:val="22"/>
                <w:szCs w:val="22"/>
              </w:rPr>
            </w:pPr>
          </w:p>
          <w:p w:rsidR="00DF6D6C" w:rsidRDefault="00703421">
            <w:pPr>
              <w:rPr>
                <w:sz w:val="22"/>
                <w:szCs w:val="22"/>
              </w:rPr>
            </w:pPr>
            <w:r>
              <w:rPr>
                <w:sz w:val="22"/>
                <w:szCs w:val="22"/>
              </w:rPr>
              <w:t>Manual of Patent Examining Procedure (M.P.E.P.) §2153</w:t>
            </w:r>
          </w:p>
          <w:p w:rsidR="00DF6D6C" w:rsidRDefault="00703421">
            <w:pPr>
              <w:rPr>
                <w:sz w:val="22"/>
                <w:szCs w:val="22"/>
              </w:rPr>
            </w:pPr>
            <w:r>
              <w:rPr>
                <w:sz w:val="22"/>
                <w:szCs w:val="22"/>
              </w:rPr>
              <w:t>http://www.uspto.gov/web/offices/pac/mpep/s2153.html</w:t>
            </w:r>
          </w:p>
          <w:p w:rsidR="00DF6D6C" w:rsidRDefault="00DF6D6C">
            <w:pPr>
              <w:rPr>
                <w:b/>
                <w:sz w:val="22"/>
                <w:szCs w:val="22"/>
              </w:rPr>
            </w:pPr>
          </w:p>
        </w:tc>
      </w:tr>
      <w:tr w:rsidR="00DF6D6C">
        <w:tc>
          <w:tcPr>
            <w:tcW w:w="1098" w:type="dxa"/>
          </w:tcPr>
          <w:p w:rsidR="00DF6D6C" w:rsidRDefault="00703421">
            <w:pPr>
              <w:rPr>
                <w:sz w:val="22"/>
                <w:szCs w:val="22"/>
              </w:rPr>
            </w:pPr>
            <w:r>
              <w:rPr>
                <w:sz w:val="22"/>
                <w:szCs w:val="22"/>
              </w:rPr>
              <w:t>Lesson 3 (1.24.19)</w:t>
            </w:r>
          </w:p>
        </w:tc>
        <w:tc>
          <w:tcPr>
            <w:tcW w:w="1530" w:type="dxa"/>
          </w:tcPr>
          <w:p w:rsidR="00DF6D6C" w:rsidRDefault="00703421">
            <w:pPr>
              <w:rPr>
                <w:sz w:val="22"/>
                <w:szCs w:val="22"/>
              </w:rPr>
            </w:pPr>
            <w:r>
              <w:rPr>
                <w:sz w:val="22"/>
                <w:szCs w:val="22"/>
              </w:rPr>
              <w:t>Pre-Filing:</w:t>
            </w:r>
          </w:p>
          <w:p w:rsidR="00DF6D6C" w:rsidRDefault="00703421">
            <w:pPr>
              <w:rPr>
                <w:sz w:val="22"/>
                <w:szCs w:val="22"/>
              </w:rPr>
            </w:pPr>
            <w:r>
              <w:rPr>
                <w:sz w:val="22"/>
                <w:szCs w:val="22"/>
              </w:rPr>
              <w:t>Patent</w:t>
            </w:r>
            <w:r>
              <w:rPr>
                <w:sz w:val="22"/>
                <w:szCs w:val="22"/>
              </w:rPr>
              <w:t xml:space="preserve"> Searching/</w:t>
            </w:r>
          </w:p>
          <w:p w:rsidR="00DF6D6C" w:rsidRDefault="00703421">
            <w:pPr>
              <w:rPr>
                <w:sz w:val="22"/>
                <w:szCs w:val="22"/>
              </w:rPr>
            </w:pPr>
            <w:r>
              <w:rPr>
                <w:sz w:val="22"/>
                <w:szCs w:val="22"/>
              </w:rPr>
              <w:t>Opinions</w:t>
            </w:r>
          </w:p>
        </w:tc>
        <w:tc>
          <w:tcPr>
            <w:tcW w:w="1440" w:type="dxa"/>
          </w:tcPr>
          <w:p w:rsidR="00DF6D6C" w:rsidRDefault="00703421">
            <w:pPr>
              <w:rPr>
                <w:sz w:val="22"/>
                <w:szCs w:val="22"/>
              </w:rPr>
            </w:pPr>
            <w:r>
              <w:rPr>
                <w:sz w:val="22"/>
                <w:szCs w:val="22"/>
              </w:rPr>
              <w:t>Sheldon Chapter 5: The Patentability Search</w:t>
            </w:r>
          </w:p>
        </w:tc>
        <w:tc>
          <w:tcPr>
            <w:tcW w:w="6210" w:type="dxa"/>
          </w:tcPr>
          <w:p w:rsidR="00DF6D6C" w:rsidRDefault="00703421">
            <w:pPr>
              <w:rPr>
                <w:sz w:val="22"/>
                <w:szCs w:val="22"/>
              </w:rPr>
            </w:pPr>
            <w:r>
              <w:rPr>
                <w:sz w:val="22"/>
                <w:szCs w:val="22"/>
              </w:rPr>
              <w:t>None</w:t>
            </w:r>
          </w:p>
        </w:tc>
      </w:tr>
      <w:tr w:rsidR="00DF6D6C">
        <w:tc>
          <w:tcPr>
            <w:tcW w:w="1098" w:type="dxa"/>
          </w:tcPr>
          <w:p w:rsidR="00DF6D6C" w:rsidRDefault="00703421">
            <w:pPr>
              <w:rPr>
                <w:sz w:val="22"/>
                <w:szCs w:val="22"/>
              </w:rPr>
            </w:pPr>
            <w:r>
              <w:rPr>
                <w:sz w:val="22"/>
                <w:szCs w:val="22"/>
              </w:rPr>
              <w:t>Lesson 4 (1.31.19)</w:t>
            </w:r>
          </w:p>
        </w:tc>
        <w:tc>
          <w:tcPr>
            <w:tcW w:w="1530" w:type="dxa"/>
          </w:tcPr>
          <w:p w:rsidR="00DF6D6C" w:rsidRDefault="00703421">
            <w:pPr>
              <w:rPr>
                <w:sz w:val="22"/>
                <w:szCs w:val="22"/>
              </w:rPr>
            </w:pPr>
            <w:r>
              <w:rPr>
                <w:sz w:val="22"/>
                <w:szCs w:val="22"/>
              </w:rPr>
              <w:t>Preparing the Application:</w:t>
            </w:r>
          </w:p>
          <w:p w:rsidR="00DF6D6C" w:rsidRDefault="00703421">
            <w:pPr>
              <w:rPr>
                <w:sz w:val="22"/>
                <w:szCs w:val="22"/>
              </w:rPr>
            </w:pPr>
            <w:r>
              <w:rPr>
                <w:sz w:val="22"/>
                <w:szCs w:val="22"/>
              </w:rPr>
              <w:t>Drawings/</w:t>
            </w:r>
          </w:p>
          <w:p w:rsidR="00DF6D6C" w:rsidRDefault="00703421">
            <w:pPr>
              <w:rPr>
                <w:sz w:val="22"/>
                <w:szCs w:val="22"/>
              </w:rPr>
            </w:pPr>
            <w:r>
              <w:rPr>
                <w:sz w:val="22"/>
                <w:szCs w:val="22"/>
              </w:rPr>
              <w:t>Nomenclature</w:t>
            </w:r>
          </w:p>
        </w:tc>
        <w:tc>
          <w:tcPr>
            <w:tcW w:w="1440" w:type="dxa"/>
          </w:tcPr>
          <w:p w:rsidR="00DF6D6C" w:rsidRDefault="00703421">
            <w:pPr>
              <w:rPr>
                <w:sz w:val="22"/>
                <w:szCs w:val="22"/>
              </w:rPr>
            </w:pPr>
            <w:r>
              <w:rPr>
                <w:sz w:val="22"/>
                <w:szCs w:val="22"/>
              </w:rPr>
              <w:t>Sheldon Chapter 6: Drawings</w:t>
            </w:r>
          </w:p>
        </w:tc>
        <w:tc>
          <w:tcPr>
            <w:tcW w:w="6210" w:type="dxa"/>
          </w:tcPr>
          <w:p w:rsidR="00DF6D6C" w:rsidRDefault="00703421">
            <w:pPr>
              <w:rPr>
                <w:sz w:val="22"/>
                <w:szCs w:val="22"/>
              </w:rPr>
            </w:pPr>
            <w:r>
              <w:rPr>
                <w:sz w:val="22"/>
                <w:szCs w:val="22"/>
              </w:rPr>
              <w:t>None</w:t>
            </w:r>
          </w:p>
        </w:tc>
      </w:tr>
      <w:tr w:rsidR="00DF6D6C">
        <w:tc>
          <w:tcPr>
            <w:tcW w:w="1098" w:type="dxa"/>
          </w:tcPr>
          <w:p w:rsidR="00DF6D6C" w:rsidRDefault="00703421">
            <w:pPr>
              <w:rPr>
                <w:sz w:val="22"/>
                <w:szCs w:val="22"/>
              </w:rPr>
            </w:pPr>
            <w:r>
              <w:rPr>
                <w:sz w:val="22"/>
                <w:szCs w:val="22"/>
              </w:rPr>
              <w:t>Lesson 5 (2.7.19)</w:t>
            </w:r>
          </w:p>
        </w:tc>
        <w:tc>
          <w:tcPr>
            <w:tcW w:w="1530" w:type="dxa"/>
          </w:tcPr>
          <w:p w:rsidR="00DF6D6C" w:rsidRDefault="00703421">
            <w:pPr>
              <w:rPr>
                <w:sz w:val="22"/>
                <w:szCs w:val="22"/>
              </w:rPr>
            </w:pPr>
            <w:r>
              <w:rPr>
                <w:sz w:val="22"/>
                <w:szCs w:val="22"/>
              </w:rPr>
              <w:t>Preparing the Application:</w:t>
            </w:r>
          </w:p>
          <w:p w:rsidR="00DF6D6C" w:rsidRDefault="00703421">
            <w:pPr>
              <w:rPr>
                <w:sz w:val="22"/>
                <w:szCs w:val="22"/>
              </w:rPr>
            </w:pPr>
            <w:r>
              <w:rPr>
                <w:sz w:val="22"/>
                <w:szCs w:val="22"/>
              </w:rPr>
              <w:t>Claim Drafting</w:t>
            </w:r>
          </w:p>
        </w:tc>
        <w:tc>
          <w:tcPr>
            <w:tcW w:w="1440" w:type="dxa"/>
          </w:tcPr>
          <w:p w:rsidR="00DF6D6C" w:rsidRDefault="00703421">
            <w:pPr>
              <w:rPr>
                <w:sz w:val="22"/>
                <w:szCs w:val="22"/>
              </w:rPr>
            </w:pPr>
            <w:r>
              <w:rPr>
                <w:sz w:val="22"/>
                <w:szCs w:val="22"/>
              </w:rPr>
              <w:t>Sheldon §8:1 - §8:3</w:t>
            </w:r>
          </w:p>
        </w:tc>
        <w:tc>
          <w:tcPr>
            <w:tcW w:w="6210" w:type="dxa"/>
          </w:tcPr>
          <w:p w:rsidR="00DF6D6C" w:rsidRDefault="00703421">
            <w:pPr>
              <w:rPr>
                <w:sz w:val="22"/>
                <w:szCs w:val="22"/>
              </w:rPr>
            </w:pPr>
            <w:r>
              <w:rPr>
                <w:sz w:val="22"/>
                <w:szCs w:val="22"/>
              </w:rPr>
              <w:t>None</w:t>
            </w:r>
          </w:p>
        </w:tc>
      </w:tr>
      <w:tr w:rsidR="00DF6D6C">
        <w:tc>
          <w:tcPr>
            <w:tcW w:w="1098" w:type="dxa"/>
          </w:tcPr>
          <w:p w:rsidR="00DF6D6C" w:rsidRDefault="00703421">
            <w:pPr>
              <w:rPr>
                <w:sz w:val="22"/>
                <w:szCs w:val="22"/>
              </w:rPr>
            </w:pPr>
            <w:r>
              <w:rPr>
                <w:sz w:val="22"/>
                <w:szCs w:val="22"/>
              </w:rPr>
              <w:t>Lesson 6 (2.14.19)</w:t>
            </w:r>
          </w:p>
          <w:p w:rsidR="00DF6D6C" w:rsidRDefault="00DF6D6C">
            <w:pPr>
              <w:rPr>
                <w:sz w:val="22"/>
                <w:szCs w:val="22"/>
              </w:rPr>
            </w:pPr>
          </w:p>
        </w:tc>
        <w:tc>
          <w:tcPr>
            <w:tcW w:w="1530" w:type="dxa"/>
          </w:tcPr>
          <w:p w:rsidR="00DF6D6C" w:rsidRDefault="00703421">
            <w:pPr>
              <w:rPr>
                <w:sz w:val="22"/>
                <w:szCs w:val="22"/>
              </w:rPr>
            </w:pPr>
            <w:r>
              <w:rPr>
                <w:sz w:val="22"/>
                <w:szCs w:val="22"/>
              </w:rPr>
              <w:t>Preparing the Application:</w:t>
            </w:r>
          </w:p>
          <w:p w:rsidR="00DF6D6C" w:rsidRDefault="00703421">
            <w:pPr>
              <w:rPr>
                <w:sz w:val="22"/>
                <w:szCs w:val="22"/>
              </w:rPr>
            </w:pPr>
            <w:r>
              <w:rPr>
                <w:sz w:val="22"/>
                <w:szCs w:val="22"/>
              </w:rPr>
              <w:t xml:space="preserve">Dependent Claims, Means plus Function </w:t>
            </w:r>
          </w:p>
        </w:tc>
        <w:tc>
          <w:tcPr>
            <w:tcW w:w="1440" w:type="dxa"/>
          </w:tcPr>
          <w:p w:rsidR="00DF6D6C" w:rsidRDefault="00703421">
            <w:pPr>
              <w:rPr>
                <w:sz w:val="22"/>
                <w:szCs w:val="22"/>
              </w:rPr>
            </w:pPr>
            <w:r>
              <w:rPr>
                <w:sz w:val="22"/>
                <w:szCs w:val="22"/>
              </w:rPr>
              <w:t>Sheldon §8:4 - §8:5</w:t>
            </w:r>
          </w:p>
        </w:tc>
        <w:tc>
          <w:tcPr>
            <w:tcW w:w="6210" w:type="dxa"/>
          </w:tcPr>
          <w:p w:rsidR="00DF6D6C" w:rsidRDefault="00703421">
            <w:pPr>
              <w:rPr>
                <w:sz w:val="22"/>
                <w:szCs w:val="22"/>
              </w:rPr>
            </w:pPr>
            <w:r>
              <w:rPr>
                <w:sz w:val="22"/>
                <w:szCs w:val="22"/>
              </w:rPr>
              <w:t>None</w:t>
            </w:r>
          </w:p>
        </w:tc>
      </w:tr>
      <w:tr w:rsidR="00DF6D6C">
        <w:tc>
          <w:tcPr>
            <w:tcW w:w="1098" w:type="dxa"/>
          </w:tcPr>
          <w:p w:rsidR="00DF6D6C" w:rsidRDefault="00703421">
            <w:pPr>
              <w:rPr>
                <w:sz w:val="22"/>
                <w:szCs w:val="22"/>
              </w:rPr>
            </w:pPr>
            <w:r>
              <w:rPr>
                <w:sz w:val="22"/>
                <w:szCs w:val="22"/>
              </w:rPr>
              <w:t>Lesson 7 (2.21.19)</w:t>
            </w:r>
          </w:p>
        </w:tc>
        <w:tc>
          <w:tcPr>
            <w:tcW w:w="1530" w:type="dxa"/>
          </w:tcPr>
          <w:p w:rsidR="00DF6D6C" w:rsidRDefault="00703421">
            <w:pPr>
              <w:rPr>
                <w:sz w:val="22"/>
                <w:szCs w:val="22"/>
              </w:rPr>
            </w:pPr>
            <w:r>
              <w:rPr>
                <w:sz w:val="22"/>
                <w:szCs w:val="22"/>
              </w:rPr>
              <w:t>Preparing the Application:</w:t>
            </w:r>
          </w:p>
          <w:p w:rsidR="00DF6D6C" w:rsidRDefault="00703421">
            <w:pPr>
              <w:rPr>
                <w:sz w:val="22"/>
                <w:szCs w:val="22"/>
              </w:rPr>
            </w:pPr>
            <w:r>
              <w:rPr>
                <w:sz w:val="22"/>
                <w:szCs w:val="22"/>
              </w:rPr>
              <w:t>Method and System Claims</w:t>
            </w:r>
          </w:p>
        </w:tc>
        <w:tc>
          <w:tcPr>
            <w:tcW w:w="1440" w:type="dxa"/>
          </w:tcPr>
          <w:p w:rsidR="00DF6D6C" w:rsidRDefault="00703421">
            <w:pPr>
              <w:rPr>
                <w:sz w:val="22"/>
                <w:szCs w:val="22"/>
              </w:rPr>
            </w:pPr>
            <w:r>
              <w:rPr>
                <w:sz w:val="22"/>
                <w:szCs w:val="22"/>
              </w:rPr>
              <w:t xml:space="preserve">Sheldon §8:6 </w:t>
            </w:r>
          </w:p>
        </w:tc>
        <w:tc>
          <w:tcPr>
            <w:tcW w:w="6210" w:type="dxa"/>
          </w:tcPr>
          <w:p w:rsidR="00DF6D6C" w:rsidRDefault="00703421">
            <w:pPr>
              <w:rPr>
                <w:sz w:val="22"/>
                <w:szCs w:val="22"/>
              </w:rPr>
            </w:pPr>
            <w:r>
              <w:rPr>
                <w:sz w:val="22"/>
                <w:szCs w:val="22"/>
              </w:rPr>
              <w:t>None</w:t>
            </w:r>
          </w:p>
        </w:tc>
      </w:tr>
      <w:tr w:rsidR="00DF6D6C">
        <w:tc>
          <w:tcPr>
            <w:tcW w:w="1098" w:type="dxa"/>
          </w:tcPr>
          <w:p w:rsidR="00DF6D6C" w:rsidRDefault="00703421">
            <w:pPr>
              <w:rPr>
                <w:sz w:val="22"/>
                <w:szCs w:val="22"/>
              </w:rPr>
            </w:pPr>
            <w:r>
              <w:rPr>
                <w:sz w:val="22"/>
                <w:szCs w:val="22"/>
              </w:rPr>
              <w:t>Lesson 8 (2.28.19)</w:t>
            </w:r>
          </w:p>
        </w:tc>
        <w:tc>
          <w:tcPr>
            <w:tcW w:w="1530" w:type="dxa"/>
          </w:tcPr>
          <w:p w:rsidR="00DF6D6C" w:rsidRDefault="00703421">
            <w:pPr>
              <w:rPr>
                <w:sz w:val="22"/>
                <w:szCs w:val="22"/>
              </w:rPr>
            </w:pPr>
            <w:r>
              <w:rPr>
                <w:sz w:val="22"/>
                <w:szCs w:val="22"/>
              </w:rPr>
              <w:t>Preparing the Application:</w:t>
            </w:r>
          </w:p>
          <w:p w:rsidR="00DF6D6C" w:rsidRDefault="00703421">
            <w:pPr>
              <w:rPr>
                <w:sz w:val="22"/>
                <w:szCs w:val="22"/>
              </w:rPr>
            </w:pPr>
            <w:r>
              <w:rPr>
                <w:sz w:val="22"/>
                <w:szCs w:val="22"/>
              </w:rPr>
              <w:t>Patent Specification</w:t>
            </w:r>
          </w:p>
        </w:tc>
        <w:tc>
          <w:tcPr>
            <w:tcW w:w="1440" w:type="dxa"/>
          </w:tcPr>
          <w:p w:rsidR="00DF6D6C" w:rsidRDefault="00703421">
            <w:pPr>
              <w:rPr>
                <w:sz w:val="22"/>
                <w:szCs w:val="22"/>
              </w:rPr>
            </w:pPr>
            <w:r>
              <w:rPr>
                <w:sz w:val="22"/>
                <w:szCs w:val="22"/>
              </w:rPr>
              <w:t>Sheldon §9:1- §9:3</w:t>
            </w:r>
          </w:p>
        </w:tc>
        <w:tc>
          <w:tcPr>
            <w:tcW w:w="6210" w:type="dxa"/>
          </w:tcPr>
          <w:p w:rsidR="00DF6D6C" w:rsidRDefault="00703421">
            <w:pPr>
              <w:rPr>
                <w:b/>
                <w:sz w:val="22"/>
                <w:szCs w:val="22"/>
              </w:rPr>
            </w:pPr>
            <w:r>
              <w:rPr>
                <w:sz w:val="22"/>
                <w:szCs w:val="22"/>
              </w:rPr>
              <w:t>None</w:t>
            </w:r>
          </w:p>
        </w:tc>
      </w:tr>
      <w:tr w:rsidR="00DF6D6C">
        <w:trPr>
          <w:cantSplit/>
        </w:trPr>
        <w:tc>
          <w:tcPr>
            <w:tcW w:w="1098" w:type="dxa"/>
          </w:tcPr>
          <w:p w:rsidR="00DF6D6C" w:rsidRDefault="00703421">
            <w:pPr>
              <w:rPr>
                <w:sz w:val="22"/>
                <w:szCs w:val="22"/>
              </w:rPr>
            </w:pPr>
            <w:r>
              <w:rPr>
                <w:sz w:val="22"/>
                <w:szCs w:val="22"/>
              </w:rPr>
              <w:lastRenderedPageBreak/>
              <w:t>Lesson 9 (3.14.19)</w:t>
            </w:r>
          </w:p>
        </w:tc>
        <w:tc>
          <w:tcPr>
            <w:tcW w:w="1530" w:type="dxa"/>
          </w:tcPr>
          <w:p w:rsidR="00DF6D6C" w:rsidRDefault="00703421">
            <w:pPr>
              <w:rPr>
                <w:sz w:val="22"/>
                <w:szCs w:val="22"/>
              </w:rPr>
            </w:pPr>
            <w:r>
              <w:rPr>
                <w:sz w:val="22"/>
                <w:szCs w:val="22"/>
              </w:rPr>
              <w:t>Preparing the Application:</w:t>
            </w:r>
          </w:p>
          <w:p w:rsidR="00DF6D6C" w:rsidRDefault="00703421">
            <w:pPr>
              <w:rPr>
                <w:sz w:val="22"/>
                <w:szCs w:val="22"/>
              </w:rPr>
            </w:pPr>
            <w:r>
              <w:rPr>
                <w:sz w:val="22"/>
                <w:szCs w:val="22"/>
              </w:rPr>
              <w:t>Background and Summary</w:t>
            </w:r>
          </w:p>
        </w:tc>
        <w:tc>
          <w:tcPr>
            <w:tcW w:w="1440" w:type="dxa"/>
          </w:tcPr>
          <w:p w:rsidR="00DF6D6C" w:rsidRDefault="00703421">
            <w:pPr>
              <w:rPr>
                <w:sz w:val="22"/>
                <w:szCs w:val="22"/>
              </w:rPr>
            </w:pPr>
            <w:r>
              <w:rPr>
                <w:sz w:val="22"/>
                <w:szCs w:val="22"/>
              </w:rPr>
              <w:t>Sheldon</w:t>
            </w:r>
          </w:p>
          <w:p w:rsidR="00DF6D6C" w:rsidRDefault="00703421">
            <w:pPr>
              <w:rPr>
                <w:sz w:val="22"/>
                <w:szCs w:val="22"/>
              </w:rPr>
            </w:pPr>
            <w:r>
              <w:rPr>
                <w:sz w:val="22"/>
                <w:szCs w:val="22"/>
              </w:rPr>
              <w:t>§9:5</w:t>
            </w:r>
          </w:p>
        </w:tc>
        <w:tc>
          <w:tcPr>
            <w:tcW w:w="6210" w:type="dxa"/>
          </w:tcPr>
          <w:p w:rsidR="00DF6D6C" w:rsidRDefault="00703421">
            <w:pPr>
              <w:rPr>
                <w:sz w:val="22"/>
                <w:szCs w:val="22"/>
              </w:rPr>
            </w:pPr>
            <w:r>
              <w:rPr>
                <w:sz w:val="22"/>
                <w:szCs w:val="22"/>
              </w:rPr>
              <w:t>None</w:t>
            </w:r>
          </w:p>
        </w:tc>
      </w:tr>
      <w:tr w:rsidR="00DF6D6C">
        <w:trPr>
          <w:cantSplit/>
        </w:trPr>
        <w:tc>
          <w:tcPr>
            <w:tcW w:w="1098" w:type="dxa"/>
          </w:tcPr>
          <w:p w:rsidR="00DF6D6C" w:rsidRDefault="00703421">
            <w:pPr>
              <w:rPr>
                <w:sz w:val="22"/>
                <w:szCs w:val="22"/>
              </w:rPr>
            </w:pPr>
            <w:r>
              <w:rPr>
                <w:sz w:val="22"/>
                <w:szCs w:val="22"/>
              </w:rPr>
              <w:t>Lesson 10 (3.21.19)</w:t>
            </w:r>
          </w:p>
        </w:tc>
        <w:tc>
          <w:tcPr>
            <w:tcW w:w="1530" w:type="dxa"/>
          </w:tcPr>
          <w:p w:rsidR="00DF6D6C" w:rsidRDefault="00703421">
            <w:pPr>
              <w:rPr>
                <w:sz w:val="22"/>
                <w:szCs w:val="22"/>
              </w:rPr>
            </w:pPr>
            <w:r>
              <w:rPr>
                <w:sz w:val="22"/>
                <w:szCs w:val="22"/>
              </w:rPr>
              <w:t>Preparing the Application: Disclosure of Prior Art,</w:t>
            </w:r>
          </w:p>
          <w:p w:rsidR="00DF6D6C" w:rsidRDefault="00703421">
            <w:pPr>
              <w:rPr>
                <w:sz w:val="22"/>
                <w:szCs w:val="22"/>
              </w:rPr>
            </w:pPr>
            <w:r>
              <w:rPr>
                <w:sz w:val="22"/>
                <w:szCs w:val="22"/>
              </w:rPr>
              <w:t>Formal Papers</w:t>
            </w:r>
          </w:p>
        </w:tc>
        <w:tc>
          <w:tcPr>
            <w:tcW w:w="1440" w:type="dxa"/>
          </w:tcPr>
          <w:p w:rsidR="00DF6D6C" w:rsidRDefault="00703421">
            <w:pPr>
              <w:rPr>
                <w:sz w:val="22"/>
                <w:szCs w:val="22"/>
              </w:rPr>
            </w:pPr>
            <w:r>
              <w:rPr>
                <w:sz w:val="22"/>
                <w:szCs w:val="22"/>
              </w:rPr>
              <w:t>Sheldon</w:t>
            </w:r>
          </w:p>
          <w:p w:rsidR="00DF6D6C" w:rsidRDefault="00703421">
            <w:pPr>
              <w:rPr>
                <w:sz w:val="22"/>
                <w:szCs w:val="22"/>
              </w:rPr>
            </w:pPr>
            <w:r>
              <w:rPr>
                <w:sz w:val="22"/>
                <w:szCs w:val="22"/>
              </w:rPr>
              <w:t>10; §2:1, §2:2, §2:3</w:t>
            </w:r>
          </w:p>
        </w:tc>
        <w:tc>
          <w:tcPr>
            <w:tcW w:w="6210" w:type="dxa"/>
          </w:tcPr>
          <w:p w:rsidR="00DF6D6C" w:rsidRDefault="00703421">
            <w:pPr>
              <w:rPr>
                <w:sz w:val="22"/>
                <w:szCs w:val="22"/>
              </w:rPr>
            </w:pPr>
            <w:r>
              <w:rPr>
                <w:sz w:val="22"/>
                <w:szCs w:val="22"/>
              </w:rPr>
              <w:t>None</w:t>
            </w:r>
          </w:p>
        </w:tc>
      </w:tr>
      <w:tr w:rsidR="00DF6D6C">
        <w:tc>
          <w:tcPr>
            <w:tcW w:w="1098" w:type="dxa"/>
          </w:tcPr>
          <w:p w:rsidR="00DF6D6C" w:rsidRDefault="00703421">
            <w:pPr>
              <w:rPr>
                <w:sz w:val="22"/>
                <w:szCs w:val="22"/>
              </w:rPr>
            </w:pPr>
            <w:r>
              <w:rPr>
                <w:sz w:val="22"/>
                <w:szCs w:val="22"/>
              </w:rPr>
              <w:t>Lesson 11 (3.28.19)</w:t>
            </w:r>
          </w:p>
        </w:tc>
        <w:tc>
          <w:tcPr>
            <w:tcW w:w="1530" w:type="dxa"/>
          </w:tcPr>
          <w:p w:rsidR="00DF6D6C" w:rsidRDefault="00703421">
            <w:pPr>
              <w:rPr>
                <w:sz w:val="22"/>
                <w:szCs w:val="22"/>
              </w:rPr>
            </w:pPr>
            <w:r>
              <w:rPr>
                <w:sz w:val="22"/>
                <w:szCs w:val="22"/>
              </w:rPr>
              <w:t>Patent Prosecution:</w:t>
            </w:r>
          </w:p>
          <w:p w:rsidR="00DF6D6C" w:rsidRDefault="00703421">
            <w:pPr>
              <w:rPr>
                <w:sz w:val="22"/>
                <w:szCs w:val="22"/>
              </w:rPr>
            </w:pPr>
            <w:r>
              <w:rPr>
                <w:sz w:val="22"/>
                <w:szCs w:val="22"/>
              </w:rPr>
              <w:t>First Office Action</w:t>
            </w:r>
          </w:p>
        </w:tc>
        <w:tc>
          <w:tcPr>
            <w:tcW w:w="1440" w:type="dxa"/>
          </w:tcPr>
          <w:p w:rsidR="00DF6D6C" w:rsidRDefault="00703421">
            <w:pPr>
              <w:rPr>
                <w:sz w:val="22"/>
                <w:szCs w:val="22"/>
              </w:rPr>
            </w:pPr>
            <w:r>
              <w:rPr>
                <w:sz w:val="22"/>
                <w:szCs w:val="22"/>
              </w:rPr>
              <w:t>None</w:t>
            </w:r>
          </w:p>
        </w:tc>
        <w:tc>
          <w:tcPr>
            <w:tcW w:w="6210" w:type="dxa"/>
          </w:tcPr>
          <w:p w:rsidR="00DF6D6C" w:rsidRDefault="00703421">
            <w:pPr>
              <w:rPr>
                <w:sz w:val="22"/>
                <w:szCs w:val="22"/>
              </w:rPr>
            </w:pPr>
            <w:r>
              <w:rPr>
                <w:sz w:val="22"/>
                <w:szCs w:val="22"/>
              </w:rPr>
              <w:t>Manual of Patent Examining Procedure (M.P.E.P.) §818</w:t>
            </w:r>
          </w:p>
          <w:p w:rsidR="00DF6D6C" w:rsidRDefault="00703421">
            <w:pPr>
              <w:rPr>
                <w:sz w:val="22"/>
                <w:szCs w:val="22"/>
              </w:rPr>
            </w:pPr>
            <w:r>
              <w:rPr>
                <w:sz w:val="22"/>
                <w:szCs w:val="22"/>
              </w:rPr>
              <w:t>http://www.uspto.gov/web/offices/pac/mpep/s818.html</w:t>
            </w:r>
          </w:p>
          <w:p w:rsidR="00DF6D6C" w:rsidRDefault="00703421">
            <w:pPr>
              <w:rPr>
                <w:sz w:val="22"/>
                <w:szCs w:val="22"/>
              </w:rPr>
            </w:pPr>
            <w:r>
              <w:rPr>
                <w:sz w:val="22"/>
                <w:szCs w:val="22"/>
              </w:rPr>
              <w:t>Manual of Patent Examining Procedure (M.P.E.P.) §714</w:t>
            </w:r>
          </w:p>
          <w:p w:rsidR="00DF6D6C" w:rsidRDefault="00703421">
            <w:pPr>
              <w:rPr>
                <w:sz w:val="22"/>
                <w:szCs w:val="22"/>
              </w:rPr>
            </w:pPr>
            <w:r>
              <w:rPr>
                <w:sz w:val="22"/>
                <w:szCs w:val="22"/>
              </w:rPr>
              <w:t>http://www.uspto.gov/web/offices/</w:t>
            </w:r>
            <w:r>
              <w:rPr>
                <w:sz w:val="22"/>
                <w:szCs w:val="22"/>
              </w:rPr>
              <w:t>pac/mpep/s714.html</w:t>
            </w:r>
          </w:p>
        </w:tc>
      </w:tr>
      <w:tr w:rsidR="00DF6D6C">
        <w:tc>
          <w:tcPr>
            <w:tcW w:w="1098" w:type="dxa"/>
          </w:tcPr>
          <w:p w:rsidR="00DF6D6C" w:rsidRDefault="00703421">
            <w:pPr>
              <w:rPr>
                <w:sz w:val="22"/>
                <w:szCs w:val="22"/>
              </w:rPr>
            </w:pPr>
            <w:r>
              <w:rPr>
                <w:sz w:val="22"/>
                <w:szCs w:val="22"/>
              </w:rPr>
              <w:t>Lesson 12 (4.4.19)</w:t>
            </w:r>
          </w:p>
        </w:tc>
        <w:tc>
          <w:tcPr>
            <w:tcW w:w="1530" w:type="dxa"/>
          </w:tcPr>
          <w:p w:rsidR="00DF6D6C" w:rsidRDefault="00703421">
            <w:pPr>
              <w:rPr>
                <w:sz w:val="22"/>
                <w:szCs w:val="22"/>
              </w:rPr>
            </w:pPr>
            <w:r>
              <w:rPr>
                <w:sz w:val="22"/>
                <w:szCs w:val="22"/>
              </w:rPr>
              <w:t>Foreign Filing</w:t>
            </w:r>
          </w:p>
        </w:tc>
        <w:tc>
          <w:tcPr>
            <w:tcW w:w="1440" w:type="dxa"/>
          </w:tcPr>
          <w:p w:rsidR="00DF6D6C" w:rsidRDefault="00703421">
            <w:pPr>
              <w:rPr>
                <w:sz w:val="22"/>
                <w:szCs w:val="22"/>
              </w:rPr>
            </w:pPr>
            <w:r>
              <w:rPr>
                <w:sz w:val="22"/>
                <w:szCs w:val="22"/>
              </w:rPr>
              <w:t>Sheldon Chapter 18</w:t>
            </w:r>
          </w:p>
        </w:tc>
        <w:tc>
          <w:tcPr>
            <w:tcW w:w="6210" w:type="dxa"/>
          </w:tcPr>
          <w:p w:rsidR="00DF6D6C" w:rsidRDefault="00703421">
            <w:pPr>
              <w:rPr>
                <w:sz w:val="22"/>
                <w:szCs w:val="22"/>
              </w:rPr>
            </w:pPr>
            <w:r>
              <w:rPr>
                <w:sz w:val="22"/>
                <w:szCs w:val="22"/>
              </w:rPr>
              <w:t>Notes to the Request Form (PCT/RO/101)</w:t>
            </w:r>
          </w:p>
          <w:p w:rsidR="00DF6D6C" w:rsidRDefault="00703421">
            <w:pPr>
              <w:rPr>
                <w:sz w:val="22"/>
                <w:szCs w:val="22"/>
              </w:rPr>
            </w:pPr>
            <w:r>
              <w:rPr>
                <w:sz w:val="22"/>
                <w:szCs w:val="22"/>
              </w:rPr>
              <w:t>(</w:t>
            </w:r>
            <w:r>
              <w:rPr>
                <w:sz w:val="22"/>
                <w:szCs w:val="22"/>
              </w:rPr>
              <w:t>http://www.wipo.int/export/sites/www/pct/en/forms/request/ed_request.pdf</w:t>
            </w:r>
            <w:r>
              <w:rPr>
                <w:sz w:val="22"/>
                <w:szCs w:val="22"/>
              </w:rPr>
              <w:t>)</w:t>
            </w:r>
          </w:p>
        </w:tc>
      </w:tr>
      <w:tr w:rsidR="00DF6D6C">
        <w:tc>
          <w:tcPr>
            <w:tcW w:w="1098" w:type="dxa"/>
          </w:tcPr>
          <w:p w:rsidR="00DF6D6C" w:rsidRDefault="00703421">
            <w:pPr>
              <w:rPr>
                <w:sz w:val="22"/>
                <w:szCs w:val="22"/>
              </w:rPr>
            </w:pPr>
            <w:r>
              <w:rPr>
                <w:sz w:val="22"/>
                <w:szCs w:val="22"/>
              </w:rPr>
              <w:t>Lesson 13 (4.11.19)</w:t>
            </w:r>
          </w:p>
        </w:tc>
        <w:tc>
          <w:tcPr>
            <w:tcW w:w="1530" w:type="dxa"/>
          </w:tcPr>
          <w:p w:rsidR="00DF6D6C" w:rsidRDefault="00703421">
            <w:pPr>
              <w:rPr>
                <w:sz w:val="22"/>
                <w:szCs w:val="22"/>
              </w:rPr>
            </w:pPr>
            <w:r>
              <w:rPr>
                <w:sz w:val="22"/>
                <w:szCs w:val="22"/>
              </w:rPr>
              <w:t>Patent Prosecution:</w:t>
            </w:r>
          </w:p>
          <w:p w:rsidR="00DF6D6C" w:rsidRDefault="00703421">
            <w:pPr>
              <w:rPr>
                <w:sz w:val="22"/>
                <w:szCs w:val="22"/>
              </w:rPr>
            </w:pPr>
            <w:r>
              <w:rPr>
                <w:sz w:val="22"/>
                <w:szCs w:val="22"/>
              </w:rPr>
              <w:t>After Final Practice</w:t>
            </w:r>
          </w:p>
        </w:tc>
        <w:tc>
          <w:tcPr>
            <w:tcW w:w="1440" w:type="dxa"/>
          </w:tcPr>
          <w:p w:rsidR="00DF6D6C" w:rsidRDefault="00703421">
            <w:pPr>
              <w:rPr>
                <w:sz w:val="22"/>
                <w:szCs w:val="22"/>
              </w:rPr>
            </w:pPr>
            <w:r>
              <w:rPr>
                <w:sz w:val="22"/>
                <w:szCs w:val="22"/>
              </w:rPr>
              <w:t>None</w:t>
            </w:r>
          </w:p>
        </w:tc>
        <w:tc>
          <w:tcPr>
            <w:tcW w:w="6210" w:type="dxa"/>
          </w:tcPr>
          <w:p w:rsidR="00DF6D6C" w:rsidRDefault="00703421">
            <w:pPr>
              <w:rPr>
                <w:sz w:val="22"/>
                <w:szCs w:val="22"/>
              </w:rPr>
            </w:pPr>
            <w:r>
              <w:rPr>
                <w:sz w:val="22"/>
                <w:szCs w:val="22"/>
              </w:rPr>
              <w:t>Manual of Patent Examining Procedure (M.P.E.P.) §713</w:t>
            </w:r>
          </w:p>
          <w:p w:rsidR="00DF6D6C" w:rsidRDefault="00703421">
            <w:pPr>
              <w:rPr>
                <w:sz w:val="22"/>
                <w:szCs w:val="22"/>
              </w:rPr>
            </w:pPr>
            <w:r>
              <w:rPr>
                <w:sz w:val="22"/>
                <w:szCs w:val="22"/>
              </w:rPr>
              <w:t>(</w:t>
            </w:r>
            <w:r>
              <w:rPr>
                <w:sz w:val="22"/>
                <w:szCs w:val="22"/>
              </w:rPr>
              <w:t>http://www.uspto.gov/web/offices/pac/mpep/s713.html</w:t>
            </w:r>
            <w:r>
              <w:rPr>
                <w:sz w:val="22"/>
                <w:szCs w:val="22"/>
              </w:rPr>
              <w:t>)</w:t>
            </w:r>
          </w:p>
          <w:p w:rsidR="00DF6D6C" w:rsidRDefault="00DF6D6C">
            <w:pPr>
              <w:rPr>
                <w:sz w:val="22"/>
                <w:szCs w:val="22"/>
              </w:rPr>
            </w:pPr>
          </w:p>
          <w:p w:rsidR="00DF6D6C" w:rsidRDefault="00703421">
            <w:pPr>
              <w:rPr>
                <w:sz w:val="22"/>
                <w:szCs w:val="22"/>
              </w:rPr>
            </w:pPr>
            <w:r>
              <w:rPr>
                <w:sz w:val="22"/>
                <w:szCs w:val="22"/>
              </w:rPr>
              <w:t>Manual of Patent Examining Procedure (M.P.E.P.) §714.12 - §714.13</w:t>
            </w:r>
          </w:p>
          <w:p w:rsidR="00DF6D6C" w:rsidRDefault="00703421">
            <w:pPr>
              <w:rPr>
                <w:sz w:val="22"/>
                <w:szCs w:val="22"/>
              </w:rPr>
            </w:pPr>
            <w:r>
              <w:rPr>
                <w:sz w:val="22"/>
                <w:szCs w:val="22"/>
              </w:rPr>
              <w:t>(</w:t>
            </w:r>
            <w:hyperlink r:id="rId6" w:anchor="d0e88092" w:history="1">
              <w:r>
                <w:rPr>
                  <w:rStyle w:val="Hyperlink"/>
                  <w:sz w:val="22"/>
                  <w:szCs w:val="22"/>
                </w:rPr>
                <w:t>ht</w:t>
              </w:r>
              <w:r>
                <w:rPr>
                  <w:rStyle w:val="Hyperlink"/>
                  <w:sz w:val="22"/>
                  <w:szCs w:val="22"/>
                </w:rPr>
                <w:t>tp://www.uspto.gov/web/offices/pac/mpep/s714.html#d0e88092</w:t>
              </w:r>
            </w:hyperlink>
            <w:r>
              <w:rPr>
                <w:sz w:val="22"/>
                <w:szCs w:val="22"/>
              </w:rPr>
              <w:t>)</w:t>
            </w:r>
          </w:p>
          <w:p w:rsidR="00DF6D6C" w:rsidRDefault="00DF6D6C">
            <w:pPr>
              <w:rPr>
                <w:sz w:val="22"/>
                <w:szCs w:val="22"/>
              </w:rPr>
            </w:pPr>
          </w:p>
        </w:tc>
      </w:tr>
      <w:tr w:rsidR="00DF6D6C">
        <w:tc>
          <w:tcPr>
            <w:tcW w:w="1098" w:type="dxa"/>
          </w:tcPr>
          <w:p w:rsidR="00DF6D6C" w:rsidRDefault="00703421">
            <w:pPr>
              <w:rPr>
                <w:sz w:val="22"/>
                <w:szCs w:val="22"/>
              </w:rPr>
            </w:pPr>
            <w:r>
              <w:rPr>
                <w:sz w:val="22"/>
                <w:szCs w:val="22"/>
              </w:rPr>
              <w:t>Lesson 14 (4.18.19)</w:t>
            </w:r>
          </w:p>
        </w:tc>
        <w:tc>
          <w:tcPr>
            <w:tcW w:w="1530" w:type="dxa"/>
          </w:tcPr>
          <w:p w:rsidR="00DF6D6C" w:rsidRDefault="00703421">
            <w:pPr>
              <w:rPr>
                <w:sz w:val="22"/>
                <w:szCs w:val="22"/>
              </w:rPr>
            </w:pPr>
            <w:r>
              <w:rPr>
                <w:sz w:val="22"/>
                <w:szCs w:val="22"/>
              </w:rPr>
              <w:t>Continuing Applications,</w:t>
            </w:r>
          </w:p>
          <w:p w:rsidR="00DF6D6C" w:rsidRDefault="00703421">
            <w:pPr>
              <w:rPr>
                <w:sz w:val="22"/>
                <w:szCs w:val="22"/>
              </w:rPr>
            </w:pPr>
            <w:r>
              <w:rPr>
                <w:sz w:val="22"/>
                <w:szCs w:val="22"/>
              </w:rPr>
              <w:t>Post Grant Procedures</w:t>
            </w:r>
          </w:p>
        </w:tc>
        <w:tc>
          <w:tcPr>
            <w:tcW w:w="1440" w:type="dxa"/>
          </w:tcPr>
          <w:p w:rsidR="00DF6D6C" w:rsidRDefault="00703421">
            <w:pPr>
              <w:rPr>
                <w:sz w:val="22"/>
                <w:szCs w:val="22"/>
              </w:rPr>
            </w:pPr>
            <w:r>
              <w:rPr>
                <w:sz w:val="22"/>
                <w:szCs w:val="22"/>
              </w:rPr>
              <w:t>Sheldon, How to Write a Patent Application: §9:5.5</w:t>
            </w:r>
          </w:p>
        </w:tc>
        <w:tc>
          <w:tcPr>
            <w:tcW w:w="6210" w:type="dxa"/>
          </w:tcPr>
          <w:p w:rsidR="00DF6D6C" w:rsidRDefault="00703421">
            <w:pPr>
              <w:rPr>
                <w:sz w:val="22"/>
                <w:szCs w:val="22"/>
              </w:rPr>
            </w:pPr>
            <w:r>
              <w:rPr>
                <w:sz w:val="22"/>
                <w:szCs w:val="22"/>
              </w:rPr>
              <w:t>Manual of Patent Examining Procedure (M.P.E.P.) §201</w:t>
            </w:r>
          </w:p>
          <w:p w:rsidR="00DF6D6C" w:rsidRDefault="00703421">
            <w:pPr>
              <w:rPr>
                <w:sz w:val="22"/>
                <w:szCs w:val="22"/>
              </w:rPr>
            </w:pPr>
            <w:r>
              <w:rPr>
                <w:sz w:val="22"/>
                <w:szCs w:val="22"/>
              </w:rPr>
              <w:t>(</w:t>
            </w:r>
            <w:r>
              <w:rPr>
                <w:sz w:val="22"/>
                <w:szCs w:val="22"/>
              </w:rPr>
              <w:t>https://www.uspto.g</w:t>
            </w:r>
            <w:r>
              <w:rPr>
                <w:sz w:val="22"/>
                <w:szCs w:val="22"/>
              </w:rPr>
              <w:t>ov/web/offices/pac/mpep/s201.html</w:t>
            </w:r>
            <w:r>
              <w:rPr>
                <w:sz w:val="22"/>
                <w:szCs w:val="22"/>
              </w:rPr>
              <w:t>)</w:t>
            </w:r>
          </w:p>
        </w:tc>
      </w:tr>
    </w:tbl>
    <w:p w:rsidR="00DF6D6C" w:rsidRDefault="00DF6D6C">
      <w:pPr>
        <w:rPr>
          <w:b/>
        </w:rPr>
      </w:pPr>
    </w:p>
    <w:p w:rsidR="00DF6D6C" w:rsidRDefault="00DF6D6C">
      <w:pPr>
        <w:rPr>
          <w:b/>
        </w:rPr>
      </w:pPr>
    </w:p>
    <w:p w:rsidR="00DF6D6C" w:rsidRDefault="00DF6D6C">
      <w:pPr>
        <w:rPr>
          <w:b/>
        </w:rPr>
      </w:pPr>
    </w:p>
    <w:p w:rsidR="00DF6D6C" w:rsidRDefault="00DF6D6C"/>
    <w:p w:rsidR="00DF6D6C" w:rsidRDefault="00DF6D6C"/>
    <w:p w:rsidR="00DF6D6C" w:rsidRDefault="00DF6D6C">
      <w:pPr>
        <w:rPr>
          <w:b/>
        </w:rPr>
      </w:pPr>
    </w:p>
    <w:p w:rsidR="00DF6D6C" w:rsidRDefault="00DF6D6C"/>
    <w:p w:rsidR="00DF6D6C" w:rsidRDefault="00DF6D6C"/>
    <w:p w:rsidR="00DF6D6C" w:rsidRDefault="00DF6D6C"/>
    <w:p w:rsidR="00DF6D6C" w:rsidRDefault="00DF6D6C"/>
    <w:p w:rsidR="00DF6D6C" w:rsidRDefault="00DF6D6C"/>
    <w:p w:rsidR="00DF6D6C" w:rsidRDefault="00DF6D6C"/>
    <w:p w:rsidR="00DF6D6C" w:rsidRDefault="00DF6D6C"/>
    <w:sectPr w:rsidR="00DF6D6C">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3421">
      <w:r>
        <w:separator/>
      </w:r>
    </w:p>
  </w:endnote>
  <w:endnote w:type="continuationSeparator" w:id="0">
    <w:p w:rsidR="00000000" w:rsidRDefault="0070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6C" w:rsidRDefault="00703421">
    <w:pPr>
      <w:pStyle w:val="Footer"/>
      <w:jc w:val="center"/>
    </w:pPr>
    <w:sdt>
      <w:sdtPr>
        <w:id w:val="796883520"/>
        <w:docPartObj>
          <w:docPartGallery w:val="Page Numbers (Bottom of Page)"/>
          <w:docPartUnique/>
        </w:docPartObj>
      </w:sdtPr>
      <w:sdtEndPr>
        <w:rPr>
          <w:noProof/>
        </w:rPr>
      </w:sdtEndPr>
      <w:sdtContent>
        <w:r>
          <w:t>--</w:t>
        </w:r>
        <w:r>
          <w:fldChar w:fldCharType="begin"/>
        </w:r>
        <w:r>
          <w:instrText xml:space="preserve"> PAGE   \* MERGEFORMAT </w:instrText>
        </w:r>
        <w:r>
          <w:fldChar w:fldCharType="separate"/>
        </w:r>
        <w:r>
          <w:rPr>
            <w:noProof/>
          </w:rPr>
          <w:t>1</w:t>
        </w:r>
        <w:r>
          <w:rPr>
            <w:noProof/>
          </w:rPr>
          <w:fldChar w:fldCharType="end"/>
        </w:r>
      </w:sdtContent>
    </w:sdt>
    <w:r>
      <w:rPr>
        <w:noProof/>
      </w:rPr>
      <w:t>--</w:t>
    </w:r>
  </w:p>
  <w:p w:rsidR="00DF6D6C" w:rsidRDefault="00DF6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6C" w:rsidRDefault="00703421">
      <w:r>
        <w:separator/>
      </w:r>
    </w:p>
  </w:footnote>
  <w:footnote w:type="continuationSeparator" w:id="0">
    <w:p w:rsidR="00DF6D6C" w:rsidRDefault="00703421">
      <w:r>
        <w:continuationSeparator/>
      </w:r>
    </w:p>
  </w:footnote>
  <w:footnote w:id="1">
    <w:p w:rsidR="00DF6D6C" w:rsidRDefault="00703421">
      <w:pPr>
        <w:pStyle w:val="FootnoteText"/>
      </w:pPr>
      <w:r>
        <w:rPr>
          <w:rStyle w:val="FootnoteReference"/>
        </w:rPr>
        <w:footnoteRef/>
      </w:r>
      <w:r>
        <w:t xml:space="preserve"> How to Write a Patent Application, Second Edition, Practicing Law Institute, Jeffrey G. Sheldon (3rd Ed.)</w:t>
      </w:r>
    </w:p>
  </w:footnote>
  <w:footnote w:id="2">
    <w:p w:rsidR="00DF6D6C" w:rsidRDefault="00703421">
      <w:pPr>
        <w:pStyle w:val="FootnoteText"/>
      </w:pPr>
      <w:r>
        <w:rPr>
          <w:rStyle w:val="FootnoteReference"/>
        </w:rPr>
        <w:footnoteRef/>
      </w:r>
      <w:r>
        <w:t xml:space="preserve"> Manual of Patent Examining Procedure (MPEP) Ninth Edition, Revision 08.2017, Last Revised January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6C"/>
    <w:rsid w:val="00703421"/>
    <w:rsid w:val="00DF6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A37031-9273-41F1-9F9B-ACD87479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lang w:eastAsia="en-US"/>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sz w:val="24"/>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eastAsia="en-US"/>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pto.gov/web/offices/pac/mpep/s71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8053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Vaught,Krista</dc:creator>
  <cp:lastModifiedBy>Vaught,Krista</cp:lastModifiedBy>
  <cp:revision>2</cp:revision>
  <dcterms:created xsi:type="dcterms:W3CDTF">2019-01-04T21:43:00Z</dcterms:created>
  <dcterms:modified xsi:type="dcterms:W3CDTF">2019-01-04T21:43:00Z</dcterms:modified>
</cp:coreProperties>
</file>