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98154" w14:textId="77777777" w:rsidR="00911A7D" w:rsidRDefault="00911A7D">
      <w:pPr>
        <w:pStyle w:val="BodyText"/>
        <w:spacing w:before="10"/>
        <w:rPr>
          <w:sz w:val="16"/>
        </w:rPr>
      </w:pPr>
    </w:p>
    <w:p w14:paraId="15F34D22" w14:textId="77777777" w:rsidR="00911A7D" w:rsidRDefault="001014B3">
      <w:pPr>
        <w:spacing w:before="55"/>
        <w:ind w:left="2489" w:right="2487"/>
        <w:jc w:val="center"/>
        <w:rPr>
          <w:i/>
          <w:sz w:val="26"/>
        </w:rPr>
      </w:pPr>
      <w:r>
        <w:rPr>
          <w:i/>
          <w:sz w:val="26"/>
        </w:rPr>
        <w:t>A M E R I C A N L E G A L T H O U G H T</w:t>
      </w:r>
    </w:p>
    <w:p w14:paraId="31E2CE1F" w14:textId="77777777" w:rsidR="00911A7D" w:rsidRDefault="00911A7D">
      <w:pPr>
        <w:pStyle w:val="BodyText"/>
        <w:spacing w:before="5"/>
        <w:rPr>
          <w:i/>
          <w:sz w:val="27"/>
        </w:rPr>
      </w:pPr>
    </w:p>
    <w:p w14:paraId="650A3AA6" w14:textId="77777777" w:rsidR="00911A7D" w:rsidRDefault="001014B3">
      <w:pPr>
        <w:pStyle w:val="BodyText"/>
        <w:ind w:left="2488" w:right="2487"/>
        <w:jc w:val="center"/>
      </w:pPr>
      <w:r>
        <w:t>Prof. Collier</w:t>
      </w:r>
    </w:p>
    <w:p w14:paraId="5478E5C5" w14:textId="77777777" w:rsidR="00911A7D" w:rsidRDefault="00911A7D">
      <w:pPr>
        <w:pStyle w:val="BodyText"/>
      </w:pPr>
    </w:p>
    <w:p w14:paraId="3D138CE2" w14:textId="77777777" w:rsidR="00911A7D" w:rsidRDefault="00911A7D">
      <w:pPr>
        <w:pStyle w:val="BodyText"/>
      </w:pPr>
    </w:p>
    <w:p w14:paraId="32109D88" w14:textId="77777777" w:rsidR="00911A7D" w:rsidRDefault="00911A7D">
      <w:pPr>
        <w:pStyle w:val="BodyText"/>
        <w:spacing w:before="10"/>
        <w:rPr>
          <w:sz w:val="28"/>
        </w:rPr>
      </w:pPr>
    </w:p>
    <w:p w14:paraId="427845AB" w14:textId="77777777" w:rsidR="00911A7D" w:rsidRDefault="001014B3">
      <w:pPr>
        <w:pStyle w:val="BodyText"/>
        <w:ind w:left="2486" w:right="2487"/>
        <w:jc w:val="center"/>
      </w:pPr>
      <w:r>
        <w:t>Course Requirements</w:t>
      </w:r>
    </w:p>
    <w:p w14:paraId="1B15941B" w14:textId="77777777" w:rsidR="00911A7D" w:rsidRDefault="00911A7D">
      <w:pPr>
        <w:pStyle w:val="BodyText"/>
        <w:spacing w:before="5"/>
        <w:rPr>
          <w:sz w:val="27"/>
        </w:rPr>
      </w:pPr>
    </w:p>
    <w:p w14:paraId="25DF8143" w14:textId="77777777" w:rsidR="00911A7D" w:rsidRDefault="001014B3">
      <w:pPr>
        <w:pStyle w:val="ListParagraph"/>
        <w:numPr>
          <w:ilvl w:val="0"/>
          <w:numId w:val="1"/>
        </w:numPr>
        <w:tabs>
          <w:tab w:val="left" w:pos="1144"/>
        </w:tabs>
        <w:rPr>
          <w:i/>
          <w:sz w:val="26"/>
        </w:rPr>
      </w:pPr>
      <w:r>
        <w:rPr>
          <w:sz w:val="26"/>
        </w:rPr>
        <w:t xml:space="preserve">Casebook: Charles W. Collier, </w:t>
      </w:r>
      <w:r>
        <w:rPr>
          <w:i/>
          <w:sz w:val="26"/>
        </w:rPr>
        <w:t>Basic Themes in Law and</w:t>
      </w:r>
      <w:r>
        <w:rPr>
          <w:i/>
          <w:spacing w:val="-20"/>
          <w:sz w:val="26"/>
        </w:rPr>
        <w:t xml:space="preserve"> </w:t>
      </w:r>
      <w:r>
        <w:rPr>
          <w:i/>
          <w:sz w:val="26"/>
        </w:rPr>
        <w:t>Jurisprudence.</w:t>
      </w:r>
    </w:p>
    <w:p w14:paraId="0A6EBCB0" w14:textId="77777777" w:rsidR="00911A7D" w:rsidRDefault="001014B3">
      <w:pPr>
        <w:pStyle w:val="BodyText"/>
        <w:spacing w:before="8"/>
        <w:ind w:left="100"/>
      </w:pPr>
      <w:r>
        <w:t>LexisNexis or Anderson Publishing Co., 2000. Pp. xviii + 486.</w:t>
      </w:r>
    </w:p>
    <w:p w14:paraId="55495B24" w14:textId="77777777" w:rsidR="00911A7D" w:rsidRDefault="00911A7D">
      <w:pPr>
        <w:pStyle w:val="BodyText"/>
        <w:spacing w:before="5"/>
        <w:rPr>
          <w:sz w:val="27"/>
        </w:rPr>
      </w:pPr>
    </w:p>
    <w:p w14:paraId="7A3A5E8C" w14:textId="1E751AF9" w:rsidR="00911A7D" w:rsidRPr="001014B3" w:rsidRDefault="001014B3">
      <w:pPr>
        <w:pStyle w:val="ListParagraph"/>
        <w:numPr>
          <w:ilvl w:val="0"/>
          <w:numId w:val="1"/>
        </w:numPr>
        <w:tabs>
          <w:tab w:val="left" w:pos="1144"/>
        </w:tabs>
        <w:spacing w:line="247" w:lineRule="auto"/>
        <w:ind w:left="100" w:right="193" w:firstLine="720"/>
        <w:rPr>
          <w:i/>
          <w:sz w:val="26"/>
          <w:szCs w:val="26"/>
        </w:rPr>
      </w:pPr>
      <w:r>
        <w:rPr>
          <w:sz w:val="26"/>
        </w:rPr>
        <w:t xml:space="preserve">Preparation. Advance preparation for class is essential. I will usually attempt to give a rough estimate of the next week's reading on Wednesdays. </w:t>
      </w:r>
      <w:r>
        <w:rPr>
          <w:i/>
          <w:sz w:val="26"/>
        </w:rPr>
        <w:t>But in any event you are always responsible fo</w:t>
      </w:r>
      <w:r>
        <w:rPr>
          <w:i/>
          <w:sz w:val="26"/>
        </w:rPr>
        <w:t>r preparing at least 10 pages beyond the point where the previous class</w:t>
      </w:r>
      <w:r>
        <w:rPr>
          <w:i/>
          <w:spacing w:val="-3"/>
          <w:sz w:val="26"/>
        </w:rPr>
        <w:t xml:space="preserve"> </w:t>
      </w:r>
      <w:r>
        <w:rPr>
          <w:i/>
          <w:sz w:val="26"/>
        </w:rPr>
        <w:t>en</w:t>
      </w:r>
      <w:r w:rsidRPr="001014B3">
        <w:rPr>
          <w:i/>
          <w:sz w:val="26"/>
          <w:szCs w:val="26"/>
        </w:rPr>
        <w:t xml:space="preserve">ded. </w:t>
      </w:r>
      <w:r w:rsidRPr="001014B3">
        <w:rPr>
          <w:sz w:val="26"/>
          <w:szCs w:val="26"/>
        </w:rPr>
        <w:t>Students should expect to spend at least two hours outside of class reading and preparing for every hour of class</w:t>
      </w:r>
      <w:r>
        <w:rPr>
          <w:sz w:val="26"/>
          <w:szCs w:val="26"/>
        </w:rPr>
        <w:t>.</w:t>
      </w:r>
    </w:p>
    <w:p w14:paraId="2C4A2556" w14:textId="77777777" w:rsidR="00911A7D" w:rsidRPr="001014B3" w:rsidRDefault="00911A7D">
      <w:pPr>
        <w:pStyle w:val="BodyText"/>
        <w:spacing w:before="5"/>
        <w:rPr>
          <w:i/>
        </w:rPr>
      </w:pPr>
    </w:p>
    <w:p w14:paraId="33870D1D" w14:textId="77777777" w:rsidR="00911A7D" w:rsidRDefault="001014B3">
      <w:pPr>
        <w:pStyle w:val="BodyText"/>
        <w:spacing w:line="247" w:lineRule="auto"/>
        <w:ind w:left="100" w:right="56" w:firstLine="720"/>
      </w:pPr>
      <w:r>
        <w:t xml:space="preserve">We'll generally follow the order of the readings in the materials, but some selections may be skipped, and other assignments may be added from other sources from time to time. </w:t>
      </w:r>
      <w:r>
        <w:t>Parts IV and V will not be read in their entirety; a modified list of selections from those parts will be handed out later. (Any other modifications will be announced in class.) Selections in [brackets] are optional.</w:t>
      </w:r>
    </w:p>
    <w:p w14:paraId="5F0EE634" w14:textId="77777777" w:rsidR="00911A7D" w:rsidRDefault="00911A7D">
      <w:pPr>
        <w:pStyle w:val="BodyText"/>
        <w:spacing w:before="5"/>
      </w:pPr>
    </w:p>
    <w:p w14:paraId="59A23C78" w14:textId="4FE98E62" w:rsidR="00911A7D" w:rsidRDefault="001014B3">
      <w:pPr>
        <w:pStyle w:val="ListParagraph"/>
        <w:numPr>
          <w:ilvl w:val="0"/>
          <w:numId w:val="1"/>
        </w:numPr>
        <w:tabs>
          <w:tab w:val="left" w:pos="1144"/>
        </w:tabs>
        <w:spacing w:line="247" w:lineRule="auto"/>
        <w:ind w:left="100" w:right="235" w:firstLine="720"/>
        <w:rPr>
          <w:sz w:val="26"/>
          <w:szCs w:val="26"/>
        </w:rPr>
      </w:pPr>
      <w:r>
        <w:rPr>
          <w:sz w:val="26"/>
        </w:rPr>
        <w:t>Class participation. Students will be called on regularly. Much of the material in this course is subject to multiple interpretations; your insights are a highly relevant component of the course. The quality of class participation will be taken into accoun</w:t>
      </w:r>
      <w:r>
        <w:rPr>
          <w:sz w:val="26"/>
        </w:rPr>
        <w:t>t in the determination of</w:t>
      </w:r>
      <w:r>
        <w:rPr>
          <w:spacing w:val="-1"/>
          <w:sz w:val="26"/>
        </w:rPr>
        <w:t xml:space="preserve"> </w:t>
      </w:r>
      <w:r>
        <w:rPr>
          <w:sz w:val="26"/>
        </w:rPr>
        <w:t>grades.</w:t>
      </w:r>
      <w:r w:rsidRPr="001014B3">
        <w:t xml:space="preserve"> </w:t>
      </w:r>
      <w:r w:rsidRPr="001014B3">
        <w:rPr>
          <w:sz w:val="26"/>
        </w:rPr>
        <w:t>Attendance in class is required by both the ABA and the Law School.  If you miss classes, your grade for the semester may be adversely af</w:t>
      </w:r>
      <w:r w:rsidRPr="001014B3">
        <w:rPr>
          <w:sz w:val="26"/>
          <w:szCs w:val="26"/>
        </w:rPr>
        <w:t>fected.  If you have a legitimate reason for missing class, you should contact me before or soon after class for your absence to be excused.</w:t>
      </w:r>
    </w:p>
    <w:p w14:paraId="4E083039" w14:textId="77777777" w:rsidR="001014B3" w:rsidRPr="001014B3" w:rsidRDefault="001014B3" w:rsidP="001014B3">
      <w:pPr>
        <w:tabs>
          <w:tab w:val="left" w:pos="1144"/>
        </w:tabs>
        <w:spacing w:line="247" w:lineRule="auto"/>
        <w:ind w:right="235"/>
        <w:rPr>
          <w:sz w:val="26"/>
          <w:szCs w:val="26"/>
        </w:rPr>
      </w:pPr>
    </w:p>
    <w:p w14:paraId="2F933432" w14:textId="3D4635A2" w:rsidR="001014B3" w:rsidRPr="001014B3" w:rsidRDefault="001014B3">
      <w:pPr>
        <w:pStyle w:val="ListParagraph"/>
        <w:numPr>
          <w:ilvl w:val="0"/>
          <w:numId w:val="1"/>
        </w:numPr>
        <w:tabs>
          <w:tab w:val="left" w:pos="1144"/>
        </w:tabs>
        <w:spacing w:line="247" w:lineRule="auto"/>
        <w:ind w:left="100" w:right="235" w:firstLine="720"/>
        <w:rPr>
          <w:sz w:val="26"/>
          <w:szCs w:val="26"/>
        </w:rPr>
      </w:pPr>
      <w:r w:rsidRPr="001014B3">
        <w:rPr>
          <w:sz w:val="26"/>
          <w:szCs w:val="26"/>
        </w:rPr>
        <w:t>Students requesting accommodations for disabilities must first register with the Disability Resource Center  (</w:t>
      </w:r>
      <w:hyperlink r:id="rId7" w:history="1">
        <w:r w:rsidRPr="001014B3">
          <w:rPr>
            <w:rStyle w:val="Hyperlink"/>
            <w:sz w:val="26"/>
            <w:szCs w:val="26"/>
          </w:rPr>
          <w:t>http://www.dso.ufl.edu/drc/</w:t>
        </w:r>
      </w:hyperlink>
      <w:r w:rsidRPr="001014B3">
        <w:rPr>
          <w:sz w:val="26"/>
          <w:szCs w:val="26"/>
        </w:rPr>
        <w:t>). Once registered, students will receive an accommodation letter, which must be presented to the Assistant Dean for Student Affairs (Assistant Dean Brian Mitchell). Students with disabilities should follow this procedure as early as possible in the semester.</w:t>
      </w:r>
    </w:p>
    <w:p w14:paraId="3FF6B0CB" w14:textId="77777777" w:rsidR="00911A7D" w:rsidRPr="001014B3" w:rsidRDefault="00911A7D">
      <w:pPr>
        <w:pStyle w:val="BodyText"/>
        <w:spacing w:before="5"/>
      </w:pPr>
    </w:p>
    <w:p w14:paraId="75E9367B" w14:textId="246FEFF5" w:rsidR="00911A7D" w:rsidRDefault="001014B3">
      <w:pPr>
        <w:pStyle w:val="ListParagraph"/>
        <w:numPr>
          <w:ilvl w:val="0"/>
          <w:numId w:val="1"/>
        </w:numPr>
        <w:tabs>
          <w:tab w:val="left" w:pos="1144"/>
        </w:tabs>
        <w:spacing w:line="247" w:lineRule="auto"/>
        <w:ind w:left="100" w:right="302" w:firstLine="720"/>
        <w:rPr>
          <w:sz w:val="26"/>
        </w:rPr>
      </w:pPr>
      <w:r>
        <w:rPr>
          <w:sz w:val="26"/>
        </w:rPr>
        <w:t xml:space="preserve">Classroom Etiquette. Cellphones should be turned off prior to class or not brought into the classroom at all. If </w:t>
      </w:r>
      <w:r>
        <w:rPr>
          <w:spacing w:val="-3"/>
          <w:sz w:val="26"/>
        </w:rPr>
        <w:t xml:space="preserve">you </w:t>
      </w:r>
      <w:r>
        <w:rPr>
          <w:sz w:val="26"/>
        </w:rPr>
        <w:t xml:space="preserve">need to make or take a call during the class period, </w:t>
      </w:r>
      <w:r>
        <w:rPr>
          <w:spacing w:val="-3"/>
          <w:sz w:val="26"/>
        </w:rPr>
        <w:t xml:space="preserve">you </w:t>
      </w:r>
      <w:r>
        <w:rPr>
          <w:sz w:val="26"/>
        </w:rPr>
        <w:t xml:space="preserve">should not attend class that day. If </w:t>
      </w:r>
      <w:r>
        <w:rPr>
          <w:spacing w:val="-3"/>
          <w:sz w:val="26"/>
        </w:rPr>
        <w:t xml:space="preserve">you </w:t>
      </w:r>
      <w:r>
        <w:rPr>
          <w:sz w:val="26"/>
        </w:rPr>
        <w:t xml:space="preserve">think </w:t>
      </w:r>
      <w:r>
        <w:rPr>
          <w:sz w:val="26"/>
        </w:rPr>
        <w:t xml:space="preserve">your computer might make a </w:t>
      </w:r>
      <w:r>
        <w:rPr>
          <w:sz w:val="26"/>
        </w:rPr>
        <w:lastRenderedPageBreak/>
        <w:t xml:space="preserve">noise during class, please do not bring it into the classroom that day. </w:t>
      </w:r>
      <w:r w:rsidRPr="001014B3">
        <w:rPr>
          <w:sz w:val="26"/>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r>
        <w:rPr>
          <w:sz w:val="26"/>
        </w:rPr>
        <w:t xml:space="preserve">. </w:t>
      </w:r>
      <w:r>
        <w:rPr>
          <w:sz w:val="26"/>
        </w:rPr>
        <w:t xml:space="preserve">These rules are for the benefit of </w:t>
      </w:r>
      <w:r>
        <w:rPr>
          <w:spacing w:val="-3"/>
          <w:sz w:val="26"/>
        </w:rPr>
        <w:t xml:space="preserve">you </w:t>
      </w:r>
      <w:r>
        <w:rPr>
          <w:sz w:val="26"/>
        </w:rPr>
        <w:t>and your fellow</w:t>
      </w:r>
      <w:r>
        <w:rPr>
          <w:spacing w:val="-5"/>
          <w:sz w:val="26"/>
        </w:rPr>
        <w:t xml:space="preserve"> </w:t>
      </w:r>
      <w:r>
        <w:rPr>
          <w:sz w:val="26"/>
        </w:rPr>
        <w:t>classmates.</w:t>
      </w:r>
    </w:p>
    <w:p w14:paraId="0EDC0B9E" w14:textId="77777777" w:rsidR="00911A7D" w:rsidRDefault="00911A7D">
      <w:pPr>
        <w:pStyle w:val="BodyText"/>
        <w:spacing w:before="4"/>
      </w:pPr>
    </w:p>
    <w:p w14:paraId="2AB6547D" w14:textId="77777777" w:rsidR="00911A7D" w:rsidRDefault="001014B3">
      <w:pPr>
        <w:pStyle w:val="ListParagraph"/>
        <w:numPr>
          <w:ilvl w:val="0"/>
          <w:numId w:val="1"/>
        </w:numPr>
        <w:tabs>
          <w:tab w:val="left" w:pos="1144"/>
        </w:tabs>
        <w:spacing w:line="247" w:lineRule="auto"/>
        <w:ind w:left="100" w:right="149" w:firstLine="720"/>
        <w:rPr>
          <w:sz w:val="26"/>
        </w:rPr>
      </w:pPr>
      <w:r>
        <w:rPr>
          <w:sz w:val="26"/>
        </w:rPr>
        <w:t>Paper Requirements. Two papers are required for this course; there are no exams. The firs</w:t>
      </w:r>
      <w:r>
        <w:rPr>
          <w:sz w:val="26"/>
        </w:rPr>
        <w:t>t paper (10 pages (double-spaced) maximum) will be due at our last class (which is not necessarily the same day as the "last day of classes" generally). At that time the topic for the second paper (5 pages (double-spaced) maximum) will be handed out. The s</w:t>
      </w:r>
      <w:r>
        <w:rPr>
          <w:sz w:val="26"/>
        </w:rPr>
        <w:t>econd paper is due on the last day of the examination</w:t>
      </w:r>
      <w:r>
        <w:rPr>
          <w:spacing w:val="-20"/>
          <w:sz w:val="26"/>
        </w:rPr>
        <w:t xml:space="preserve"> </w:t>
      </w:r>
      <w:r>
        <w:rPr>
          <w:sz w:val="26"/>
        </w:rPr>
        <w:t>period.</w:t>
      </w:r>
    </w:p>
    <w:p w14:paraId="574770EB" w14:textId="77777777" w:rsidR="001014B3" w:rsidRDefault="001014B3">
      <w:pPr>
        <w:pStyle w:val="BodyText"/>
        <w:spacing w:before="42" w:line="247" w:lineRule="auto"/>
        <w:ind w:left="100" w:right="103" w:firstLine="720"/>
      </w:pPr>
    </w:p>
    <w:p w14:paraId="721F545E" w14:textId="48AB24E5" w:rsidR="00911A7D" w:rsidRPr="001014B3" w:rsidRDefault="001014B3">
      <w:pPr>
        <w:pStyle w:val="BodyText"/>
        <w:spacing w:before="42" w:line="247" w:lineRule="auto"/>
        <w:ind w:left="100" w:right="103" w:firstLine="720"/>
      </w:pPr>
      <w:r>
        <w:t xml:space="preserve">The topic for the first paper is as follows: Write a paper having something to do with one or more of the coursebook readings (including class handouts and films). You must turn in a written </w:t>
      </w:r>
      <w:r>
        <w:rPr>
          <w:i/>
        </w:rPr>
        <w:t xml:space="preserve">statement of your topic </w:t>
      </w:r>
      <w:r>
        <w:t>before Spring Break. Along with this stat</w:t>
      </w:r>
      <w:r>
        <w:t xml:space="preserve">ement </w:t>
      </w:r>
      <w:r>
        <w:rPr>
          <w:spacing w:val="-3"/>
        </w:rPr>
        <w:t xml:space="preserve">you </w:t>
      </w:r>
      <w:r>
        <w:t xml:space="preserve">should also include a </w:t>
      </w:r>
      <w:r>
        <w:rPr>
          <w:i/>
        </w:rPr>
        <w:t xml:space="preserve">statement of your thesis. </w:t>
      </w:r>
      <w:r>
        <w:t xml:space="preserve">Your thesis is the proposition </w:t>
      </w:r>
      <w:r>
        <w:rPr>
          <w:spacing w:val="-3"/>
        </w:rPr>
        <w:t xml:space="preserve">you </w:t>
      </w:r>
      <w:r>
        <w:t xml:space="preserve">will advance and argue for in the paper. "I am going to discuss </w:t>
      </w:r>
      <w:r>
        <w:rPr>
          <w:i/>
        </w:rPr>
        <w:t>The Lottery</w:t>
      </w:r>
      <w:r>
        <w:t xml:space="preserve">" is not a thesis. "I am going to show that the political philosophy underlying </w:t>
      </w:r>
      <w:r>
        <w:rPr>
          <w:i/>
        </w:rPr>
        <w:t>The Lott</w:t>
      </w:r>
      <w:r>
        <w:rPr>
          <w:i/>
        </w:rPr>
        <w:t xml:space="preserve">ery </w:t>
      </w:r>
      <w:r>
        <w:t>is illogical, irrational, inconsistent, and contradicts all that American legal</w:t>
      </w:r>
      <w:r>
        <w:rPr>
          <w:spacing w:val="-38"/>
        </w:rPr>
        <w:t xml:space="preserve"> </w:t>
      </w:r>
      <w:r>
        <w:t xml:space="preserve">thought stands for" is a thesis. Formulating a thesis will help to focus and guide your thinking. If </w:t>
      </w:r>
      <w:r w:rsidRPr="001014B3">
        <w:t xml:space="preserve">at that time </w:t>
      </w:r>
      <w:r w:rsidRPr="001014B3">
        <w:rPr>
          <w:spacing w:val="-3"/>
        </w:rPr>
        <w:t xml:space="preserve">you </w:t>
      </w:r>
      <w:r w:rsidRPr="001014B3">
        <w:t xml:space="preserve">can also provide a brief </w:t>
      </w:r>
      <w:r w:rsidRPr="001014B3">
        <w:rPr>
          <w:i/>
        </w:rPr>
        <w:t xml:space="preserve">outline </w:t>
      </w:r>
      <w:r w:rsidRPr="001014B3">
        <w:t>of your paper, that w</w:t>
      </w:r>
      <w:r w:rsidRPr="001014B3">
        <w:t>ould be good too</w:t>
      </w:r>
      <w:r w:rsidRPr="001014B3">
        <w:rPr>
          <w:spacing w:val="-43"/>
        </w:rPr>
        <w:t xml:space="preserve"> </w:t>
      </w:r>
      <w:r w:rsidRPr="001014B3">
        <w:t>(but this is not</w:t>
      </w:r>
      <w:r w:rsidRPr="001014B3">
        <w:rPr>
          <w:spacing w:val="-4"/>
        </w:rPr>
        <w:t xml:space="preserve"> </w:t>
      </w:r>
      <w:r w:rsidRPr="001014B3">
        <w:t>required).</w:t>
      </w:r>
    </w:p>
    <w:p w14:paraId="68B338A9" w14:textId="3E919292" w:rsidR="001014B3" w:rsidRPr="001014B3" w:rsidRDefault="001014B3">
      <w:pPr>
        <w:pStyle w:val="BodyText"/>
        <w:spacing w:before="42" w:line="247" w:lineRule="auto"/>
        <w:ind w:left="100" w:right="103" w:firstLine="720"/>
      </w:pPr>
    </w:p>
    <w:p w14:paraId="262D1586" w14:textId="77777777" w:rsidR="001014B3" w:rsidRPr="001014B3" w:rsidRDefault="001014B3" w:rsidP="001014B3">
      <w:pPr>
        <w:widowControl/>
        <w:autoSpaceDE/>
        <w:autoSpaceDN/>
        <w:spacing w:after="160" w:line="259" w:lineRule="auto"/>
        <w:contextualSpacing/>
        <w:rPr>
          <w:sz w:val="26"/>
          <w:szCs w:val="26"/>
        </w:rPr>
      </w:pPr>
      <w:r w:rsidRPr="001014B3">
        <w:rPr>
          <w:sz w:val="26"/>
          <w:szCs w:val="26"/>
        </w:rPr>
        <w:t xml:space="preserve">This course follows the Levin College of Law’s grading policies found </w:t>
      </w:r>
      <w:hyperlink r:id="rId8" w:history="1">
        <w:r w:rsidRPr="001014B3">
          <w:rPr>
            <w:rStyle w:val="Hyperlink"/>
            <w:sz w:val="26"/>
            <w:szCs w:val="26"/>
          </w:rPr>
          <w:t>here</w:t>
        </w:r>
      </w:hyperlink>
      <w:r w:rsidRPr="001014B3">
        <w:rPr>
          <w:sz w:val="26"/>
          <w:szCs w:val="26"/>
        </w:rPr>
        <w:t>. The following chart describes the specific letter grade/grade point equivalent in place:</w:t>
      </w:r>
    </w:p>
    <w:p w14:paraId="2A9F79F1" w14:textId="77777777" w:rsidR="001014B3" w:rsidRPr="001014B3" w:rsidRDefault="001014B3" w:rsidP="001014B3">
      <w:pPr>
        <w:pStyle w:val="ListParagraph"/>
        <w:ind w:left="1080"/>
        <w:rPr>
          <w:sz w:val="26"/>
          <w:szCs w:val="26"/>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1014B3" w:rsidRPr="001014B3" w14:paraId="242FB6CE" w14:textId="77777777" w:rsidTr="00E26517">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15D83C" w14:textId="77777777" w:rsidR="001014B3" w:rsidRPr="001014B3" w:rsidRDefault="001014B3" w:rsidP="00E26517">
            <w:pPr>
              <w:rPr>
                <w:sz w:val="26"/>
                <w:szCs w:val="26"/>
              </w:rPr>
            </w:pPr>
            <w:r w:rsidRPr="001014B3">
              <w:rPr>
                <w:sz w:val="26"/>
                <w:szCs w:val="26"/>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154CCA" w14:textId="77777777" w:rsidR="001014B3" w:rsidRPr="001014B3" w:rsidRDefault="001014B3" w:rsidP="00E26517">
            <w:pPr>
              <w:rPr>
                <w:sz w:val="26"/>
                <w:szCs w:val="26"/>
              </w:rPr>
            </w:pPr>
            <w:r w:rsidRPr="001014B3">
              <w:rPr>
                <w:sz w:val="26"/>
                <w:szCs w:val="26"/>
              </w:rPr>
              <w:t>Point Equivalent</w:t>
            </w:r>
          </w:p>
        </w:tc>
      </w:tr>
      <w:tr w:rsidR="001014B3" w:rsidRPr="001014B3" w14:paraId="0EC4EFC1" w14:textId="77777777" w:rsidTr="00E26517">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4B302" w14:textId="77777777" w:rsidR="001014B3" w:rsidRPr="001014B3" w:rsidRDefault="001014B3" w:rsidP="00E26517">
            <w:pPr>
              <w:rPr>
                <w:sz w:val="26"/>
                <w:szCs w:val="26"/>
              </w:rPr>
            </w:pPr>
            <w:r w:rsidRPr="001014B3">
              <w:rPr>
                <w:sz w:val="26"/>
                <w:szCs w:val="26"/>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D43A14" w14:textId="77777777" w:rsidR="001014B3" w:rsidRPr="001014B3" w:rsidRDefault="001014B3" w:rsidP="00E26517">
            <w:pPr>
              <w:rPr>
                <w:sz w:val="26"/>
                <w:szCs w:val="26"/>
              </w:rPr>
            </w:pPr>
            <w:r w:rsidRPr="001014B3">
              <w:rPr>
                <w:sz w:val="26"/>
                <w:szCs w:val="26"/>
              </w:rPr>
              <w:t>4.0</w:t>
            </w:r>
          </w:p>
        </w:tc>
      </w:tr>
      <w:tr w:rsidR="001014B3" w:rsidRPr="001014B3" w14:paraId="4F6F57B3" w14:textId="77777777" w:rsidTr="00E2651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E7477" w14:textId="77777777" w:rsidR="001014B3" w:rsidRPr="001014B3" w:rsidRDefault="001014B3" w:rsidP="00E26517">
            <w:pPr>
              <w:rPr>
                <w:sz w:val="26"/>
                <w:szCs w:val="26"/>
              </w:rPr>
            </w:pPr>
            <w:r w:rsidRPr="001014B3">
              <w:rPr>
                <w:sz w:val="26"/>
                <w:szCs w:val="26"/>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536B94B" w14:textId="77777777" w:rsidR="001014B3" w:rsidRPr="001014B3" w:rsidRDefault="001014B3" w:rsidP="00E26517">
            <w:pPr>
              <w:rPr>
                <w:sz w:val="26"/>
                <w:szCs w:val="26"/>
              </w:rPr>
            </w:pPr>
            <w:r w:rsidRPr="001014B3">
              <w:rPr>
                <w:sz w:val="26"/>
                <w:szCs w:val="26"/>
              </w:rPr>
              <w:t>3.67</w:t>
            </w:r>
          </w:p>
        </w:tc>
      </w:tr>
      <w:tr w:rsidR="001014B3" w:rsidRPr="001014B3" w14:paraId="70AE4B63" w14:textId="77777777" w:rsidTr="00E2651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445C4" w14:textId="77777777" w:rsidR="001014B3" w:rsidRPr="001014B3" w:rsidRDefault="001014B3" w:rsidP="00E26517">
            <w:pPr>
              <w:rPr>
                <w:sz w:val="26"/>
                <w:szCs w:val="26"/>
              </w:rPr>
            </w:pPr>
            <w:r w:rsidRPr="001014B3">
              <w:rPr>
                <w:sz w:val="26"/>
                <w:szCs w:val="26"/>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67564F1" w14:textId="77777777" w:rsidR="001014B3" w:rsidRPr="001014B3" w:rsidRDefault="001014B3" w:rsidP="00E26517">
            <w:pPr>
              <w:rPr>
                <w:sz w:val="26"/>
                <w:szCs w:val="26"/>
              </w:rPr>
            </w:pPr>
            <w:r w:rsidRPr="001014B3">
              <w:rPr>
                <w:sz w:val="26"/>
                <w:szCs w:val="26"/>
              </w:rPr>
              <w:t>3.33</w:t>
            </w:r>
          </w:p>
        </w:tc>
      </w:tr>
      <w:tr w:rsidR="001014B3" w:rsidRPr="001014B3" w14:paraId="07EC944C" w14:textId="77777777" w:rsidTr="00E2651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F0CFF" w14:textId="77777777" w:rsidR="001014B3" w:rsidRPr="001014B3" w:rsidRDefault="001014B3" w:rsidP="00E26517">
            <w:pPr>
              <w:rPr>
                <w:sz w:val="26"/>
                <w:szCs w:val="26"/>
              </w:rPr>
            </w:pPr>
            <w:r w:rsidRPr="001014B3">
              <w:rPr>
                <w:sz w:val="26"/>
                <w:szCs w:val="26"/>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FF2928A" w14:textId="77777777" w:rsidR="001014B3" w:rsidRPr="001014B3" w:rsidRDefault="001014B3" w:rsidP="00E26517">
            <w:pPr>
              <w:rPr>
                <w:sz w:val="26"/>
                <w:szCs w:val="26"/>
              </w:rPr>
            </w:pPr>
            <w:r w:rsidRPr="001014B3">
              <w:rPr>
                <w:sz w:val="26"/>
                <w:szCs w:val="26"/>
              </w:rPr>
              <w:t>3.0</w:t>
            </w:r>
          </w:p>
        </w:tc>
      </w:tr>
      <w:tr w:rsidR="001014B3" w:rsidRPr="001014B3" w14:paraId="324F53C0" w14:textId="77777777" w:rsidTr="00E2651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1EB1F" w14:textId="77777777" w:rsidR="001014B3" w:rsidRPr="001014B3" w:rsidRDefault="001014B3" w:rsidP="00E26517">
            <w:pPr>
              <w:rPr>
                <w:sz w:val="26"/>
                <w:szCs w:val="26"/>
              </w:rPr>
            </w:pPr>
            <w:r w:rsidRPr="001014B3">
              <w:rPr>
                <w:sz w:val="26"/>
                <w:szCs w:val="26"/>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6A5D0FD" w14:textId="77777777" w:rsidR="001014B3" w:rsidRPr="001014B3" w:rsidRDefault="001014B3" w:rsidP="00E26517">
            <w:pPr>
              <w:rPr>
                <w:sz w:val="26"/>
                <w:szCs w:val="26"/>
              </w:rPr>
            </w:pPr>
            <w:r w:rsidRPr="001014B3">
              <w:rPr>
                <w:sz w:val="26"/>
                <w:szCs w:val="26"/>
              </w:rPr>
              <w:t>2.67</w:t>
            </w:r>
          </w:p>
        </w:tc>
      </w:tr>
      <w:tr w:rsidR="001014B3" w:rsidRPr="001014B3" w14:paraId="5267DE59" w14:textId="77777777" w:rsidTr="00E2651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CBE6C" w14:textId="77777777" w:rsidR="001014B3" w:rsidRPr="001014B3" w:rsidRDefault="001014B3" w:rsidP="00E26517">
            <w:pPr>
              <w:rPr>
                <w:sz w:val="26"/>
                <w:szCs w:val="26"/>
              </w:rPr>
            </w:pPr>
            <w:r w:rsidRPr="001014B3">
              <w:rPr>
                <w:sz w:val="26"/>
                <w:szCs w:val="26"/>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3320EA0" w14:textId="77777777" w:rsidR="001014B3" w:rsidRPr="001014B3" w:rsidRDefault="001014B3" w:rsidP="00E26517">
            <w:pPr>
              <w:rPr>
                <w:sz w:val="26"/>
                <w:szCs w:val="26"/>
              </w:rPr>
            </w:pPr>
            <w:r w:rsidRPr="001014B3">
              <w:rPr>
                <w:sz w:val="26"/>
                <w:szCs w:val="26"/>
              </w:rPr>
              <w:t>2.33</w:t>
            </w:r>
          </w:p>
        </w:tc>
      </w:tr>
      <w:tr w:rsidR="001014B3" w:rsidRPr="001014B3" w14:paraId="0C5E3626" w14:textId="77777777" w:rsidTr="00E2651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9EE72" w14:textId="77777777" w:rsidR="001014B3" w:rsidRPr="001014B3" w:rsidRDefault="001014B3" w:rsidP="00E26517">
            <w:pPr>
              <w:rPr>
                <w:sz w:val="26"/>
                <w:szCs w:val="26"/>
              </w:rPr>
            </w:pPr>
            <w:r w:rsidRPr="001014B3">
              <w:rPr>
                <w:sz w:val="26"/>
                <w:szCs w:val="26"/>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CD7DC1" w14:textId="77777777" w:rsidR="001014B3" w:rsidRPr="001014B3" w:rsidRDefault="001014B3" w:rsidP="00E26517">
            <w:pPr>
              <w:rPr>
                <w:sz w:val="26"/>
                <w:szCs w:val="26"/>
              </w:rPr>
            </w:pPr>
            <w:r w:rsidRPr="001014B3">
              <w:rPr>
                <w:sz w:val="26"/>
                <w:szCs w:val="26"/>
              </w:rPr>
              <w:t>2.0</w:t>
            </w:r>
          </w:p>
        </w:tc>
      </w:tr>
      <w:tr w:rsidR="001014B3" w:rsidRPr="001014B3" w14:paraId="086CD9D6" w14:textId="77777777" w:rsidTr="00E2651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00BE6" w14:textId="77777777" w:rsidR="001014B3" w:rsidRPr="001014B3" w:rsidRDefault="001014B3" w:rsidP="00E26517">
            <w:pPr>
              <w:rPr>
                <w:sz w:val="26"/>
                <w:szCs w:val="26"/>
              </w:rPr>
            </w:pPr>
            <w:r w:rsidRPr="001014B3">
              <w:rPr>
                <w:sz w:val="26"/>
                <w:szCs w:val="26"/>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AE543F5" w14:textId="77777777" w:rsidR="001014B3" w:rsidRPr="001014B3" w:rsidRDefault="001014B3" w:rsidP="00E26517">
            <w:pPr>
              <w:rPr>
                <w:sz w:val="26"/>
                <w:szCs w:val="26"/>
              </w:rPr>
            </w:pPr>
            <w:r w:rsidRPr="001014B3">
              <w:rPr>
                <w:sz w:val="26"/>
                <w:szCs w:val="26"/>
              </w:rPr>
              <w:t>1.67</w:t>
            </w:r>
          </w:p>
        </w:tc>
      </w:tr>
      <w:tr w:rsidR="001014B3" w:rsidRPr="001014B3" w14:paraId="63B7ECE6" w14:textId="77777777" w:rsidTr="00E2651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D9353" w14:textId="77777777" w:rsidR="001014B3" w:rsidRPr="001014B3" w:rsidRDefault="001014B3" w:rsidP="00E26517">
            <w:pPr>
              <w:rPr>
                <w:sz w:val="26"/>
                <w:szCs w:val="26"/>
              </w:rPr>
            </w:pPr>
            <w:r w:rsidRPr="001014B3">
              <w:rPr>
                <w:sz w:val="26"/>
                <w:szCs w:val="26"/>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F39B3E9" w14:textId="77777777" w:rsidR="001014B3" w:rsidRPr="001014B3" w:rsidRDefault="001014B3" w:rsidP="00E26517">
            <w:pPr>
              <w:rPr>
                <w:sz w:val="26"/>
                <w:szCs w:val="26"/>
              </w:rPr>
            </w:pPr>
            <w:r w:rsidRPr="001014B3">
              <w:rPr>
                <w:sz w:val="26"/>
                <w:szCs w:val="26"/>
              </w:rPr>
              <w:t>1.33</w:t>
            </w:r>
          </w:p>
        </w:tc>
      </w:tr>
      <w:tr w:rsidR="001014B3" w:rsidRPr="001014B3" w14:paraId="142B3959" w14:textId="77777777" w:rsidTr="00E2651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82C1E" w14:textId="77777777" w:rsidR="001014B3" w:rsidRPr="001014B3" w:rsidRDefault="001014B3" w:rsidP="00E26517">
            <w:pPr>
              <w:rPr>
                <w:sz w:val="26"/>
                <w:szCs w:val="26"/>
              </w:rPr>
            </w:pPr>
            <w:r w:rsidRPr="001014B3">
              <w:rPr>
                <w:sz w:val="26"/>
                <w:szCs w:val="26"/>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E913857" w14:textId="77777777" w:rsidR="001014B3" w:rsidRPr="001014B3" w:rsidRDefault="001014B3" w:rsidP="00E26517">
            <w:pPr>
              <w:rPr>
                <w:sz w:val="26"/>
                <w:szCs w:val="26"/>
              </w:rPr>
            </w:pPr>
            <w:r w:rsidRPr="001014B3">
              <w:rPr>
                <w:sz w:val="26"/>
                <w:szCs w:val="26"/>
              </w:rPr>
              <w:t>1.0</w:t>
            </w:r>
          </w:p>
        </w:tc>
      </w:tr>
      <w:tr w:rsidR="001014B3" w:rsidRPr="001014B3" w14:paraId="7C13AF25" w14:textId="77777777" w:rsidTr="00E2651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3D9B5" w14:textId="77777777" w:rsidR="001014B3" w:rsidRPr="001014B3" w:rsidRDefault="001014B3" w:rsidP="00E26517">
            <w:pPr>
              <w:rPr>
                <w:sz w:val="26"/>
                <w:szCs w:val="26"/>
              </w:rPr>
            </w:pPr>
            <w:r w:rsidRPr="001014B3">
              <w:rPr>
                <w:sz w:val="26"/>
                <w:szCs w:val="26"/>
              </w:rPr>
              <w:lastRenderedPageBreak/>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03CE72" w14:textId="77777777" w:rsidR="001014B3" w:rsidRPr="001014B3" w:rsidRDefault="001014B3" w:rsidP="00E26517">
            <w:pPr>
              <w:rPr>
                <w:sz w:val="26"/>
                <w:szCs w:val="26"/>
              </w:rPr>
            </w:pPr>
            <w:r w:rsidRPr="001014B3">
              <w:rPr>
                <w:sz w:val="26"/>
                <w:szCs w:val="26"/>
              </w:rPr>
              <w:t>0.67</w:t>
            </w:r>
          </w:p>
        </w:tc>
      </w:tr>
      <w:tr w:rsidR="001014B3" w:rsidRPr="001014B3" w14:paraId="085051EE" w14:textId="77777777" w:rsidTr="00E26517">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32670" w14:textId="77777777" w:rsidR="001014B3" w:rsidRPr="001014B3" w:rsidRDefault="001014B3" w:rsidP="00E26517">
            <w:pPr>
              <w:rPr>
                <w:sz w:val="26"/>
                <w:szCs w:val="26"/>
              </w:rPr>
            </w:pPr>
            <w:r w:rsidRPr="001014B3">
              <w:rPr>
                <w:sz w:val="26"/>
                <w:szCs w:val="26"/>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756643D" w14:textId="73D72FE6" w:rsidR="001014B3" w:rsidRPr="001014B3" w:rsidRDefault="001014B3" w:rsidP="001014B3">
            <w:pPr>
              <w:pStyle w:val="ListParagraph"/>
              <w:numPr>
                <w:ilvl w:val="0"/>
                <w:numId w:val="5"/>
              </w:numPr>
              <w:rPr>
                <w:sz w:val="26"/>
                <w:szCs w:val="26"/>
              </w:rPr>
            </w:pPr>
          </w:p>
        </w:tc>
      </w:tr>
    </w:tbl>
    <w:p w14:paraId="71B0C972" w14:textId="77777777" w:rsidR="001014B3" w:rsidRPr="001014B3" w:rsidRDefault="001014B3">
      <w:pPr>
        <w:pStyle w:val="BodyText"/>
        <w:spacing w:before="42" w:line="247" w:lineRule="auto"/>
        <w:ind w:left="100" w:right="103" w:firstLine="720"/>
      </w:pPr>
    </w:p>
    <w:p w14:paraId="36F47C28" w14:textId="77777777" w:rsidR="00911A7D" w:rsidRPr="001014B3" w:rsidRDefault="00911A7D">
      <w:pPr>
        <w:pStyle w:val="BodyText"/>
      </w:pPr>
    </w:p>
    <w:p w14:paraId="3CF45797" w14:textId="04D10657" w:rsidR="001014B3" w:rsidRDefault="001014B3" w:rsidP="001014B3">
      <w:pPr>
        <w:pStyle w:val="ListParagraph"/>
        <w:numPr>
          <w:ilvl w:val="0"/>
          <w:numId w:val="1"/>
        </w:numPr>
        <w:tabs>
          <w:tab w:val="left" w:pos="1144"/>
        </w:tabs>
        <w:spacing w:before="1"/>
        <w:ind w:left="331" w:hanging="331"/>
        <w:rPr>
          <w:sz w:val="26"/>
          <w:szCs w:val="26"/>
        </w:rPr>
      </w:pPr>
      <w:r w:rsidRPr="001014B3">
        <w:rPr>
          <w:sz w:val="26"/>
          <w:szCs w:val="26"/>
        </w:rPr>
        <w:t xml:space="preserve">Online Evaluations: </w:t>
      </w:r>
      <w:r w:rsidRPr="001014B3">
        <w:rPr>
          <w:sz w:val="26"/>
          <w:szCs w:val="26"/>
        </w:rPr>
        <w:t xml:space="preserve">Students are expected to provide professional and respectful feedback on the quality of instruction in this course by completing course evaluations online via GatorEvals. Click </w:t>
      </w:r>
      <w:hyperlink r:id="rId9" w:history="1">
        <w:r w:rsidRPr="001014B3">
          <w:rPr>
            <w:rStyle w:val="Hyperlink"/>
            <w:sz w:val="26"/>
            <w:szCs w:val="26"/>
          </w:rPr>
          <w:t>here</w:t>
        </w:r>
      </w:hyperlink>
      <w:r w:rsidRPr="001014B3">
        <w:rPr>
          <w:sz w:val="26"/>
          <w:szCs w:val="26"/>
        </w:rPr>
        <w:t xml:space="preserve"> for guidance on how to give feedback in a professional and respectful manner. Students will be notified when the evaluation period opens, and can complete evaluations through the email they receive from GatorEvals, in their Canvas course menu under GatorEvals, or via </w:t>
      </w:r>
      <w:hyperlink r:id="rId10" w:history="1">
        <w:r w:rsidRPr="001014B3">
          <w:rPr>
            <w:rStyle w:val="Hyperlink"/>
            <w:sz w:val="26"/>
            <w:szCs w:val="26"/>
          </w:rPr>
          <w:t>ufl.bluera.com/ufl/</w:t>
        </w:r>
      </w:hyperlink>
      <w:r w:rsidRPr="001014B3">
        <w:rPr>
          <w:sz w:val="26"/>
          <w:szCs w:val="26"/>
        </w:rPr>
        <w:t xml:space="preserve">. Summaries of course evaluation results are available to students </w:t>
      </w:r>
      <w:hyperlink r:id="rId11" w:history="1">
        <w:r w:rsidRPr="001014B3">
          <w:rPr>
            <w:rStyle w:val="Hyperlink"/>
            <w:sz w:val="26"/>
            <w:szCs w:val="26"/>
          </w:rPr>
          <w:t>here</w:t>
        </w:r>
      </w:hyperlink>
      <w:r w:rsidRPr="001014B3">
        <w:rPr>
          <w:sz w:val="26"/>
          <w:szCs w:val="26"/>
        </w:rPr>
        <w:t>.</w:t>
      </w:r>
    </w:p>
    <w:p w14:paraId="61ECD9D9" w14:textId="77777777" w:rsidR="001014B3" w:rsidRPr="001014B3" w:rsidRDefault="001014B3" w:rsidP="001014B3">
      <w:pPr>
        <w:tabs>
          <w:tab w:val="left" w:pos="1144"/>
        </w:tabs>
        <w:spacing w:before="1"/>
        <w:rPr>
          <w:sz w:val="26"/>
          <w:szCs w:val="26"/>
        </w:rPr>
      </w:pPr>
    </w:p>
    <w:p w14:paraId="0D11249C" w14:textId="601FBF22" w:rsidR="001014B3" w:rsidRPr="001014B3" w:rsidRDefault="001014B3" w:rsidP="001014B3">
      <w:pPr>
        <w:pStyle w:val="ListParagraph"/>
        <w:numPr>
          <w:ilvl w:val="0"/>
          <w:numId w:val="1"/>
        </w:numPr>
        <w:tabs>
          <w:tab w:val="left" w:pos="1144"/>
        </w:tabs>
        <w:spacing w:before="1"/>
        <w:ind w:left="331" w:hanging="331"/>
        <w:rPr>
          <w:sz w:val="26"/>
          <w:szCs w:val="26"/>
        </w:rPr>
      </w:pPr>
      <w:r w:rsidRPr="001014B3">
        <w:rPr>
          <w:sz w:val="26"/>
          <w:szCs w:val="26"/>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65B6230D" w14:textId="77777777" w:rsidR="001014B3" w:rsidRPr="001014B3" w:rsidRDefault="001014B3" w:rsidP="001014B3">
      <w:pPr>
        <w:pStyle w:val="ListParagraph"/>
        <w:ind w:left="1440"/>
        <w:rPr>
          <w:sz w:val="26"/>
          <w:szCs w:val="26"/>
        </w:rPr>
      </w:pPr>
    </w:p>
    <w:p w14:paraId="176B9446" w14:textId="77777777" w:rsidR="001014B3" w:rsidRPr="001014B3" w:rsidRDefault="001014B3" w:rsidP="001014B3">
      <w:pPr>
        <w:pStyle w:val="ListParagraph"/>
        <w:widowControl/>
        <w:numPr>
          <w:ilvl w:val="0"/>
          <w:numId w:val="4"/>
        </w:numPr>
        <w:autoSpaceDE/>
        <w:autoSpaceDN/>
        <w:spacing w:after="160" w:line="259" w:lineRule="auto"/>
        <w:contextualSpacing/>
        <w:rPr>
          <w:sz w:val="26"/>
          <w:szCs w:val="26"/>
        </w:rPr>
      </w:pPr>
      <w:r w:rsidRPr="001014B3">
        <w:rPr>
          <w:sz w:val="26"/>
          <w:szCs w:val="26"/>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15240026" w14:textId="77777777" w:rsidR="001014B3" w:rsidRPr="001014B3" w:rsidRDefault="001014B3" w:rsidP="001014B3">
      <w:pPr>
        <w:widowControl/>
        <w:numPr>
          <w:ilvl w:val="0"/>
          <w:numId w:val="4"/>
        </w:numPr>
        <w:autoSpaceDE/>
        <w:autoSpaceDN/>
        <w:rPr>
          <w:sz w:val="26"/>
          <w:szCs w:val="26"/>
        </w:rPr>
      </w:pPr>
      <w:r w:rsidRPr="001014B3">
        <w:rPr>
          <w:sz w:val="26"/>
          <w:szCs w:val="26"/>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2126668E" w14:textId="77777777" w:rsidR="001014B3" w:rsidRPr="001014B3" w:rsidRDefault="001014B3" w:rsidP="001014B3">
      <w:pPr>
        <w:ind w:left="2160"/>
        <w:rPr>
          <w:sz w:val="26"/>
          <w:szCs w:val="26"/>
        </w:rPr>
      </w:pPr>
    </w:p>
    <w:p w14:paraId="59392AA1" w14:textId="77777777" w:rsidR="001014B3" w:rsidRPr="001014B3" w:rsidRDefault="001014B3" w:rsidP="001014B3">
      <w:pPr>
        <w:widowControl/>
        <w:numPr>
          <w:ilvl w:val="0"/>
          <w:numId w:val="4"/>
        </w:numPr>
        <w:autoSpaceDE/>
        <w:autoSpaceDN/>
        <w:rPr>
          <w:sz w:val="26"/>
          <w:szCs w:val="26"/>
        </w:rPr>
      </w:pPr>
      <w:r w:rsidRPr="001014B3">
        <w:rPr>
          <w:sz w:val="26"/>
          <w:szCs w:val="26"/>
        </w:rPr>
        <w:t>Sanitizing supplies are available in the classroom if you wish to wipe down your desks prior to sitting down and at the end of the class.</w:t>
      </w:r>
    </w:p>
    <w:p w14:paraId="0125428D" w14:textId="77777777" w:rsidR="001014B3" w:rsidRPr="001014B3" w:rsidRDefault="001014B3" w:rsidP="001014B3">
      <w:pPr>
        <w:rPr>
          <w:sz w:val="26"/>
          <w:szCs w:val="26"/>
        </w:rPr>
      </w:pPr>
    </w:p>
    <w:p w14:paraId="0D76C975" w14:textId="77777777" w:rsidR="001014B3" w:rsidRPr="001014B3" w:rsidRDefault="001014B3" w:rsidP="001014B3">
      <w:pPr>
        <w:widowControl/>
        <w:numPr>
          <w:ilvl w:val="0"/>
          <w:numId w:val="4"/>
        </w:numPr>
        <w:autoSpaceDE/>
        <w:autoSpaceDN/>
        <w:rPr>
          <w:sz w:val="26"/>
          <w:szCs w:val="26"/>
        </w:rPr>
      </w:pPr>
      <w:r w:rsidRPr="001014B3">
        <w:rPr>
          <w:sz w:val="26"/>
          <w:szCs w:val="26"/>
        </w:rPr>
        <w:t>Be mindful of how to properly enter and exit the classroom.  Practice physical distancing to the extent possible when entering and exiting the classroom.</w:t>
      </w:r>
    </w:p>
    <w:p w14:paraId="211B43C1" w14:textId="77777777" w:rsidR="001014B3" w:rsidRPr="001014B3" w:rsidRDefault="001014B3" w:rsidP="001014B3">
      <w:pPr>
        <w:ind w:left="2160"/>
        <w:rPr>
          <w:sz w:val="26"/>
          <w:szCs w:val="26"/>
        </w:rPr>
      </w:pPr>
    </w:p>
    <w:p w14:paraId="2E031593" w14:textId="77777777" w:rsidR="001014B3" w:rsidRPr="001014B3" w:rsidRDefault="001014B3" w:rsidP="001014B3">
      <w:pPr>
        <w:widowControl/>
        <w:numPr>
          <w:ilvl w:val="0"/>
          <w:numId w:val="4"/>
        </w:numPr>
        <w:autoSpaceDE/>
        <w:autoSpaceDN/>
        <w:rPr>
          <w:sz w:val="26"/>
          <w:szCs w:val="26"/>
        </w:rPr>
      </w:pPr>
      <w:r w:rsidRPr="001014B3">
        <w:rPr>
          <w:sz w:val="26"/>
          <w:szCs w:val="26"/>
        </w:rPr>
        <w:t>If you are experiencing COVID-19 symptoms (</w:t>
      </w:r>
      <w:hyperlink r:id="rId12" w:history="1">
        <w:r w:rsidRPr="001014B3">
          <w:rPr>
            <w:rStyle w:val="Hyperlink"/>
            <w:sz w:val="26"/>
            <w:szCs w:val="26"/>
          </w:rPr>
          <w:t>https://www.cdc.gov/coronavirus/2019-ncov/symptoms-testing/symptoms.html</w:t>
        </w:r>
      </w:hyperlink>
      <w:r w:rsidRPr="001014B3">
        <w:rPr>
          <w:sz w:val="26"/>
          <w:szCs w:val="26"/>
        </w:rPr>
        <w:t xml:space="preserve">), please do not come to campus or, if you are </w:t>
      </w:r>
      <w:r w:rsidRPr="001014B3">
        <w:rPr>
          <w:sz w:val="26"/>
          <w:szCs w:val="26"/>
        </w:rPr>
        <w:lastRenderedPageBreak/>
        <w:t xml:space="preserve">already on campus, please immediately leave campus.  Please use the UF Health screening system and follow the instructions about when you are able to return to campus.  </w:t>
      </w:r>
      <w:hyperlink r:id="rId13" w:history="1">
        <w:r w:rsidRPr="001014B3">
          <w:rPr>
            <w:rStyle w:val="Hyperlink"/>
            <w:sz w:val="26"/>
            <w:szCs w:val="26"/>
          </w:rPr>
          <w:t>https://coronavirus.ufhealth.org/screen-test-protect/covid-19-exposure-and-symptoms-who-do-i-call-if/</w:t>
        </w:r>
      </w:hyperlink>
      <w:r w:rsidRPr="001014B3">
        <w:rPr>
          <w:sz w:val="26"/>
          <w:szCs w:val="26"/>
        </w:rPr>
        <w:t>.</w:t>
      </w:r>
    </w:p>
    <w:p w14:paraId="475F6B0D" w14:textId="77777777" w:rsidR="001014B3" w:rsidRPr="001014B3" w:rsidRDefault="001014B3" w:rsidP="001014B3">
      <w:pPr>
        <w:ind w:left="2160"/>
        <w:rPr>
          <w:sz w:val="26"/>
          <w:szCs w:val="26"/>
        </w:rPr>
      </w:pPr>
    </w:p>
    <w:p w14:paraId="05E87B41" w14:textId="329AAE39" w:rsidR="001014B3" w:rsidRPr="001014B3" w:rsidRDefault="001014B3" w:rsidP="001014B3">
      <w:pPr>
        <w:pStyle w:val="ListParagraph"/>
        <w:numPr>
          <w:ilvl w:val="0"/>
          <w:numId w:val="1"/>
        </w:numPr>
        <w:tabs>
          <w:tab w:val="left" w:pos="1144"/>
        </w:tabs>
        <w:spacing w:before="1"/>
        <w:ind w:left="331" w:hanging="331"/>
        <w:rPr>
          <w:sz w:val="26"/>
          <w:szCs w:val="26"/>
        </w:rPr>
      </w:pPr>
      <w:r w:rsidRPr="001014B3">
        <w:rPr>
          <w:sz w:val="26"/>
          <w:szCs w:val="26"/>
        </w:rPr>
        <w:t>Course materials will be provided to you with an excused absence, and you will be given a reasonable amount of time to make up work.</w:t>
      </w:r>
      <w:hyperlink r:id="rId14" w:history="1">
        <w:r w:rsidRPr="001014B3">
          <w:rPr>
            <w:rStyle w:val="Hyperlink"/>
            <w:sz w:val="26"/>
            <w:szCs w:val="26"/>
          </w:rPr>
          <w:t>https://catalog.ufl.edu/UGRD/academic-regulations/attendance-policies/</w:t>
        </w:r>
      </w:hyperlink>
      <w:r w:rsidRPr="001014B3">
        <w:rPr>
          <w:sz w:val="26"/>
          <w:szCs w:val="26"/>
        </w:rPr>
        <w:t>.</w:t>
      </w:r>
    </w:p>
    <w:p w14:paraId="19F798BD" w14:textId="77777777" w:rsidR="001014B3" w:rsidRPr="001014B3" w:rsidRDefault="001014B3" w:rsidP="001014B3">
      <w:pPr>
        <w:tabs>
          <w:tab w:val="left" w:pos="1144"/>
        </w:tabs>
        <w:spacing w:before="1"/>
        <w:rPr>
          <w:sz w:val="26"/>
          <w:szCs w:val="26"/>
        </w:rPr>
      </w:pPr>
    </w:p>
    <w:p w14:paraId="5C4BD47C" w14:textId="4A42D526" w:rsidR="00911A7D" w:rsidRDefault="001014B3">
      <w:pPr>
        <w:pStyle w:val="ListParagraph"/>
        <w:numPr>
          <w:ilvl w:val="0"/>
          <w:numId w:val="1"/>
        </w:numPr>
        <w:tabs>
          <w:tab w:val="left" w:pos="1144"/>
        </w:tabs>
        <w:spacing w:before="1"/>
        <w:rPr>
          <w:sz w:val="26"/>
        </w:rPr>
      </w:pPr>
      <w:r w:rsidRPr="001014B3">
        <w:rPr>
          <w:sz w:val="26"/>
          <w:szCs w:val="26"/>
        </w:rPr>
        <w:t>O</w:t>
      </w:r>
      <w:r w:rsidRPr="001014B3">
        <w:rPr>
          <w:sz w:val="26"/>
          <w:szCs w:val="26"/>
        </w:rPr>
        <w:t xml:space="preserve">ffice </w:t>
      </w:r>
      <w:r>
        <w:rPr>
          <w:sz w:val="26"/>
        </w:rPr>
        <w:t>hours: Mondays, Tuesdays, and Wednesdays, right after class.</w:t>
      </w:r>
      <w:r>
        <w:rPr>
          <w:spacing w:val="27"/>
          <w:sz w:val="26"/>
        </w:rPr>
        <w:t xml:space="preserve"> </w:t>
      </w:r>
      <w:r>
        <w:rPr>
          <w:sz w:val="26"/>
        </w:rPr>
        <w:t>(Right</w:t>
      </w:r>
    </w:p>
    <w:p w14:paraId="64237D99" w14:textId="77777777" w:rsidR="00911A7D" w:rsidRDefault="001014B3">
      <w:pPr>
        <w:pStyle w:val="BodyText"/>
        <w:spacing w:before="8"/>
        <w:ind w:left="100"/>
      </w:pPr>
      <w:r>
        <w:rPr>
          <w:i/>
        </w:rPr>
        <w:t xml:space="preserve">before </w:t>
      </w:r>
      <w:r>
        <w:t>class is not a good time.) My office is room 373 Holland Hall.</w:t>
      </w:r>
    </w:p>
    <w:p w14:paraId="40964DA5" w14:textId="77777777" w:rsidR="00911A7D" w:rsidRDefault="00911A7D">
      <w:pPr>
        <w:pStyle w:val="BodyText"/>
        <w:spacing w:before="5"/>
        <w:rPr>
          <w:sz w:val="27"/>
        </w:rPr>
      </w:pPr>
    </w:p>
    <w:p w14:paraId="612D7E78" w14:textId="77777777" w:rsidR="00911A7D" w:rsidRDefault="001014B3">
      <w:pPr>
        <w:pStyle w:val="BodyText"/>
        <w:spacing w:line="247" w:lineRule="auto"/>
        <w:ind w:left="100" w:right="56" w:firstLine="720"/>
      </w:pPr>
      <w:r>
        <w:t>Short questions may be raised right after class in the classroom</w:t>
      </w:r>
      <w:r>
        <w:t>. As a general matter, substantive legal questions that arise after class are best reserved for the beginning of the following class, where everyone can participate in their resolution (potentially resulting in a better answer). For more urgent matters, ho</w:t>
      </w:r>
      <w:r>
        <w:t>wever, you may call my office extension (273-0965) at any time. (You will not disturb me.) If I am not there, you may leave contact information for a return call.</w:t>
      </w:r>
    </w:p>
    <w:p w14:paraId="29599F08" w14:textId="77777777" w:rsidR="00911A7D" w:rsidRDefault="00911A7D">
      <w:pPr>
        <w:pStyle w:val="BodyText"/>
      </w:pPr>
    </w:p>
    <w:p w14:paraId="6E36BCC9" w14:textId="77777777" w:rsidR="00911A7D" w:rsidRDefault="00911A7D">
      <w:pPr>
        <w:pStyle w:val="BodyText"/>
      </w:pPr>
    </w:p>
    <w:p w14:paraId="44F564C7" w14:textId="77777777" w:rsidR="00911A7D" w:rsidRDefault="00911A7D">
      <w:pPr>
        <w:pStyle w:val="BodyText"/>
        <w:spacing w:before="8"/>
        <w:rPr>
          <w:sz w:val="27"/>
        </w:rPr>
      </w:pPr>
    </w:p>
    <w:p w14:paraId="15280694" w14:textId="77777777" w:rsidR="00911A7D" w:rsidRDefault="001014B3">
      <w:pPr>
        <w:pStyle w:val="BodyText"/>
        <w:ind w:left="2489" w:right="2487"/>
        <w:jc w:val="center"/>
      </w:pPr>
      <w:r>
        <w:t>Course Description</w:t>
      </w:r>
    </w:p>
    <w:p w14:paraId="3B911EE7" w14:textId="77777777" w:rsidR="00911A7D" w:rsidRDefault="00911A7D">
      <w:pPr>
        <w:pStyle w:val="BodyText"/>
        <w:spacing w:before="5"/>
        <w:rPr>
          <w:sz w:val="27"/>
        </w:rPr>
      </w:pPr>
    </w:p>
    <w:p w14:paraId="495B542A" w14:textId="77777777" w:rsidR="00911A7D" w:rsidRDefault="001014B3">
      <w:pPr>
        <w:pStyle w:val="BodyText"/>
        <w:spacing w:line="247" w:lineRule="auto"/>
        <w:ind w:left="100" w:right="102" w:firstLine="720"/>
      </w:pPr>
      <w:r>
        <w:t>Credits: 3. An introduction to the fundamental issues and ideas that h</w:t>
      </w:r>
      <w:r>
        <w:t>ave shaped the law. Theorists of American law include legislators, governmental administrators, judges, lawyers, legal scholars, and commentators from other disciplines. This course examines basic concepts in legal thought, primarily of the American twenti</w:t>
      </w:r>
      <w:r>
        <w:t xml:space="preserve">eth century. Topics include: law as literature and as portrayed in literature; law and society; freedom and necessity; the reach of the law; the legal and the non-legal; law and morality; justice; and critical perspectives on law (Critical Legal Studies). </w:t>
      </w:r>
      <w:r>
        <w:t>This course is especially recommended for students who are interested in the development of legal theory or are considering a career in law teaching.</w:t>
      </w:r>
    </w:p>
    <w:p w14:paraId="7D527230" w14:textId="77777777" w:rsidR="00911A7D" w:rsidRDefault="00911A7D">
      <w:pPr>
        <w:pStyle w:val="BodyText"/>
        <w:spacing w:before="10"/>
        <w:rPr>
          <w:sz w:val="16"/>
        </w:rPr>
      </w:pPr>
      <w:bookmarkStart w:id="0" w:name="_GoBack"/>
      <w:bookmarkEnd w:id="0"/>
    </w:p>
    <w:p w14:paraId="5EF3866F" w14:textId="77777777" w:rsidR="00911A7D" w:rsidRDefault="001014B3">
      <w:pPr>
        <w:pStyle w:val="BodyText"/>
        <w:spacing w:before="55"/>
        <w:ind w:left="2489" w:right="2487"/>
        <w:jc w:val="center"/>
      </w:pPr>
      <w:r>
        <w:t>Part I</w:t>
      </w:r>
    </w:p>
    <w:p w14:paraId="3F7938D9" w14:textId="77777777" w:rsidR="00911A7D" w:rsidRDefault="001014B3">
      <w:pPr>
        <w:spacing w:before="8"/>
        <w:ind w:left="2487" w:right="2487"/>
        <w:jc w:val="center"/>
        <w:rPr>
          <w:i/>
          <w:sz w:val="26"/>
        </w:rPr>
      </w:pPr>
      <w:r>
        <w:rPr>
          <w:i/>
          <w:sz w:val="26"/>
        </w:rPr>
        <w:t>Law and Society</w:t>
      </w:r>
    </w:p>
    <w:p w14:paraId="2886C595" w14:textId="77777777" w:rsidR="00911A7D" w:rsidRDefault="00911A7D">
      <w:pPr>
        <w:pStyle w:val="BodyText"/>
        <w:spacing w:before="8"/>
        <w:rPr>
          <w:i/>
          <w:sz w:val="22"/>
        </w:rPr>
      </w:pPr>
    </w:p>
    <w:p w14:paraId="5556BC6B" w14:textId="77777777" w:rsidR="00911A7D" w:rsidRDefault="001014B3">
      <w:pPr>
        <w:pStyle w:val="BodyText"/>
        <w:spacing w:before="55"/>
        <w:ind w:left="100"/>
      </w:pPr>
      <w:r>
        <w:t>Introduction</w:t>
      </w:r>
    </w:p>
    <w:p w14:paraId="7B874629" w14:textId="77777777" w:rsidR="00911A7D" w:rsidRDefault="00911A7D">
      <w:pPr>
        <w:pStyle w:val="BodyText"/>
        <w:spacing w:before="4"/>
        <w:rPr>
          <w:sz w:val="27"/>
        </w:rPr>
      </w:pPr>
    </w:p>
    <w:p w14:paraId="0F9B8550" w14:textId="77777777" w:rsidR="00911A7D" w:rsidRDefault="001014B3">
      <w:pPr>
        <w:pStyle w:val="BodyText"/>
        <w:spacing w:before="1"/>
        <w:ind w:left="100"/>
      </w:pPr>
      <w:r>
        <w:t>Chapter 1: Communities in Crisis</w:t>
      </w:r>
    </w:p>
    <w:p w14:paraId="5C560FA0" w14:textId="77777777" w:rsidR="00911A7D" w:rsidRDefault="00911A7D">
      <w:pPr>
        <w:pStyle w:val="BodyText"/>
        <w:spacing w:before="4"/>
        <w:rPr>
          <w:sz w:val="27"/>
        </w:rPr>
      </w:pPr>
    </w:p>
    <w:p w14:paraId="6CA2447D" w14:textId="77777777" w:rsidR="00911A7D" w:rsidRDefault="001014B3">
      <w:pPr>
        <w:pStyle w:val="BodyText"/>
        <w:spacing w:before="1"/>
        <w:ind w:left="820"/>
      </w:pPr>
      <w:r>
        <w:lastRenderedPageBreak/>
        <w:t>Shirley Jackson, "The Lottery" (1948)</w:t>
      </w:r>
    </w:p>
    <w:p w14:paraId="282A67AC" w14:textId="77777777" w:rsidR="00911A7D" w:rsidRDefault="00911A7D">
      <w:pPr>
        <w:pStyle w:val="BodyText"/>
        <w:spacing w:before="4"/>
        <w:rPr>
          <w:sz w:val="27"/>
        </w:rPr>
      </w:pPr>
    </w:p>
    <w:p w14:paraId="7DD7F97D" w14:textId="77777777" w:rsidR="00911A7D" w:rsidRDefault="001014B3">
      <w:pPr>
        <w:spacing w:before="1"/>
        <w:ind w:left="820"/>
        <w:rPr>
          <w:sz w:val="26"/>
        </w:rPr>
      </w:pPr>
      <w:r>
        <w:rPr>
          <w:i/>
          <w:sz w:val="26"/>
        </w:rPr>
        <w:t xml:space="preserve">The Lottery </w:t>
      </w:r>
      <w:r>
        <w:rPr>
          <w:sz w:val="26"/>
        </w:rPr>
        <w:t>(film)</w:t>
      </w:r>
    </w:p>
    <w:p w14:paraId="618B1F9A" w14:textId="77777777" w:rsidR="00911A7D" w:rsidRDefault="00911A7D">
      <w:pPr>
        <w:pStyle w:val="BodyText"/>
        <w:spacing w:before="4"/>
        <w:rPr>
          <w:sz w:val="27"/>
        </w:rPr>
      </w:pPr>
    </w:p>
    <w:p w14:paraId="31484611" w14:textId="77777777" w:rsidR="00911A7D" w:rsidRDefault="001014B3">
      <w:pPr>
        <w:pStyle w:val="BodyText"/>
        <w:ind w:left="820"/>
      </w:pPr>
      <w:r>
        <w:t>A Trial of Witches (1682)</w:t>
      </w:r>
    </w:p>
    <w:p w14:paraId="3CB4BBF7" w14:textId="77777777" w:rsidR="00911A7D" w:rsidRDefault="00911A7D">
      <w:pPr>
        <w:pStyle w:val="BodyText"/>
        <w:spacing w:before="5"/>
        <w:rPr>
          <w:sz w:val="27"/>
        </w:rPr>
      </w:pPr>
    </w:p>
    <w:p w14:paraId="7C9BB8A3" w14:textId="77777777" w:rsidR="00911A7D" w:rsidRDefault="001014B3">
      <w:pPr>
        <w:ind w:left="820"/>
        <w:rPr>
          <w:sz w:val="26"/>
        </w:rPr>
      </w:pPr>
      <w:r>
        <w:rPr>
          <w:sz w:val="26"/>
        </w:rPr>
        <w:t xml:space="preserve">Thomas J. Dimsdale, </w:t>
      </w:r>
      <w:r>
        <w:rPr>
          <w:i/>
          <w:sz w:val="26"/>
        </w:rPr>
        <w:t xml:space="preserve">The Vigilantes of Montana </w:t>
      </w:r>
      <w:r>
        <w:rPr>
          <w:sz w:val="26"/>
        </w:rPr>
        <w:t>(1866)</w:t>
      </w:r>
    </w:p>
    <w:p w14:paraId="7D07311C" w14:textId="77777777" w:rsidR="00911A7D" w:rsidRDefault="00911A7D">
      <w:pPr>
        <w:pStyle w:val="BodyText"/>
        <w:spacing w:before="5"/>
        <w:rPr>
          <w:sz w:val="27"/>
        </w:rPr>
      </w:pPr>
    </w:p>
    <w:p w14:paraId="17F3EE98" w14:textId="77777777" w:rsidR="00911A7D" w:rsidRDefault="001014B3">
      <w:pPr>
        <w:ind w:left="820"/>
        <w:rPr>
          <w:sz w:val="26"/>
        </w:rPr>
      </w:pPr>
      <w:r>
        <w:rPr>
          <w:i/>
          <w:sz w:val="26"/>
        </w:rPr>
        <w:t xml:space="preserve">Panic in Year Zero! </w:t>
      </w:r>
      <w:r>
        <w:rPr>
          <w:sz w:val="26"/>
        </w:rPr>
        <w:t>(1962) (film excerpt)</w:t>
      </w:r>
    </w:p>
    <w:p w14:paraId="0414F498" w14:textId="77777777" w:rsidR="00911A7D" w:rsidRDefault="00911A7D">
      <w:pPr>
        <w:pStyle w:val="BodyText"/>
        <w:spacing w:before="5"/>
        <w:rPr>
          <w:sz w:val="27"/>
        </w:rPr>
      </w:pPr>
    </w:p>
    <w:p w14:paraId="32F8279D" w14:textId="77777777" w:rsidR="00911A7D" w:rsidRDefault="001014B3">
      <w:pPr>
        <w:pStyle w:val="BodyText"/>
        <w:spacing w:line="494" w:lineRule="auto"/>
        <w:ind w:left="820" w:right="56"/>
      </w:pPr>
      <w:r>
        <w:t xml:space="preserve">Kai T. Erikson, "On the Sociology of Deviance," in </w:t>
      </w:r>
      <w:r>
        <w:rPr>
          <w:i/>
        </w:rPr>
        <w:t xml:space="preserve">Wayward Puritans </w:t>
      </w:r>
      <w:r>
        <w:t>(1966) Notes and Questions</w:t>
      </w:r>
    </w:p>
    <w:p w14:paraId="751474F1" w14:textId="77777777" w:rsidR="00911A7D" w:rsidRDefault="00911A7D">
      <w:pPr>
        <w:pStyle w:val="BodyText"/>
        <w:spacing w:before="5"/>
      </w:pPr>
    </w:p>
    <w:p w14:paraId="2CD7499F" w14:textId="77777777" w:rsidR="00911A7D" w:rsidRDefault="001014B3">
      <w:pPr>
        <w:pStyle w:val="BodyText"/>
        <w:spacing w:before="1"/>
        <w:ind w:left="100"/>
      </w:pPr>
      <w:r>
        <w:t>Chapter 2: From Community to Society</w:t>
      </w:r>
    </w:p>
    <w:p w14:paraId="5A302D34" w14:textId="77777777" w:rsidR="00911A7D" w:rsidRDefault="00911A7D">
      <w:pPr>
        <w:pStyle w:val="BodyText"/>
        <w:spacing w:before="4"/>
        <w:rPr>
          <w:sz w:val="27"/>
        </w:rPr>
      </w:pPr>
    </w:p>
    <w:p w14:paraId="054318EF" w14:textId="77777777" w:rsidR="00911A7D" w:rsidRDefault="001014B3">
      <w:pPr>
        <w:pStyle w:val="BodyText"/>
        <w:spacing w:before="1" w:line="494" w:lineRule="auto"/>
        <w:ind w:left="820" w:right="2612"/>
      </w:pPr>
      <w:r>
        <w:t xml:space="preserve">Garrett Hardin, "The Tragedy of the Commons" (1968) </w:t>
      </w:r>
      <w:r>
        <w:rPr>
          <w:i/>
        </w:rPr>
        <w:t xml:space="preserve">The Federalist No. 10 </w:t>
      </w:r>
      <w:r>
        <w:t>(James Madison) (1787) Papachristou v. City of Jacksonville (1972)</w:t>
      </w:r>
    </w:p>
    <w:p w14:paraId="7A2031A8" w14:textId="77777777" w:rsidR="00911A7D" w:rsidRDefault="001014B3">
      <w:pPr>
        <w:pStyle w:val="BodyText"/>
        <w:spacing w:line="494" w:lineRule="auto"/>
        <w:ind w:left="820" w:right="4814"/>
      </w:pPr>
      <w:r>
        <w:t xml:space="preserve">City of Chicago v. Wilson (1978) Walker v. Superior Court (1988) Paris Adult Theatre I v. Slaton </w:t>
      </w:r>
      <w:r>
        <w:rPr>
          <w:spacing w:val="-3"/>
        </w:rPr>
        <w:t xml:space="preserve">(1973) </w:t>
      </w:r>
      <w:r>
        <w:t>Notes and</w:t>
      </w:r>
      <w:r>
        <w:rPr>
          <w:spacing w:val="-3"/>
        </w:rPr>
        <w:t xml:space="preserve"> </w:t>
      </w:r>
      <w:r>
        <w:t>Questions</w:t>
      </w:r>
    </w:p>
    <w:p w14:paraId="401DFA02" w14:textId="77777777" w:rsidR="00911A7D" w:rsidRDefault="00911A7D">
      <w:pPr>
        <w:spacing w:line="494" w:lineRule="auto"/>
        <w:sectPr w:rsidR="00911A7D">
          <w:footerReference w:type="default" r:id="rId15"/>
          <w:pgSz w:w="12240" w:h="15840"/>
          <w:pgMar w:top="1500" w:right="1340" w:bottom="1700" w:left="1340" w:header="0" w:footer="1500" w:gutter="0"/>
          <w:cols w:space="720"/>
        </w:sectPr>
      </w:pPr>
    </w:p>
    <w:p w14:paraId="590D01DB" w14:textId="77777777" w:rsidR="00911A7D" w:rsidRDefault="001014B3">
      <w:pPr>
        <w:pStyle w:val="BodyText"/>
        <w:spacing w:before="42"/>
        <w:ind w:left="2489" w:right="2487"/>
        <w:jc w:val="center"/>
      </w:pPr>
      <w:r>
        <w:lastRenderedPageBreak/>
        <w:t>Part II</w:t>
      </w:r>
    </w:p>
    <w:p w14:paraId="630D144F" w14:textId="77777777" w:rsidR="00911A7D" w:rsidRDefault="001014B3">
      <w:pPr>
        <w:spacing w:before="8"/>
        <w:ind w:left="2487" w:right="2487"/>
        <w:jc w:val="center"/>
        <w:rPr>
          <w:i/>
          <w:sz w:val="26"/>
        </w:rPr>
      </w:pPr>
      <w:r>
        <w:rPr>
          <w:i/>
          <w:sz w:val="26"/>
        </w:rPr>
        <w:t>Freedom and Necessity</w:t>
      </w:r>
    </w:p>
    <w:p w14:paraId="07D10E2B" w14:textId="77777777" w:rsidR="00911A7D" w:rsidRDefault="00911A7D">
      <w:pPr>
        <w:pStyle w:val="BodyText"/>
        <w:spacing w:before="7"/>
        <w:rPr>
          <w:i/>
          <w:sz w:val="22"/>
        </w:rPr>
      </w:pPr>
    </w:p>
    <w:p w14:paraId="7A193792" w14:textId="77777777" w:rsidR="00911A7D" w:rsidRDefault="001014B3">
      <w:pPr>
        <w:pStyle w:val="BodyText"/>
        <w:spacing w:before="55"/>
        <w:ind w:left="100"/>
      </w:pPr>
      <w:r>
        <w:t>Introduction</w:t>
      </w:r>
    </w:p>
    <w:p w14:paraId="3475E5D5" w14:textId="77777777" w:rsidR="00911A7D" w:rsidRDefault="00911A7D">
      <w:pPr>
        <w:pStyle w:val="BodyText"/>
        <w:spacing w:before="5"/>
        <w:rPr>
          <w:sz w:val="27"/>
        </w:rPr>
      </w:pPr>
    </w:p>
    <w:p w14:paraId="29FEF7B8" w14:textId="77777777" w:rsidR="00911A7D" w:rsidRDefault="001014B3">
      <w:pPr>
        <w:pStyle w:val="BodyText"/>
        <w:ind w:left="100"/>
      </w:pPr>
      <w:r>
        <w:t>Chapte</w:t>
      </w:r>
      <w:r>
        <w:t>r 3: Life or Death</w:t>
      </w:r>
    </w:p>
    <w:p w14:paraId="3572116E" w14:textId="77777777" w:rsidR="00911A7D" w:rsidRDefault="00911A7D">
      <w:pPr>
        <w:pStyle w:val="BodyText"/>
        <w:spacing w:before="5"/>
        <w:rPr>
          <w:sz w:val="27"/>
        </w:rPr>
      </w:pPr>
    </w:p>
    <w:p w14:paraId="74137CA7" w14:textId="77777777" w:rsidR="00911A7D" w:rsidRDefault="001014B3">
      <w:pPr>
        <w:pStyle w:val="BodyText"/>
        <w:spacing w:line="494" w:lineRule="auto"/>
        <w:ind w:left="820" w:right="4262"/>
      </w:pPr>
      <w:r>
        <w:t>Regina v. Dudley and Stephens (1884) United States v. Holmes (1842)</w:t>
      </w:r>
    </w:p>
    <w:p w14:paraId="2AA20EC0" w14:textId="77777777" w:rsidR="00911A7D" w:rsidRDefault="001014B3">
      <w:pPr>
        <w:spacing w:line="296" w:lineRule="exact"/>
        <w:ind w:left="820"/>
        <w:rPr>
          <w:sz w:val="26"/>
        </w:rPr>
      </w:pPr>
      <w:r>
        <w:rPr>
          <w:i/>
          <w:sz w:val="26"/>
        </w:rPr>
        <w:t xml:space="preserve">Lifeboat </w:t>
      </w:r>
      <w:r>
        <w:rPr>
          <w:sz w:val="26"/>
        </w:rPr>
        <w:t>(by John Steinbeck, film excerpt)</w:t>
      </w:r>
    </w:p>
    <w:p w14:paraId="261CADCC" w14:textId="77777777" w:rsidR="00911A7D" w:rsidRDefault="00911A7D">
      <w:pPr>
        <w:pStyle w:val="BodyText"/>
        <w:spacing w:before="5"/>
        <w:rPr>
          <w:sz w:val="27"/>
        </w:rPr>
      </w:pPr>
    </w:p>
    <w:p w14:paraId="354440FA" w14:textId="77777777" w:rsidR="00911A7D" w:rsidRDefault="001014B3">
      <w:pPr>
        <w:pStyle w:val="BodyText"/>
        <w:spacing w:line="494" w:lineRule="auto"/>
        <w:ind w:left="820" w:right="2225"/>
      </w:pPr>
      <w:r>
        <w:t>Lon L. Fuller, "The Case of the Speluncean Explorers" (1949) Notes and Questions</w:t>
      </w:r>
    </w:p>
    <w:p w14:paraId="167D96CE" w14:textId="77777777" w:rsidR="00911A7D" w:rsidRDefault="00911A7D">
      <w:pPr>
        <w:pStyle w:val="BodyText"/>
        <w:spacing w:before="5"/>
      </w:pPr>
    </w:p>
    <w:p w14:paraId="6B0F2A76" w14:textId="77777777" w:rsidR="00911A7D" w:rsidRDefault="001014B3">
      <w:pPr>
        <w:pStyle w:val="BodyText"/>
        <w:spacing w:before="1" w:line="494" w:lineRule="auto"/>
        <w:ind w:left="820" w:right="5183" w:hanging="720"/>
      </w:pPr>
      <w:r>
        <w:t>Chapter 4: Self-Defense and Its Limits Bill Bell v. State (1885)</w:t>
      </w:r>
    </w:p>
    <w:p w14:paraId="3FDCD19A" w14:textId="77777777" w:rsidR="00911A7D" w:rsidRDefault="001014B3">
      <w:pPr>
        <w:pStyle w:val="BodyText"/>
        <w:spacing w:line="494" w:lineRule="auto"/>
        <w:ind w:left="820" w:right="6326"/>
      </w:pPr>
      <w:r>
        <w:t xml:space="preserve">People v. Goetz </w:t>
      </w:r>
      <w:r>
        <w:rPr>
          <w:spacing w:val="-3"/>
        </w:rPr>
        <w:t xml:space="preserve">(1986) </w:t>
      </w:r>
      <w:r>
        <w:t>Notes and</w:t>
      </w:r>
      <w:r>
        <w:rPr>
          <w:spacing w:val="-5"/>
        </w:rPr>
        <w:t xml:space="preserve"> </w:t>
      </w:r>
      <w:r>
        <w:t>Questions</w:t>
      </w:r>
    </w:p>
    <w:p w14:paraId="1561C79B" w14:textId="77777777" w:rsidR="00911A7D" w:rsidRDefault="00911A7D">
      <w:pPr>
        <w:pStyle w:val="BodyText"/>
        <w:spacing w:before="2"/>
      </w:pPr>
    </w:p>
    <w:p w14:paraId="633343CC" w14:textId="77777777" w:rsidR="00911A7D" w:rsidRDefault="001014B3">
      <w:pPr>
        <w:pStyle w:val="BodyText"/>
        <w:spacing w:line="494" w:lineRule="auto"/>
        <w:ind w:left="820" w:right="5183" w:hanging="720"/>
      </w:pPr>
      <w:r>
        <w:t>Chapter 5: Other Forms of Necessity Bird v. Jones</w:t>
      </w:r>
      <w:r>
        <w:rPr>
          <w:spacing w:val="-4"/>
        </w:rPr>
        <w:t xml:space="preserve"> </w:t>
      </w:r>
      <w:r>
        <w:t>(1845)</w:t>
      </w:r>
    </w:p>
    <w:p w14:paraId="40BCD5AE" w14:textId="77777777" w:rsidR="00911A7D" w:rsidRDefault="001014B3">
      <w:pPr>
        <w:pStyle w:val="BodyText"/>
        <w:spacing w:line="494" w:lineRule="auto"/>
        <w:ind w:left="820" w:right="5183"/>
      </w:pPr>
      <w:r>
        <w:t>United S</w:t>
      </w:r>
      <w:r>
        <w:t>tates v. Moore (1973) [Bailey v. Alabama (1911)]</w:t>
      </w:r>
    </w:p>
    <w:p w14:paraId="275E559F" w14:textId="77777777" w:rsidR="00911A7D" w:rsidRDefault="001014B3">
      <w:pPr>
        <w:pStyle w:val="BodyText"/>
        <w:spacing w:line="247" w:lineRule="auto"/>
        <w:ind w:left="820"/>
      </w:pPr>
      <w:r>
        <w:t>[Robert L. Hale, "Coercion and Distribution in a Supposedly Non-Coercive State" (1923)]</w:t>
      </w:r>
    </w:p>
    <w:p w14:paraId="69076D55" w14:textId="77777777" w:rsidR="00911A7D" w:rsidRDefault="00911A7D">
      <w:pPr>
        <w:pStyle w:val="BodyText"/>
      </w:pPr>
    </w:p>
    <w:p w14:paraId="5CFA3509" w14:textId="77777777" w:rsidR="00911A7D" w:rsidRDefault="001014B3">
      <w:pPr>
        <w:pStyle w:val="BodyText"/>
        <w:spacing w:before="1"/>
        <w:ind w:left="820"/>
      </w:pPr>
      <w:r>
        <w:t>Notes and Questions</w:t>
      </w:r>
    </w:p>
    <w:p w14:paraId="05D18E56" w14:textId="77777777" w:rsidR="00911A7D" w:rsidRDefault="00911A7D">
      <w:pPr>
        <w:sectPr w:rsidR="00911A7D">
          <w:pgSz w:w="12240" w:h="15840"/>
          <w:pgMar w:top="1400" w:right="1340" w:bottom="1700" w:left="1340" w:header="0" w:footer="1500" w:gutter="0"/>
          <w:cols w:space="720"/>
        </w:sectPr>
      </w:pPr>
    </w:p>
    <w:p w14:paraId="534E3A94" w14:textId="77777777" w:rsidR="00911A7D" w:rsidRDefault="001014B3">
      <w:pPr>
        <w:pStyle w:val="BodyText"/>
        <w:spacing w:before="42"/>
        <w:ind w:left="2489" w:right="2487"/>
        <w:jc w:val="center"/>
      </w:pPr>
      <w:r>
        <w:lastRenderedPageBreak/>
        <w:t>Part III</w:t>
      </w:r>
    </w:p>
    <w:p w14:paraId="7B2A2896" w14:textId="77777777" w:rsidR="00911A7D" w:rsidRDefault="001014B3">
      <w:pPr>
        <w:spacing w:before="8"/>
        <w:ind w:left="2487" w:right="2487"/>
        <w:jc w:val="center"/>
        <w:rPr>
          <w:i/>
          <w:sz w:val="26"/>
        </w:rPr>
      </w:pPr>
      <w:r>
        <w:rPr>
          <w:i/>
          <w:sz w:val="26"/>
        </w:rPr>
        <w:t>The Reach of the Law</w:t>
      </w:r>
    </w:p>
    <w:p w14:paraId="1B64071E" w14:textId="77777777" w:rsidR="00911A7D" w:rsidRDefault="00911A7D">
      <w:pPr>
        <w:pStyle w:val="BodyText"/>
        <w:spacing w:before="7"/>
        <w:rPr>
          <w:i/>
          <w:sz w:val="22"/>
        </w:rPr>
      </w:pPr>
    </w:p>
    <w:p w14:paraId="6771D0DA" w14:textId="77777777" w:rsidR="00911A7D" w:rsidRDefault="001014B3">
      <w:pPr>
        <w:pStyle w:val="BodyText"/>
        <w:spacing w:before="55"/>
        <w:ind w:left="100"/>
      </w:pPr>
      <w:r>
        <w:t>Introduction</w:t>
      </w:r>
    </w:p>
    <w:p w14:paraId="14663BED" w14:textId="77777777" w:rsidR="00911A7D" w:rsidRDefault="00911A7D">
      <w:pPr>
        <w:pStyle w:val="BodyText"/>
        <w:spacing w:before="5"/>
        <w:rPr>
          <w:sz w:val="27"/>
        </w:rPr>
      </w:pPr>
    </w:p>
    <w:p w14:paraId="3115A8D3" w14:textId="77777777" w:rsidR="00911A7D" w:rsidRDefault="001014B3">
      <w:pPr>
        <w:pStyle w:val="BodyText"/>
        <w:ind w:left="100"/>
      </w:pPr>
      <w:r>
        <w:t>Chapter 6: Some Findings of Social Science</w:t>
      </w:r>
    </w:p>
    <w:p w14:paraId="26FA6332" w14:textId="77777777" w:rsidR="00911A7D" w:rsidRDefault="00911A7D">
      <w:pPr>
        <w:pStyle w:val="BodyText"/>
        <w:spacing w:before="5"/>
        <w:rPr>
          <w:sz w:val="27"/>
        </w:rPr>
      </w:pPr>
    </w:p>
    <w:p w14:paraId="6EBC4602" w14:textId="77777777" w:rsidR="00911A7D" w:rsidRDefault="001014B3">
      <w:pPr>
        <w:pStyle w:val="BodyText"/>
        <w:spacing w:line="494" w:lineRule="auto"/>
        <w:ind w:left="820" w:right="2610"/>
      </w:pPr>
      <w:r>
        <w:t xml:space="preserve">Solomon E. Asch, "Opinions and Social Pressure" (1955) </w:t>
      </w:r>
      <w:r>
        <w:rPr>
          <w:i/>
        </w:rPr>
        <w:t xml:space="preserve">Obedience </w:t>
      </w:r>
      <w:r>
        <w:t>(documentary film by Stanley Milgram) Stanley Milgram, "Behavioral Study of Obedience" (1963)</w:t>
      </w:r>
    </w:p>
    <w:p w14:paraId="47D6BA8E" w14:textId="77777777" w:rsidR="00911A7D" w:rsidRDefault="001014B3">
      <w:pPr>
        <w:pStyle w:val="BodyText"/>
        <w:spacing w:line="247" w:lineRule="auto"/>
        <w:ind w:left="820" w:right="56"/>
      </w:pPr>
      <w:r>
        <w:t>Craig Haney, Curtis Banks &amp; Philip Zimbardo, "A Study of Prisoners and Guards in a Simulated Prison" (1973)</w:t>
      </w:r>
    </w:p>
    <w:p w14:paraId="13BFAEEF" w14:textId="77777777" w:rsidR="00911A7D" w:rsidRDefault="00911A7D">
      <w:pPr>
        <w:pStyle w:val="BodyText"/>
        <w:spacing w:before="2"/>
      </w:pPr>
    </w:p>
    <w:p w14:paraId="3BA6B608" w14:textId="77777777" w:rsidR="00911A7D" w:rsidRDefault="001014B3">
      <w:pPr>
        <w:pStyle w:val="BodyText"/>
        <w:spacing w:before="1" w:line="494" w:lineRule="auto"/>
        <w:ind w:left="820" w:right="5183"/>
      </w:pPr>
      <w:r>
        <w:t>Katz v. Superior Court (1977) Notes and Questions</w:t>
      </w:r>
    </w:p>
    <w:p w14:paraId="05A21505" w14:textId="77777777" w:rsidR="00911A7D" w:rsidRDefault="00911A7D">
      <w:pPr>
        <w:pStyle w:val="BodyText"/>
        <w:spacing w:before="5"/>
      </w:pPr>
    </w:p>
    <w:p w14:paraId="360D1890" w14:textId="77777777" w:rsidR="00911A7D" w:rsidRDefault="001014B3">
      <w:pPr>
        <w:pStyle w:val="BodyText"/>
        <w:ind w:left="100"/>
      </w:pPr>
      <w:r>
        <w:t>Ch</w:t>
      </w:r>
      <w:r>
        <w:t>apter 7: Warfare and the Reach of the Law</w:t>
      </w:r>
    </w:p>
    <w:p w14:paraId="2F742B8C" w14:textId="77777777" w:rsidR="00911A7D" w:rsidRDefault="00911A7D">
      <w:pPr>
        <w:pStyle w:val="BodyText"/>
        <w:spacing w:before="5"/>
        <w:rPr>
          <w:sz w:val="27"/>
        </w:rPr>
      </w:pPr>
    </w:p>
    <w:p w14:paraId="16B76E88" w14:textId="77777777" w:rsidR="00911A7D" w:rsidRDefault="001014B3">
      <w:pPr>
        <w:pStyle w:val="BodyText"/>
        <w:ind w:left="820"/>
      </w:pPr>
      <w:r>
        <w:t>The Nuremberg Trials: Justice Jackson's Report to the President (1945)</w:t>
      </w:r>
    </w:p>
    <w:p w14:paraId="161814A0" w14:textId="77777777" w:rsidR="00911A7D" w:rsidRDefault="00911A7D">
      <w:pPr>
        <w:pStyle w:val="BodyText"/>
        <w:spacing w:before="5"/>
        <w:rPr>
          <w:sz w:val="27"/>
        </w:rPr>
      </w:pPr>
    </w:p>
    <w:p w14:paraId="34DC00F6" w14:textId="77777777" w:rsidR="00911A7D" w:rsidRDefault="001014B3">
      <w:pPr>
        <w:spacing w:line="494" w:lineRule="auto"/>
        <w:ind w:left="820" w:right="2225"/>
        <w:rPr>
          <w:sz w:val="26"/>
        </w:rPr>
      </w:pPr>
      <w:r>
        <w:rPr>
          <w:i/>
          <w:sz w:val="26"/>
        </w:rPr>
        <w:t xml:space="preserve">Nuremberg: Reflection and Resonance </w:t>
      </w:r>
      <w:r>
        <w:rPr>
          <w:sz w:val="26"/>
        </w:rPr>
        <w:t>(documentary film) The Nuremberg Trials: Proceedings (1946)</w:t>
      </w:r>
    </w:p>
    <w:p w14:paraId="771DB81A" w14:textId="77777777" w:rsidR="00911A7D" w:rsidRDefault="001014B3">
      <w:pPr>
        <w:pStyle w:val="BodyText"/>
        <w:spacing w:line="494" w:lineRule="auto"/>
        <w:ind w:left="820" w:right="4262"/>
      </w:pPr>
      <w:r>
        <w:t xml:space="preserve">The Nuremberg Trials: Judgment (1946) United </w:t>
      </w:r>
      <w:r>
        <w:t>States v. Calley (1973)</w:t>
      </w:r>
    </w:p>
    <w:p w14:paraId="4A2CBC60" w14:textId="77777777" w:rsidR="00911A7D" w:rsidRDefault="001014B3">
      <w:pPr>
        <w:pStyle w:val="BodyText"/>
        <w:spacing w:line="296" w:lineRule="exact"/>
        <w:ind w:left="820"/>
      </w:pPr>
      <w:r>
        <w:t>Notes and Questions</w:t>
      </w:r>
    </w:p>
    <w:p w14:paraId="31437D53" w14:textId="77777777" w:rsidR="00911A7D" w:rsidRDefault="00911A7D">
      <w:pPr>
        <w:pStyle w:val="BodyText"/>
      </w:pPr>
    </w:p>
    <w:p w14:paraId="052BB9D0" w14:textId="77777777" w:rsidR="00911A7D" w:rsidRDefault="00911A7D">
      <w:pPr>
        <w:pStyle w:val="BodyText"/>
        <w:spacing w:before="10"/>
        <w:rPr>
          <w:sz w:val="27"/>
        </w:rPr>
      </w:pPr>
    </w:p>
    <w:p w14:paraId="7984202C" w14:textId="77777777" w:rsidR="00911A7D" w:rsidRDefault="001014B3">
      <w:pPr>
        <w:pStyle w:val="BodyText"/>
        <w:ind w:left="100"/>
      </w:pPr>
      <w:r>
        <w:t>Chapter 8: The Abuse Excuse</w:t>
      </w:r>
    </w:p>
    <w:p w14:paraId="5CD3405A" w14:textId="77777777" w:rsidR="00911A7D" w:rsidRDefault="00911A7D">
      <w:pPr>
        <w:pStyle w:val="BodyText"/>
        <w:spacing w:before="5"/>
        <w:rPr>
          <w:sz w:val="27"/>
        </w:rPr>
      </w:pPr>
    </w:p>
    <w:p w14:paraId="2F58AD04" w14:textId="77777777" w:rsidR="00911A7D" w:rsidRDefault="001014B3">
      <w:pPr>
        <w:pStyle w:val="BodyText"/>
        <w:ind w:left="820"/>
      </w:pPr>
      <w:r>
        <w:t>United States v. Alexander and Murdock (1972)</w:t>
      </w:r>
    </w:p>
    <w:p w14:paraId="77F230A4" w14:textId="77777777" w:rsidR="00911A7D" w:rsidRDefault="00911A7D">
      <w:pPr>
        <w:sectPr w:rsidR="00911A7D">
          <w:pgSz w:w="12240" w:h="15840"/>
          <w:pgMar w:top="1400" w:right="1340" w:bottom="1700" w:left="1340" w:header="0" w:footer="1500" w:gutter="0"/>
          <w:cols w:space="720"/>
        </w:sectPr>
      </w:pPr>
    </w:p>
    <w:p w14:paraId="2140FAA4" w14:textId="77777777" w:rsidR="00911A7D" w:rsidRDefault="001014B3">
      <w:pPr>
        <w:pStyle w:val="BodyText"/>
        <w:spacing w:before="42" w:line="494" w:lineRule="auto"/>
        <w:ind w:left="820" w:right="5915"/>
      </w:pPr>
      <w:r>
        <w:lastRenderedPageBreak/>
        <w:t>Jahnke v. State (1984) State v. Norman (1989) Notes and Questions</w:t>
      </w:r>
    </w:p>
    <w:p w14:paraId="54DC312E" w14:textId="77777777" w:rsidR="00911A7D" w:rsidRDefault="00911A7D">
      <w:pPr>
        <w:pStyle w:val="BodyText"/>
        <w:spacing w:before="3"/>
      </w:pPr>
    </w:p>
    <w:p w14:paraId="1E57961E" w14:textId="77777777" w:rsidR="00911A7D" w:rsidRDefault="001014B3">
      <w:pPr>
        <w:pStyle w:val="BodyText"/>
        <w:spacing w:before="1"/>
        <w:ind w:left="2487" w:right="2487"/>
        <w:jc w:val="center"/>
      </w:pPr>
      <w:r>
        <w:t>Part IV</w:t>
      </w:r>
    </w:p>
    <w:p w14:paraId="2126BFA9" w14:textId="77777777" w:rsidR="00911A7D" w:rsidRDefault="001014B3">
      <w:pPr>
        <w:spacing w:before="8"/>
        <w:ind w:left="2487" w:right="2487"/>
        <w:jc w:val="center"/>
        <w:rPr>
          <w:i/>
          <w:sz w:val="26"/>
        </w:rPr>
      </w:pPr>
      <w:r>
        <w:rPr>
          <w:i/>
          <w:sz w:val="26"/>
        </w:rPr>
        <w:t>The Legal and the Non-Legal</w:t>
      </w:r>
    </w:p>
    <w:p w14:paraId="66938A2A" w14:textId="77777777" w:rsidR="00911A7D" w:rsidRDefault="00911A7D">
      <w:pPr>
        <w:pStyle w:val="BodyText"/>
        <w:spacing w:before="5"/>
        <w:rPr>
          <w:i/>
          <w:sz w:val="27"/>
        </w:rPr>
      </w:pPr>
    </w:p>
    <w:p w14:paraId="452849F2" w14:textId="77777777" w:rsidR="00911A7D" w:rsidRDefault="001014B3">
      <w:pPr>
        <w:pStyle w:val="BodyText"/>
        <w:ind w:left="100"/>
      </w:pPr>
      <w:r>
        <w:t>Introduction</w:t>
      </w:r>
    </w:p>
    <w:p w14:paraId="35A996D7" w14:textId="77777777" w:rsidR="00911A7D" w:rsidRDefault="00911A7D">
      <w:pPr>
        <w:pStyle w:val="BodyText"/>
        <w:spacing w:before="4"/>
        <w:rPr>
          <w:sz w:val="27"/>
        </w:rPr>
      </w:pPr>
    </w:p>
    <w:p w14:paraId="460C8C59" w14:textId="77777777" w:rsidR="00911A7D" w:rsidRDefault="001014B3">
      <w:pPr>
        <w:pStyle w:val="BodyText"/>
        <w:spacing w:before="1"/>
        <w:ind w:left="100"/>
      </w:pPr>
      <w:r>
        <w:t>Chapter 9: Rule-Governed Institutions</w:t>
      </w:r>
    </w:p>
    <w:p w14:paraId="6A710ECB" w14:textId="77777777" w:rsidR="00911A7D" w:rsidRDefault="00911A7D">
      <w:pPr>
        <w:pStyle w:val="BodyText"/>
        <w:spacing w:before="4"/>
        <w:rPr>
          <w:sz w:val="27"/>
        </w:rPr>
      </w:pPr>
    </w:p>
    <w:p w14:paraId="0E516122" w14:textId="77777777" w:rsidR="00911A7D" w:rsidRDefault="001014B3">
      <w:pPr>
        <w:spacing w:before="1" w:line="247" w:lineRule="auto"/>
        <w:ind w:left="820"/>
        <w:rPr>
          <w:sz w:val="26"/>
        </w:rPr>
      </w:pPr>
      <w:r>
        <w:rPr>
          <w:sz w:val="26"/>
        </w:rPr>
        <w:t xml:space="preserve">Ferdinand de Saussure, "Invariability and Variability of the Sign," in </w:t>
      </w:r>
      <w:r>
        <w:rPr>
          <w:i/>
          <w:sz w:val="26"/>
        </w:rPr>
        <w:t>Course in General Linguistic</w:t>
      </w:r>
      <w:r>
        <w:rPr>
          <w:i/>
          <w:sz w:val="26"/>
        </w:rPr>
        <w:t xml:space="preserve">s </w:t>
      </w:r>
      <w:r>
        <w:rPr>
          <w:sz w:val="26"/>
        </w:rPr>
        <w:t>(1916)</w:t>
      </w:r>
    </w:p>
    <w:p w14:paraId="63081198" w14:textId="77777777" w:rsidR="00911A7D" w:rsidRDefault="00911A7D">
      <w:pPr>
        <w:pStyle w:val="BodyText"/>
        <w:spacing w:before="6"/>
      </w:pPr>
    </w:p>
    <w:p w14:paraId="4797CF8E" w14:textId="77777777" w:rsidR="00911A7D" w:rsidRDefault="001014B3">
      <w:pPr>
        <w:pStyle w:val="BodyText"/>
        <w:spacing w:line="247" w:lineRule="auto"/>
        <w:ind w:left="820"/>
      </w:pPr>
      <w:r>
        <w:t>Law No. 94-665 of 4 August 1994 Relative to the Use of the French Language (1994)</w:t>
      </w:r>
    </w:p>
    <w:p w14:paraId="26026489" w14:textId="77777777" w:rsidR="00911A7D" w:rsidRDefault="00911A7D">
      <w:pPr>
        <w:pStyle w:val="BodyText"/>
        <w:spacing w:before="7"/>
      </w:pPr>
    </w:p>
    <w:p w14:paraId="44D7AF77" w14:textId="77777777" w:rsidR="00911A7D" w:rsidRDefault="001014B3">
      <w:pPr>
        <w:ind w:left="820"/>
        <w:rPr>
          <w:sz w:val="26"/>
        </w:rPr>
      </w:pPr>
      <w:r>
        <w:rPr>
          <w:sz w:val="26"/>
        </w:rPr>
        <w:t xml:space="preserve">Emily Post, </w:t>
      </w:r>
      <w:r>
        <w:rPr>
          <w:i/>
          <w:sz w:val="26"/>
        </w:rPr>
        <w:t xml:space="preserve">Etiquette </w:t>
      </w:r>
      <w:r>
        <w:rPr>
          <w:sz w:val="26"/>
        </w:rPr>
        <w:t>(1922)</w:t>
      </w:r>
    </w:p>
    <w:p w14:paraId="21733DF3" w14:textId="77777777" w:rsidR="00911A7D" w:rsidRDefault="00911A7D">
      <w:pPr>
        <w:pStyle w:val="BodyText"/>
        <w:spacing w:before="5"/>
        <w:rPr>
          <w:sz w:val="27"/>
        </w:rPr>
      </w:pPr>
    </w:p>
    <w:p w14:paraId="5D1C6553" w14:textId="77777777" w:rsidR="00911A7D" w:rsidRDefault="001014B3">
      <w:pPr>
        <w:pStyle w:val="BodyText"/>
        <w:spacing w:line="494" w:lineRule="auto"/>
        <w:ind w:left="820" w:right="547"/>
      </w:pPr>
      <w:r>
        <w:t xml:space="preserve">Emily Post, "The True Meaning of Etiquette," in </w:t>
      </w:r>
      <w:r>
        <w:rPr>
          <w:i/>
        </w:rPr>
        <w:t xml:space="preserve">Etiquette </w:t>
      </w:r>
      <w:r>
        <w:t>(10th ed. 1960) New York Rules of Court: Standards of Civility (1998)</w:t>
      </w:r>
    </w:p>
    <w:p w14:paraId="2567F706" w14:textId="77777777" w:rsidR="00911A7D" w:rsidRDefault="001014B3">
      <w:pPr>
        <w:pStyle w:val="BodyText"/>
        <w:spacing w:line="494" w:lineRule="auto"/>
        <w:ind w:left="820" w:right="547"/>
      </w:pPr>
      <w:r>
        <w:t>Gretchen Craft Rubin &amp; Jamie G. Heller, "Restatement of Love" (1994) Cornell University Sexual Harassment Procedures (1991)</w:t>
      </w:r>
    </w:p>
    <w:p w14:paraId="207C5ACD" w14:textId="77777777" w:rsidR="00911A7D" w:rsidRDefault="001014B3">
      <w:pPr>
        <w:pStyle w:val="BodyText"/>
        <w:spacing w:line="494" w:lineRule="auto"/>
        <w:ind w:left="820" w:right="5915"/>
      </w:pPr>
      <w:r>
        <w:t>Wildey v. Springs (1995) Notes and Questions</w:t>
      </w:r>
    </w:p>
    <w:p w14:paraId="5DB43819" w14:textId="77777777" w:rsidR="00911A7D" w:rsidRDefault="00911A7D">
      <w:pPr>
        <w:pStyle w:val="BodyText"/>
        <w:spacing w:before="11"/>
        <w:rPr>
          <w:sz w:val="25"/>
        </w:rPr>
      </w:pPr>
    </w:p>
    <w:p w14:paraId="65D8F7D0" w14:textId="77777777" w:rsidR="00911A7D" w:rsidRDefault="001014B3">
      <w:pPr>
        <w:pStyle w:val="BodyText"/>
        <w:ind w:left="100"/>
      </w:pPr>
      <w:r>
        <w:t>Chapter 10: Smal</w:t>
      </w:r>
      <w:r>
        <w:t>ler Groups and Associations</w:t>
      </w:r>
    </w:p>
    <w:p w14:paraId="4FA7D382" w14:textId="77777777" w:rsidR="00911A7D" w:rsidRDefault="00911A7D">
      <w:pPr>
        <w:pStyle w:val="BodyText"/>
        <w:spacing w:before="5"/>
        <w:rPr>
          <w:sz w:val="27"/>
        </w:rPr>
      </w:pPr>
    </w:p>
    <w:p w14:paraId="746A001C" w14:textId="77777777" w:rsidR="00911A7D" w:rsidRDefault="001014B3">
      <w:pPr>
        <w:ind w:left="820"/>
        <w:rPr>
          <w:sz w:val="26"/>
        </w:rPr>
      </w:pPr>
      <w:r>
        <w:rPr>
          <w:sz w:val="26"/>
        </w:rPr>
        <w:t xml:space="preserve">"The Scout Law," </w:t>
      </w:r>
      <w:r>
        <w:rPr>
          <w:i/>
          <w:sz w:val="26"/>
        </w:rPr>
        <w:t xml:space="preserve">Boy Scout Handbook </w:t>
      </w:r>
      <w:r>
        <w:rPr>
          <w:sz w:val="26"/>
        </w:rPr>
        <w:t>(7th ed. 1965)</w:t>
      </w:r>
    </w:p>
    <w:p w14:paraId="219322DE" w14:textId="77777777" w:rsidR="00911A7D" w:rsidRDefault="00911A7D">
      <w:pPr>
        <w:pStyle w:val="BodyText"/>
        <w:spacing w:before="5"/>
        <w:rPr>
          <w:sz w:val="27"/>
        </w:rPr>
      </w:pPr>
    </w:p>
    <w:p w14:paraId="24AD5952" w14:textId="77777777" w:rsidR="00911A7D" w:rsidRDefault="001014B3">
      <w:pPr>
        <w:pStyle w:val="BodyText"/>
        <w:ind w:left="820"/>
      </w:pPr>
      <w:r>
        <w:t>Randall v. Orange County Council, Boy Scouts of America (1998)</w:t>
      </w:r>
    </w:p>
    <w:p w14:paraId="29485AE2" w14:textId="77777777" w:rsidR="00911A7D" w:rsidRDefault="00911A7D">
      <w:pPr>
        <w:sectPr w:rsidR="00911A7D">
          <w:pgSz w:w="12240" w:h="15840"/>
          <w:pgMar w:top="1400" w:right="1340" w:bottom="1700" w:left="1340" w:header="0" w:footer="1500" w:gutter="0"/>
          <w:cols w:space="720"/>
        </w:sectPr>
      </w:pPr>
    </w:p>
    <w:p w14:paraId="57D35D80" w14:textId="77777777" w:rsidR="00911A7D" w:rsidRDefault="001014B3">
      <w:pPr>
        <w:pStyle w:val="BodyText"/>
        <w:spacing w:before="42"/>
        <w:ind w:left="820"/>
      </w:pPr>
      <w:r>
        <w:lastRenderedPageBreak/>
        <w:t>Boy Scouts of America v. Dale (2000)</w:t>
      </w:r>
    </w:p>
    <w:p w14:paraId="62B6E9B0" w14:textId="77777777" w:rsidR="00911A7D" w:rsidRDefault="00911A7D">
      <w:pPr>
        <w:pStyle w:val="BodyText"/>
        <w:spacing w:before="5"/>
        <w:rPr>
          <w:sz w:val="27"/>
        </w:rPr>
      </w:pPr>
    </w:p>
    <w:p w14:paraId="1E2FFE40" w14:textId="77777777" w:rsidR="00911A7D" w:rsidRDefault="001014B3">
      <w:pPr>
        <w:pStyle w:val="BodyText"/>
        <w:spacing w:line="494" w:lineRule="auto"/>
        <w:ind w:left="820" w:right="547"/>
      </w:pPr>
      <w:r>
        <w:t>Walter O. Weyrauch, "Unwritten Constitutions, Unwritten Law"</w:t>
      </w:r>
      <w:r>
        <w:t xml:space="preserve"> (1999) Dawkins v. Antrobus (1879)</w:t>
      </w:r>
    </w:p>
    <w:p w14:paraId="323993A6" w14:textId="77777777" w:rsidR="00911A7D" w:rsidRDefault="001014B3">
      <w:pPr>
        <w:pStyle w:val="BodyText"/>
        <w:spacing w:line="494" w:lineRule="auto"/>
        <w:ind w:left="820" w:right="5183"/>
      </w:pPr>
      <w:r>
        <w:t>United States v. Ballard (1944) Stambovsky v. Ackley (1991) Notes and Questions</w:t>
      </w:r>
    </w:p>
    <w:p w14:paraId="65E21C32" w14:textId="77777777" w:rsidR="00911A7D" w:rsidRDefault="00911A7D">
      <w:pPr>
        <w:pStyle w:val="BodyText"/>
      </w:pPr>
    </w:p>
    <w:p w14:paraId="2E60A2A6" w14:textId="77777777" w:rsidR="00911A7D" w:rsidRDefault="001014B3">
      <w:pPr>
        <w:pStyle w:val="BodyText"/>
        <w:spacing w:before="1"/>
        <w:ind w:left="100"/>
      </w:pPr>
      <w:r>
        <w:t>Chapter 11: Quasi-Legal Governance</w:t>
      </w:r>
    </w:p>
    <w:p w14:paraId="4C4C9724" w14:textId="77777777" w:rsidR="00911A7D" w:rsidRDefault="00911A7D">
      <w:pPr>
        <w:pStyle w:val="BodyText"/>
        <w:spacing w:before="4"/>
        <w:rPr>
          <w:sz w:val="27"/>
        </w:rPr>
      </w:pPr>
    </w:p>
    <w:p w14:paraId="314F1BF1" w14:textId="77777777" w:rsidR="00911A7D" w:rsidRDefault="001014B3">
      <w:pPr>
        <w:pStyle w:val="BodyText"/>
        <w:ind w:left="820"/>
      </w:pPr>
      <w:r>
        <w:t>Mercury Bay Boating Club v. San Diego Yacht Club (1989)</w:t>
      </w:r>
    </w:p>
    <w:p w14:paraId="42EFBA8D" w14:textId="77777777" w:rsidR="00911A7D" w:rsidRDefault="00911A7D">
      <w:pPr>
        <w:pStyle w:val="BodyText"/>
        <w:spacing w:before="5"/>
        <w:rPr>
          <w:sz w:val="27"/>
        </w:rPr>
      </w:pPr>
    </w:p>
    <w:p w14:paraId="01D49070" w14:textId="77777777" w:rsidR="00911A7D" w:rsidRDefault="001014B3">
      <w:pPr>
        <w:ind w:left="820"/>
        <w:rPr>
          <w:sz w:val="26"/>
        </w:rPr>
      </w:pPr>
      <w:r>
        <w:rPr>
          <w:i/>
          <w:sz w:val="26"/>
        </w:rPr>
        <w:t xml:space="preserve">Robert's Rules of Order Revised </w:t>
      </w:r>
      <w:r>
        <w:rPr>
          <w:sz w:val="26"/>
        </w:rPr>
        <w:t>(1915)</w:t>
      </w:r>
    </w:p>
    <w:p w14:paraId="52B5CAAA" w14:textId="77777777" w:rsidR="00911A7D" w:rsidRDefault="00911A7D">
      <w:pPr>
        <w:pStyle w:val="BodyText"/>
        <w:spacing w:before="5"/>
        <w:rPr>
          <w:sz w:val="27"/>
        </w:rPr>
      </w:pPr>
    </w:p>
    <w:p w14:paraId="232CBB85" w14:textId="77777777" w:rsidR="00911A7D" w:rsidRDefault="001014B3">
      <w:pPr>
        <w:spacing w:line="494" w:lineRule="auto"/>
        <w:ind w:left="820" w:right="547"/>
        <w:rPr>
          <w:sz w:val="26"/>
        </w:rPr>
      </w:pPr>
      <w:r>
        <w:rPr>
          <w:sz w:val="26"/>
        </w:rPr>
        <w:t xml:space="preserve">Department of the Army Field Manual, </w:t>
      </w:r>
      <w:r>
        <w:rPr>
          <w:i/>
          <w:sz w:val="26"/>
        </w:rPr>
        <w:t xml:space="preserve">The Law of Land Warfare </w:t>
      </w:r>
      <w:r>
        <w:rPr>
          <w:sz w:val="26"/>
        </w:rPr>
        <w:t>(1956) Notes and Questions</w:t>
      </w:r>
    </w:p>
    <w:p w14:paraId="0622AD0B" w14:textId="77777777" w:rsidR="00911A7D" w:rsidRDefault="00911A7D">
      <w:pPr>
        <w:pStyle w:val="BodyText"/>
        <w:spacing w:before="5"/>
      </w:pPr>
    </w:p>
    <w:p w14:paraId="7B553CA9" w14:textId="77777777" w:rsidR="00911A7D" w:rsidRDefault="001014B3">
      <w:pPr>
        <w:pStyle w:val="BodyText"/>
        <w:spacing w:before="1"/>
        <w:ind w:left="2489" w:right="2487"/>
        <w:jc w:val="center"/>
      </w:pPr>
      <w:r>
        <w:t>Part V</w:t>
      </w:r>
    </w:p>
    <w:p w14:paraId="10050C0B" w14:textId="77777777" w:rsidR="00911A7D" w:rsidRDefault="001014B3">
      <w:pPr>
        <w:spacing w:before="8"/>
        <w:ind w:left="2487" w:right="2487"/>
        <w:jc w:val="center"/>
        <w:rPr>
          <w:i/>
          <w:sz w:val="26"/>
        </w:rPr>
      </w:pPr>
      <w:r>
        <w:rPr>
          <w:i/>
          <w:sz w:val="26"/>
        </w:rPr>
        <w:t>Law and Morality</w:t>
      </w:r>
    </w:p>
    <w:p w14:paraId="2CABC429" w14:textId="77777777" w:rsidR="00911A7D" w:rsidRDefault="00911A7D">
      <w:pPr>
        <w:pStyle w:val="BodyText"/>
        <w:spacing w:before="5"/>
        <w:rPr>
          <w:i/>
          <w:sz w:val="27"/>
        </w:rPr>
      </w:pPr>
    </w:p>
    <w:p w14:paraId="54911B48" w14:textId="77777777" w:rsidR="00911A7D" w:rsidRDefault="001014B3">
      <w:pPr>
        <w:pStyle w:val="BodyText"/>
        <w:ind w:left="100"/>
      </w:pPr>
      <w:r>
        <w:t>Introduction</w:t>
      </w:r>
    </w:p>
    <w:p w14:paraId="5DD07072" w14:textId="77777777" w:rsidR="00911A7D" w:rsidRDefault="00911A7D">
      <w:pPr>
        <w:pStyle w:val="BodyText"/>
        <w:spacing w:before="5"/>
        <w:rPr>
          <w:sz w:val="27"/>
        </w:rPr>
      </w:pPr>
    </w:p>
    <w:p w14:paraId="2076B6B5" w14:textId="77777777" w:rsidR="00911A7D" w:rsidRDefault="001014B3">
      <w:pPr>
        <w:pStyle w:val="BodyText"/>
        <w:spacing w:line="494" w:lineRule="auto"/>
        <w:ind w:left="820" w:right="2612" w:hanging="720"/>
      </w:pPr>
      <w:r>
        <w:t>Chapter 12: The Realms of Law a</w:t>
      </w:r>
      <w:r>
        <w:t>nd Morality Distinguished Oliver Wendell Holmes, "The Path of the Law" (1897)</w:t>
      </w:r>
    </w:p>
    <w:p w14:paraId="054C09CF" w14:textId="77777777" w:rsidR="00911A7D" w:rsidRDefault="001014B3">
      <w:pPr>
        <w:spacing w:line="494" w:lineRule="auto"/>
        <w:ind w:left="820" w:right="547"/>
        <w:rPr>
          <w:sz w:val="26"/>
        </w:rPr>
      </w:pPr>
      <w:r>
        <w:rPr>
          <w:sz w:val="26"/>
        </w:rPr>
        <w:t xml:space="preserve">H.L.A. Hart, "Moral and Legal Obligation," in </w:t>
      </w:r>
      <w:r>
        <w:rPr>
          <w:i/>
          <w:sz w:val="26"/>
        </w:rPr>
        <w:t xml:space="preserve">The Concept of Law </w:t>
      </w:r>
      <w:r>
        <w:rPr>
          <w:sz w:val="26"/>
        </w:rPr>
        <w:t>(1961) Riggs v. Palmer (1889)</w:t>
      </w:r>
    </w:p>
    <w:p w14:paraId="51210BB0" w14:textId="77777777" w:rsidR="00911A7D" w:rsidRDefault="001014B3">
      <w:pPr>
        <w:pStyle w:val="BodyText"/>
        <w:spacing w:line="296" w:lineRule="exact"/>
        <w:ind w:left="820"/>
      </w:pPr>
      <w:r>
        <w:t>Notes and Questions</w:t>
      </w:r>
    </w:p>
    <w:p w14:paraId="7BCA2F55" w14:textId="77777777" w:rsidR="00911A7D" w:rsidRDefault="00911A7D">
      <w:pPr>
        <w:spacing w:line="296" w:lineRule="exact"/>
        <w:sectPr w:rsidR="00911A7D">
          <w:pgSz w:w="12240" w:h="15840"/>
          <w:pgMar w:top="1400" w:right="1340" w:bottom="1700" w:left="1340" w:header="0" w:footer="1500" w:gutter="0"/>
          <w:cols w:space="720"/>
        </w:sectPr>
      </w:pPr>
    </w:p>
    <w:p w14:paraId="1686CC43" w14:textId="77777777" w:rsidR="00911A7D" w:rsidRDefault="001014B3">
      <w:pPr>
        <w:pStyle w:val="BodyText"/>
        <w:spacing w:before="42"/>
        <w:ind w:left="100"/>
      </w:pPr>
      <w:r>
        <w:lastRenderedPageBreak/>
        <w:t>Chapter 13: Legal Implications of Personal Morality</w:t>
      </w:r>
    </w:p>
    <w:p w14:paraId="4C56EDE5" w14:textId="77777777" w:rsidR="00911A7D" w:rsidRDefault="00911A7D">
      <w:pPr>
        <w:pStyle w:val="BodyText"/>
        <w:spacing w:before="5"/>
        <w:rPr>
          <w:sz w:val="27"/>
        </w:rPr>
      </w:pPr>
    </w:p>
    <w:p w14:paraId="3DF155F0" w14:textId="77777777" w:rsidR="00911A7D" w:rsidRDefault="001014B3">
      <w:pPr>
        <w:pStyle w:val="BodyText"/>
        <w:spacing w:line="247" w:lineRule="auto"/>
        <w:ind w:left="820"/>
      </w:pPr>
      <w:r>
        <w:t xml:space="preserve">Henry M. Hart, Jr. &amp; Albert M. Sacks, "The Invitation to Dinner Case," in </w:t>
      </w:r>
      <w:r>
        <w:rPr>
          <w:i/>
        </w:rPr>
        <w:t xml:space="preserve">The Legal Process </w:t>
      </w:r>
      <w:r>
        <w:t>(1958)</w:t>
      </w:r>
    </w:p>
    <w:p w14:paraId="6E7AB9AB" w14:textId="77777777" w:rsidR="00911A7D" w:rsidRDefault="00911A7D">
      <w:pPr>
        <w:pStyle w:val="BodyText"/>
        <w:spacing w:before="6"/>
      </w:pPr>
    </w:p>
    <w:p w14:paraId="7531BB05" w14:textId="77777777" w:rsidR="00911A7D" w:rsidRDefault="001014B3">
      <w:pPr>
        <w:pStyle w:val="BodyText"/>
        <w:spacing w:line="494" w:lineRule="auto"/>
        <w:ind w:left="820" w:right="5915"/>
      </w:pPr>
      <w:r>
        <w:t>Hamer v. Sidway (1891) People v. Lafka (1959)</w:t>
      </w:r>
    </w:p>
    <w:p w14:paraId="0FE0B039" w14:textId="77777777" w:rsidR="00911A7D" w:rsidRDefault="001014B3">
      <w:pPr>
        <w:pStyle w:val="BodyText"/>
        <w:spacing w:line="494" w:lineRule="auto"/>
        <w:ind w:left="820" w:right="4262"/>
      </w:pPr>
      <w:r>
        <w:t>Bowers v. Hardwick (1986) (selection) Lawrence v. Texas (</w:t>
      </w:r>
      <w:r>
        <w:t>2003) (selection) Notes and Questions</w:t>
      </w:r>
    </w:p>
    <w:p w14:paraId="39D5227F" w14:textId="77777777" w:rsidR="00911A7D" w:rsidRDefault="00911A7D">
      <w:pPr>
        <w:pStyle w:val="BodyText"/>
        <w:spacing w:before="1"/>
      </w:pPr>
    </w:p>
    <w:p w14:paraId="409926EC" w14:textId="77777777" w:rsidR="00911A7D" w:rsidRDefault="001014B3">
      <w:pPr>
        <w:pStyle w:val="BodyText"/>
        <w:ind w:left="100"/>
      </w:pPr>
      <w:r>
        <w:t>Chapter 14: Are There Affirmative Legal Duties?</w:t>
      </w:r>
    </w:p>
    <w:p w14:paraId="4E76FBD5" w14:textId="77777777" w:rsidR="00911A7D" w:rsidRDefault="00911A7D">
      <w:pPr>
        <w:pStyle w:val="BodyText"/>
        <w:spacing w:before="5"/>
        <w:rPr>
          <w:sz w:val="27"/>
        </w:rPr>
      </w:pPr>
    </w:p>
    <w:p w14:paraId="45A7FAE3" w14:textId="77777777" w:rsidR="00911A7D" w:rsidRDefault="001014B3">
      <w:pPr>
        <w:pStyle w:val="BodyText"/>
        <w:spacing w:line="494" w:lineRule="auto"/>
        <w:ind w:left="820" w:right="3727"/>
      </w:pPr>
      <w:r>
        <w:t>Union Pacific Railway Co. v. Cappier (1903) People v. Beardsley (1907)</w:t>
      </w:r>
    </w:p>
    <w:p w14:paraId="5850AE81" w14:textId="77777777" w:rsidR="00911A7D" w:rsidRDefault="001014B3">
      <w:pPr>
        <w:pStyle w:val="BodyText"/>
        <w:spacing w:line="296" w:lineRule="exact"/>
        <w:ind w:left="820"/>
      </w:pPr>
      <w:r>
        <w:t>Pope v. State</w:t>
      </w:r>
      <w:r>
        <w:rPr>
          <w:spacing w:val="-9"/>
        </w:rPr>
        <w:t xml:space="preserve"> </w:t>
      </w:r>
      <w:r>
        <w:t>(1979)</w:t>
      </w:r>
    </w:p>
    <w:p w14:paraId="2A43751D" w14:textId="77777777" w:rsidR="00911A7D" w:rsidRDefault="00911A7D">
      <w:pPr>
        <w:pStyle w:val="BodyText"/>
        <w:spacing w:before="5"/>
        <w:rPr>
          <w:sz w:val="27"/>
        </w:rPr>
      </w:pPr>
    </w:p>
    <w:p w14:paraId="78F0A2BD" w14:textId="77777777" w:rsidR="00911A7D" w:rsidRDefault="001014B3">
      <w:pPr>
        <w:spacing w:line="494" w:lineRule="auto"/>
        <w:ind w:left="820" w:right="3727"/>
        <w:rPr>
          <w:sz w:val="26"/>
        </w:rPr>
      </w:pPr>
      <w:r>
        <w:rPr>
          <w:sz w:val="26"/>
        </w:rPr>
        <w:t xml:space="preserve">Theodore Dreiser, </w:t>
      </w:r>
      <w:r>
        <w:rPr>
          <w:i/>
          <w:sz w:val="26"/>
        </w:rPr>
        <w:t xml:space="preserve">An American Tragedy </w:t>
      </w:r>
      <w:r>
        <w:rPr>
          <w:spacing w:val="-3"/>
          <w:sz w:val="26"/>
        </w:rPr>
        <w:t xml:space="preserve">(1925) </w:t>
      </w:r>
      <w:r>
        <w:rPr>
          <w:sz w:val="26"/>
        </w:rPr>
        <w:t>Notes and</w:t>
      </w:r>
      <w:r>
        <w:rPr>
          <w:spacing w:val="-3"/>
          <w:sz w:val="26"/>
        </w:rPr>
        <w:t xml:space="preserve"> </w:t>
      </w:r>
      <w:r>
        <w:rPr>
          <w:sz w:val="26"/>
        </w:rPr>
        <w:t>Questions</w:t>
      </w:r>
    </w:p>
    <w:sectPr w:rsidR="00911A7D">
      <w:pgSz w:w="12240" w:h="15840"/>
      <w:pgMar w:top="1400" w:right="1340" w:bottom="1700" w:left="1340" w:header="0" w:footer="1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E7FA7" w14:textId="77777777" w:rsidR="00000000" w:rsidRDefault="001014B3">
      <w:r>
        <w:separator/>
      </w:r>
    </w:p>
  </w:endnote>
  <w:endnote w:type="continuationSeparator" w:id="0">
    <w:p w14:paraId="05718F5B" w14:textId="77777777" w:rsidR="00000000" w:rsidRDefault="0010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001" w14:textId="494D8DE8" w:rsidR="00911A7D" w:rsidRDefault="001014B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7D57272" wp14:editId="098EE0AA">
              <wp:simplePos x="0" y="0"/>
              <wp:positionH relativeFrom="page">
                <wp:posOffset>3806825</wp:posOffset>
              </wp:positionH>
              <wp:positionV relativeFrom="page">
                <wp:posOffset>8966200</wp:posOffset>
              </wp:positionV>
              <wp:extent cx="158750"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47C79" w14:textId="77777777" w:rsidR="00911A7D" w:rsidRDefault="001014B3">
                          <w:pPr>
                            <w:pStyle w:val="BodyText"/>
                            <w:spacing w:line="274"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57272" id="_x0000_t202" coordsize="21600,21600" o:spt="202" path="m,l,21600r21600,l21600,xe">
              <v:stroke joinstyle="miter"/>
              <v:path gradientshapeok="t" o:connecttype="rect"/>
            </v:shapetype>
            <v:shape id="Text Box 1" o:spid="_x0000_s1026" type="#_x0000_t202" style="position:absolute;margin-left:299.75pt;margin-top:706pt;width:12.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" filled="f" stroked="f">
              <v:textbox inset="0,0,0,0">
                <w:txbxContent>
                  <w:p w14:paraId="02947C79" w14:textId="77777777" w:rsidR="00911A7D" w:rsidRDefault="001014B3">
                    <w:pPr>
                      <w:pStyle w:val="BodyText"/>
                      <w:spacing w:line="274"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01842" w14:textId="77777777" w:rsidR="00000000" w:rsidRDefault="001014B3">
      <w:r>
        <w:separator/>
      </w:r>
    </w:p>
  </w:footnote>
  <w:footnote w:type="continuationSeparator" w:id="0">
    <w:p w14:paraId="3AF62F76" w14:textId="77777777" w:rsidR="00000000" w:rsidRDefault="00101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42299"/>
    <w:multiLevelType w:val="hybridMultilevel"/>
    <w:tmpl w:val="23D61E4A"/>
    <w:lvl w:ilvl="0" w:tplc="619028B2">
      <w:start w:val="1"/>
      <w:numFmt w:val="decimal"/>
      <w:lvlText w:val="%1."/>
      <w:lvlJc w:val="left"/>
      <w:pPr>
        <w:ind w:left="1144" w:hanging="324"/>
        <w:jc w:val="left"/>
      </w:pPr>
      <w:rPr>
        <w:rFonts w:ascii="Times New Roman" w:eastAsia="Times New Roman" w:hAnsi="Times New Roman" w:cs="Times New Roman" w:hint="default"/>
        <w:w w:val="99"/>
        <w:sz w:val="26"/>
        <w:szCs w:val="26"/>
      </w:rPr>
    </w:lvl>
    <w:lvl w:ilvl="1" w:tplc="BF887E24">
      <w:numFmt w:val="bullet"/>
      <w:lvlText w:val="•"/>
      <w:lvlJc w:val="left"/>
      <w:pPr>
        <w:ind w:left="1982" w:hanging="324"/>
      </w:pPr>
      <w:rPr>
        <w:rFonts w:hint="default"/>
      </w:rPr>
    </w:lvl>
    <w:lvl w:ilvl="2" w:tplc="AC2A541E">
      <w:numFmt w:val="bullet"/>
      <w:lvlText w:val="•"/>
      <w:lvlJc w:val="left"/>
      <w:pPr>
        <w:ind w:left="2824" w:hanging="324"/>
      </w:pPr>
      <w:rPr>
        <w:rFonts w:hint="default"/>
      </w:rPr>
    </w:lvl>
    <w:lvl w:ilvl="3" w:tplc="6D688BB2">
      <w:numFmt w:val="bullet"/>
      <w:lvlText w:val="•"/>
      <w:lvlJc w:val="left"/>
      <w:pPr>
        <w:ind w:left="3666" w:hanging="324"/>
      </w:pPr>
      <w:rPr>
        <w:rFonts w:hint="default"/>
      </w:rPr>
    </w:lvl>
    <w:lvl w:ilvl="4" w:tplc="92B80DC6">
      <w:numFmt w:val="bullet"/>
      <w:lvlText w:val="•"/>
      <w:lvlJc w:val="left"/>
      <w:pPr>
        <w:ind w:left="4508" w:hanging="324"/>
      </w:pPr>
      <w:rPr>
        <w:rFonts w:hint="default"/>
      </w:rPr>
    </w:lvl>
    <w:lvl w:ilvl="5" w:tplc="DA8824C4">
      <w:numFmt w:val="bullet"/>
      <w:lvlText w:val="•"/>
      <w:lvlJc w:val="left"/>
      <w:pPr>
        <w:ind w:left="5350" w:hanging="324"/>
      </w:pPr>
      <w:rPr>
        <w:rFonts w:hint="default"/>
      </w:rPr>
    </w:lvl>
    <w:lvl w:ilvl="6" w:tplc="F976F038">
      <w:numFmt w:val="bullet"/>
      <w:lvlText w:val="•"/>
      <w:lvlJc w:val="left"/>
      <w:pPr>
        <w:ind w:left="6192" w:hanging="324"/>
      </w:pPr>
      <w:rPr>
        <w:rFonts w:hint="default"/>
      </w:rPr>
    </w:lvl>
    <w:lvl w:ilvl="7" w:tplc="3F20F990">
      <w:numFmt w:val="bullet"/>
      <w:lvlText w:val="•"/>
      <w:lvlJc w:val="left"/>
      <w:pPr>
        <w:ind w:left="7034" w:hanging="324"/>
      </w:pPr>
      <w:rPr>
        <w:rFonts w:hint="default"/>
      </w:rPr>
    </w:lvl>
    <w:lvl w:ilvl="8" w:tplc="D180A5C2">
      <w:numFmt w:val="bullet"/>
      <w:lvlText w:val="•"/>
      <w:lvlJc w:val="left"/>
      <w:pPr>
        <w:ind w:left="7876" w:hanging="324"/>
      </w:pPr>
      <w:rPr>
        <w:rFonts w:hint="default"/>
      </w:rPr>
    </w:lvl>
  </w:abstractNum>
  <w:abstractNum w:abstractNumId="1" w15:restartNumberingAfterBreak="0">
    <w:nsid w:val="2155657F"/>
    <w:multiLevelType w:val="multilevel"/>
    <w:tmpl w:val="058ABAAC"/>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E2E493A"/>
    <w:multiLevelType w:val="hybridMultilevel"/>
    <w:tmpl w:val="A05C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7D"/>
    <w:rsid w:val="001014B3"/>
    <w:rsid w:val="0091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8337C"/>
  <w15:docId w15:val="{0AB59E85-169F-4911-9F05-F726DFA3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00" w:firstLine="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1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coronavirus.ufhealth.org/screen-test-protect/covid-19-exposure-and-symptoms-who-do-i-call-if/" TargetMode="External"/><Relationship Id="rId3" Type="http://schemas.openxmlformats.org/officeDocument/2006/relationships/settings" Target="settings.xml"/><Relationship Id="rId7" Type="http://schemas.openxmlformats.org/officeDocument/2006/relationships/hyperlink" Target="http://www.dso.ufl.edu/drc/" TargetMode="External"/><Relationship Id="rId12" Type="http://schemas.openxmlformats.org/officeDocument/2006/relationships/hyperlink" Target="https://www.cdc.gov/coronavirus/2019-ncov/symptoms-testing/symptom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rmcilhenny\AppData\Local\Microsoft\Windows\INetCache\Content.Outlook\QH37XRU4\ufl.bluera.com\ufl\"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hyperlink" Target="https://catalog.ufl.edu/UGRD/academic-regulations/attendanc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1949</Words>
  <Characters>11110</Characters>
  <Application>Microsoft Office Word</Application>
  <DocSecurity>0</DocSecurity>
  <Lines>92</Lines>
  <Paragraphs>26</Paragraphs>
  <ScaleCrop>false</ScaleCrop>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2021-01-13T17:47:00Z</dcterms:created>
  <dcterms:modified xsi:type="dcterms:W3CDTF">2021-01-13T17:47:00Z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PrintServer190</vt:lpwstr>
  </property>
  <property fmtid="{D5CDD505-2E9C-101B-9397-08002B2CF9AE}" pid="4" name="LastSaved">
    <vt:filetime>2021-01-13T00:00:00Z</vt:filetime>
  </property>
</Properties>
</file>