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B338" w14:textId="75862E5A" w:rsidR="000753F6" w:rsidRPr="000753F6" w:rsidRDefault="000945B3" w:rsidP="000753F6">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I</w:t>
      </w:r>
      <w:r w:rsidR="000753F6" w:rsidRPr="000753F6">
        <w:rPr>
          <w:rFonts w:ascii="Lato" w:eastAsia="Times New Roman" w:hAnsi="Lato" w:cs="Times New Roman"/>
          <w:color w:val="2D3B45"/>
          <w:sz w:val="24"/>
          <w:szCs w:val="24"/>
        </w:rPr>
        <w:t> am delighted to welcome all of you to UF Law.  </w:t>
      </w:r>
    </w:p>
    <w:p w14:paraId="545938F8"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In the first week we will begin to look at the Constitution as the basic cornerstone of the governing structure of the US and how understanding the principles is central to being a lawyer. As a matter of fact , upholding the constitution is part of the oath for becoming a lawyer.  </w:t>
      </w:r>
    </w:p>
    <w:p w14:paraId="7DEB62D3"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The first class, I would like to ask everyone to introduce themselves in class and tell us why you came to law school. </w:t>
      </w:r>
    </w:p>
    <w:p w14:paraId="4A3B2599"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We will also work our way through Constitutional Scavenger Hunt posted as the first day assignment.</w:t>
      </w:r>
    </w:p>
    <w:p w14:paraId="5A1E3C9E"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Each week I will specify our goals for the week. </w:t>
      </w:r>
    </w:p>
    <w:p w14:paraId="550851AA"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In the first week we will focus on the importance of words and the interpretation of words in the Constitution.  We will define the authority and  role of courts in interpreting the Constitution and in defining the powers and limits of the other branches of government.</w:t>
      </w:r>
    </w:p>
    <w:p w14:paraId="3B31BF8C" w14:textId="77777777" w:rsidR="000753F6" w:rsidRPr="000753F6" w:rsidRDefault="000753F6" w:rsidP="000753F6">
      <w:pPr>
        <w:shd w:val="clear" w:color="auto" w:fill="FFFFFF"/>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The reading for the first three days will be as follows: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35"/>
        <w:gridCol w:w="3840"/>
        <w:gridCol w:w="1755"/>
      </w:tblGrid>
      <w:tr w:rsidR="000753F6" w:rsidRPr="000753F6" w14:paraId="53473350" w14:textId="77777777" w:rsidTr="000753F6">
        <w:tc>
          <w:tcPr>
            <w:tcW w:w="1335" w:type="dxa"/>
            <w:shd w:val="clear" w:color="auto" w:fill="FFFFFF"/>
            <w:tcMar>
              <w:top w:w="30" w:type="dxa"/>
              <w:left w:w="30" w:type="dxa"/>
              <w:bottom w:w="30" w:type="dxa"/>
              <w:right w:w="30" w:type="dxa"/>
            </w:tcMar>
            <w:vAlign w:val="center"/>
            <w:hideMark/>
          </w:tcPr>
          <w:p w14:paraId="7E8E4110"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tc>
        <w:tc>
          <w:tcPr>
            <w:tcW w:w="3840" w:type="dxa"/>
            <w:shd w:val="clear" w:color="auto" w:fill="FFFFFF"/>
            <w:tcMar>
              <w:top w:w="30" w:type="dxa"/>
              <w:left w:w="30" w:type="dxa"/>
              <w:bottom w:w="30" w:type="dxa"/>
              <w:right w:w="30" w:type="dxa"/>
            </w:tcMar>
            <w:vAlign w:val="center"/>
            <w:hideMark/>
          </w:tcPr>
          <w:p w14:paraId="3262EF89"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b/>
                <w:bCs/>
                <w:color w:val="2D3B45"/>
                <w:sz w:val="24"/>
                <w:szCs w:val="24"/>
              </w:rPr>
              <w:t>I. Introduction</w:t>
            </w:r>
          </w:p>
        </w:tc>
        <w:tc>
          <w:tcPr>
            <w:tcW w:w="1755" w:type="dxa"/>
            <w:shd w:val="clear" w:color="auto" w:fill="FFFFFF"/>
            <w:tcMar>
              <w:top w:w="30" w:type="dxa"/>
              <w:left w:w="30" w:type="dxa"/>
              <w:bottom w:w="30" w:type="dxa"/>
              <w:right w:w="30" w:type="dxa"/>
            </w:tcMar>
            <w:vAlign w:val="center"/>
            <w:hideMark/>
          </w:tcPr>
          <w:p w14:paraId="188C23D4"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b/>
                <w:bCs/>
                <w:color w:val="2D3B45"/>
                <w:sz w:val="24"/>
                <w:szCs w:val="24"/>
              </w:rPr>
              <w:t>Pages</w:t>
            </w:r>
          </w:p>
        </w:tc>
      </w:tr>
      <w:tr w:rsidR="000753F6" w:rsidRPr="000753F6" w14:paraId="1258AE63" w14:textId="77777777" w:rsidTr="000753F6">
        <w:tc>
          <w:tcPr>
            <w:tcW w:w="1335" w:type="dxa"/>
            <w:shd w:val="clear" w:color="auto" w:fill="FFFFFF"/>
            <w:tcMar>
              <w:top w:w="30" w:type="dxa"/>
              <w:left w:w="30" w:type="dxa"/>
              <w:bottom w:w="30" w:type="dxa"/>
              <w:right w:w="30" w:type="dxa"/>
            </w:tcMar>
            <w:vAlign w:val="center"/>
            <w:hideMark/>
          </w:tcPr>
          <w:p w14:paraId="6D885FD9"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CLASS 1</w:t>
            </w:r>
          </w:p>
        </w:tc>
        <w:tc>
          <w:tcPr>
            <w:tcW w:w="3840" w:type="dxa"/>
            <w:shd w:val="clear" w:color="auto" w:fill="FFFFFF"/>
            <w:tcMar>
              <w:top w:w="30" w:type="dxa"/>
              <w:left w:w="30" w:type="dxa"/>
              <w:bottom w:w="30" w:type="dxa"/>
              <w:right w:w="30" w:type="dxa"/>
            </w:tcMar>
            <w:vAlign w:val="center"/>
            <w:hideMark/>
          </w:tcPr>
          <w:p w14:paraId="23D1F53B"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The Constitution, Scavenger Hunt (Canvas)</w:t>
            </w:r>
          </w:p>
        </w:tc>
        <w:tc>
          <w:tcPr>
            <w:tcW w:w="1755" w:type="dxa"/>
            <w:shd w:val="clear" w:color="auto" w:fill="FFFFFF"/>
            <w:tcMar>
              <w:top w:w="30" w:type="dxa"/>
              <w:left w:w="30" w:type="dxa"/>
              <w:bottom w:w="30" w:type="dxa"/>
              <w:right w:w="30" w:type="dxa"/>
            </w:tcMar>
            <w:vAlign w:val="center"/>
            <w:hideMark/>
          </w:tcPr>
          <w:p w14:paraId="48B99367"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XXXIX - LV</w:t>
            </w:r>
          </w:p>
        </w:tc>
      </w:tr>
      <w:tr w:rsidR="000753F6" w:rsidRPr="000753F6" w14:paraId="7D31BA5A" w14:textId="77777777" w:rsidTr="000753F6">
        <w:tc>
          <w:tcPr>
            <w:tcW w:w="1335" w:type="dxa"/>
            <w:shd w:val="clear" w:color="auto" w:fill="FFFFFF"/>
            <w:tcMar>
              <w:top w:w="30" w:type="dxa"/>
              <w:left w:w="30" w:type="dxa"/>
              <w:bottom w:w="30" w:type="dxa"/>
              <w:right w:w="30" w:type="dxa"/>
            </w:tcMar>
            <w:vAlign w:val="center"/>
            <w:hideMark/>
          </w:tcPr>
          <w:p w14:paraId="6F26C8E1"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tc>
        <w:tc>
          <w:tcPr>
            <w:tcW w:w="3840" w:type="dxa"/>
            <w:shd w:val="clear" w:color="auto" w:fill="FFFFFF"/>
            <w:tcMar>
              <w:top w:w="30" w:type="dxa"/>
              <w:left w:w="30" w:type="dxa"/>
              <w:bottom w:w="30" w:type="dxa"/>
              <w:right w:w="30" w:type="dxa"/>
            </w:tcMar>
            <w:vAlign w:val="center"/>
            <w:hideMark/>
          </w:tcPr>
          <w:p w14:paraId="3DF5536E" w14:textId="77777777" w:rsidR="000753F6" w:rsidRPr="000753F6" w:rsidRDefault="000753F6" w:rsidP="000753F6">
            <w:pPr>
              <w:spacing w:before="90" w:after="0" w:line="240" w:lineRule="auto"/>
              <w:outlineLvl w:val="0"/>
              <w:rPr>
                <w:rFonts w:ascii="Lato" w:eastAsia="Times New Roman" w:hAnsi="Lato" w:cs="Times New Roman"/>
                <w:color w:val="2D3B45"/>
                <w:kern w:val="36"/>
                <w:sz w:val="43"/>
                <w:szCs w:val="43"/>
              </w:rPr>
            </w:pPr>
            <w:r w:rsidRPr="000753F6">
              <w:rPr>
                <w:rFonts w:ascii="Lato" w:eastAsia="Times New Roman" w:hAnsi="Lato" w:cs="Times New Roman"/>
                <w:color w:val="2D3B45"/>
                <w:kern w:val="36"/>
                <w:sz w:val="24"/>
                <w:szCs w:val="24"/>
              </w:rPr>
              <w:t>SEPARATION OF FEDERAL POWERS</w:t>
            </w:r>
          </w:p>
        </w:tc>
        <w:tc>
          <w:tcPr>
            <w:tcW w:w="1755" w:type="dxa"/>
            <w:shd w:val="clear" w:color="auto" w:fill="FFFFFF"/>
            <w:tcMar>
              <w:top w:w="30" w:type="dxa"/>
              <w:left w:w="30" w:type="dxa"/>
              <w:bottom w:w="30" w:type="dxa"/>
              <w:right w:w="30" w:type="dxa"/>
            </w:tcMar>
            <w:vAlign w:val="center"/>
            <w:hideMark/>
          </w:tcPr>
          <w:p w14:paraId="078E67D3"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tc>
      </w:tr>
      <w:tr w:rsidR="000753F6" w:rsidRPr="000753F6" w14:paraId="1EB226C0" w14:textId="77777777" w:rsidTr="000753F6">
        <w:tc>
          <w:tcPr>
            <w:tcW w:w="1335" w:type="dxa"/>
            <w:shd w:val="clear" w:color="auto" w:fill="FFFFFF"/>
            <w:tcMar>
              <w:top w:w="30" w:type="dxa"/>
              <w:left w:w="30" w:type="dxa"/>
              <w:bottom w:w="30" w:type="dxa"/>
              <w:right w:w="30" w:type="dxa"/>
            </w:tcMar>
            <w:vAlign w:val="center"/>
            <w:hideMark/>
          </w:tcPr>
          <w:p w14:paraId="77C71171" w14:textId="77C8DBF5"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b/>
                <w:bCs/>
                <w:color w:val="2D3B45"/>
                <w:sz w:val="24"/>
                <w:szCs w:val="24"/>
              </w:rPr>
              <w:t> </w:t>
            </w:r>
            <w:r w:rsidR="00511217">
              <w:rPr>
                <w:rFonts w:ascii="Lato" w:eastAsia="Times New Roman" w:hAnsi="Lato" w:cs="Times New Roman"/>
                <w:b/>
                <w:bCs/>
                <w:color w:val="2D3B45"/>
                <w:sz w:val="24"/>
                <w:szCs w:val="24"/>
              </w:rPr>
              <w:t>CLASS 2 and 3</w:t>
            </w:r>
          </w:p>
        </w:tc>
        <w:tc>
          <w:tcPr>
            <w:tcW w:w="3840" w:type="dxa"/>
            <w:shd w:val="clear" w:color="auto" w:fill="FFFFFF"/>
            <w:tcMar>
              <w:top w:w="30" w:type="dxa"/>
              <w:left w:w="30" w:type="dxa"/>
              <w:bottom w:w="30" w:type="dxa"/>
              <w:right w:w="30" w:type="dxa"/>
            </w:tcMar>
            <w:vAlign w:val="center"/>
            <w:hideMark/>
          </w:tcPr>
          <w:p w14:paraId="2AF51AE8"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b/>
                <w:bCs/>
                <w:color w:val="2D3B45"/>
                <w:sz w:val="24"/>
                <w:szCs w:val="24"/>
              </w:rPr>
              <w:t>II. The Federal Judicial Power (Role of Judiciary)</w:t>
            </w:r>
          </w:p>
        </w:tc>
        <w:tc>
          <w:tcPr>
            <w:tcW w:w="1755" w:type="dxa"/>
            <w:shd w:val="clear" w:color="auto" w:fill="FFFFFF"/>
            <w:tcMar>
              <w:top w:w="30" w:type="dxa"/>
              <w:left w:w="30" w:type="dxa"/>
              <w:bottom w:w="30" w:type="dxa"/>
              <w:right w:w="30" w:type="dxa"/>
            </w:tcMar>
            <w:vAlign w:val="center"/>
            <w:hideMark/>
          </w:tcPr>
          <w:p w14:paraId="1815FDB1"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tc>
      </w:tr>
      <w:tr w:rsidR="000753F6" w:rsidRPr="000753F6" w14:paraId="413E2547" w14:textId="77777777" w:rsidTr="000753F6">
        <w:tc>
          <w:tcPr>
            <w:tcW w:w="1335" w:type="dxa"/>
            <w:shd w:val="clear" w:color="auto" w:fill="FFFFFF"/>
            <w:tcMar>
              <w:top w:w="30" w:type="dxa"/>
              <w:left w:w="30" w:type="dxa"/>
              <w:bottom w:w="30" w:type="dxa"/>
              <w:right w:w="30" w:type="dxa"/>
            </w:tcMar>
            <w:vAlign w:val="center"/>
            <w:hideMark/>
          </w:tcPr>
          <w:p w14:paraId="3385571D" w14:textId="24C417D6" w:rsidR="000753F6" w:rsidRPr="000753F6" w:rsidRDefault="000753F6" w:rsidP="000753F6">
            <w:pPr>
              <w:spacing w:before="180" w:after="0" w:line="240" w:lineRule="auto"/>
              <w:rPr>
                <w:rFonts w:ascii="Lato" w:eastAsia="Times New Roman" w:hAnsi="Lato" w:cs="Times New Roman"/>
                <w:color w:val="2D3B45"/>
                <w:sz w:val="24"/>
                <w:szCs w:val="24"/>
              </w:rPr>
            </w:pPr>
          </w:p>
        </w:tc>
        <w:tc>
          <w:tcPr>
            <w:tcW w:w="3840" w:type="dxa"/>
            <w:shd w:val="clear" w:color="auto" w:fill="FFFFFF"/>
            <w:tcMar>
              <w:top w:w="30" w:type="dxa"/>
              <w:left w:w="30" w:type="dxa"/>
              <w:bottom w:w="30" w:type="dxa"/>
              <w:right w:w="30" w:type="dxa"/>
            </w:tcMar>
            <w:vAlign w:val="center"/>
            <w:hideMark/>
          </w:tcPr>
          <w:p w14:paraId="1D6BB254"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A. Authority for Judicial Review</w:t>
            </w:r>
          </w:p>
          <w:p w14:paraId="47A4FC3C"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Trump v. Hawaii, Marbury, Martin, Cohens</w:t>
            </w:r>
          </w:p>
        </w:tc>
        <w:tc>
          <w:tcPr>
            <w:tcW w:w="1755" w:type="dxa"/>
            <w:shd w:val="clear" w:color="auto" w:fill="FFFFFF"/>
            <w:tcMar>
              <w:top w:w="30" w:type="dxa"/>
              <w:left w:w="30" w:type="dxa"/>
              <w:bottom w:w="30" w:type="dxa"/>
              <w:right w:w="30" w:type="dxa"/>
            </w:tcMar>
            <w:vAlign w:val="center"/>
            <w:hideMark/>
          </w:tcPr>
          <w:p w14:paraId="1F6D5AB9"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395-406; 1-11</w:t>
            </w:r>
          </w:p>
        </w:tc>
      </w:tr>
      <w:tr w:rsidR="000753F6" w:rsidRPr="000753F6" w14:paraId="60CC9627" w14:textId="77777777" w:rsidTr="000753F6">
        <w:tc>
          <w:tcPr>
            <w:tcW w:w="1335" w:type="dxa"/>
            <w:shd w:val="clear" w:color="auto" w:fill="FFFFFF"/>
            <w:tcMar>
              <w:top w:w="30" w:type="dxa"/>
              <w:left w:w="30" w:type="dxa"/>
              <w:bottom w:w="30" w:type="dxa"/>
              <w:right w:w="30" w:type="dxa"/>
            </w:tcMar>
            <w:vAlign w:val="center"/>
            <w:hideMark/>
          </w:tcPr>
          <w:p w14:paraId="0828E5DE" w14:textId="11D3355A" w:rsidR="000753F6" w:rsidRPr="000753F6" w:rsidRDefault="000753F6" w:rsidP="000753F6">
            <w:pPr>
              <w:spacing w:before="180" w:after="0" w:line="240" w:lineRule="auto"/>
              <w:rPr>
                <w:rFonts w:ascii="Lato" w:eastAsia="Times New Roman" w:hAnsi="Lato" w:cs="Times New Roman"/>
                <w:color w:val="2D3B45"/>
                <w:sz w:val="24"/>
                <w:szCs w:val="24"/>
              </w:rPr>
            </w:pPr>
          </w:p>
        </w:tc>
        <w:tc>
          <w:tcPr>
            <w:tcW w:w="3840" w:type="dxa"/>
            <w:shd w:val="clear" w:color="auto" w:fill="FFFFFF"/>
            <w:tcMar>
              <w:top w:w="30" w:type="dxa"/>
              <w:left w:w="30" w:type="dxa"/>
              <w:bottom w:w="30" w:type="dxa"/>
              <w:right w:w="30" w:type="dxa"/>
            </w:tcMar>
            <w:vAlign w:val="center"/>
            <w:hideMark/>
          </w:tcPr>
          <w:p w14:paraId="24073DA8"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B. Limits on the Federal Judicial Power</w:t>
            </w:r>
          </w:p>
          <w:p w14:paraId="44D51EDD"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1. Interpretive Limits</w:t>
            </w:r>
          </w:p>
          <w:p w14:paraId="3F0DCD0A"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How should the Constitution be interpreted? –</w:t>
            </w:r>
          </w:p>
          <w:p w14:paraId="0F7FE0C9"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Nixon, Heller – 2nd Amend</w:t>
            </w:r>
          </w:p>
        </w:tc>
        <w:tc>
          <w:tcPr>
            <w:tcW w:w="1755" w:type="dxa"/>
            <w:shd w:val="clear" w:color="auto" w:fill="FFFFFF"/>
            <w:tcMar>
              <w:top w:w="30" w:type="dxa"/>
              <w:left w:w="30" w:type="dxa"/>
              <w:bottom w:w="30" w:type="dxa"/>
              <w:right w:w="30" w:type="dxa"/>
            </w:tcMar>
            <w:vAlign w:val="center"/>
            <w:hideMark/>
          </w:tcPr>
          <w:p w14:paraId="37DF44EE"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11-13</w:t>
            </w:r>
          </w:p>
          <w:p w14:paraId="0B6423FF"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p w14:paraId="1BC5B6B2" w14:textId="77777777" w:rsidR="000753F6" w:rsidRPr="000753F6" w:rsidRDefault="000753F6" w:rsidP="000753F6">
            <w:pPr>
              <w:spacing w:before="180" w:after="18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 </w:t>
            </w:r>
          </w:p>
          <w:p w14:paraId="0AFE81F7" w14:textId="77777777" w:rsidR="000753F6" w:rsidRPr="000753F6" w:rsidRDefault="000753F6" w:rsidP="000753F6">
            <w:pPr>
              <w:spacing w:before="180" w:after="0" w:line="240" w:lineRule="auto"/>
              <w:rPr>
                <w:rFonts w:ascii="Lato" w:eastAsia="Times New Roman" w:hAnsi="Lato" w:cs="Times New Roman"/>
                <w:color w:val="2D3B45"/>
                <w:sz w:val="24"/>
                <w:szCs w:val="24"/>
              </w:rPr>
            </w:pPr>
            <w:r w:rsidRPr="000753F6">
              <w:rPr>
                <w:rFonts w:ascii="Lato" w:eastAsia="Times New Roman" w:hAnsi="Lato" w:cs="Times New Roman"/>
                <w:color w:val="2D3B45"/>
                <w:sz w:val="24"/>
                <w:szCs w:val="24"/>
              </w:rPr>
              <w:t>286-290; 13-32</w:t>
            </w:r>
          </w:p>
        </w:tc>
      </w:tr>
    </w:tbl>
    <w:p w14:paraId="3F0F302C" w14:textId="77777777" w:rsidR="00C63585" w:rsidRDefault="00545997"/>
    <w:sectPr w:rsidR="00C6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F6"/>
    <w:rsid w:val="000753F6"/>
    <w:rsid w:val="000945B3"/>
    <w:rsid w:val="00313C14"/>
    <w:rsid w:val="00346A3D"/>
    <w:rsid w:val="00511217"/>
    <w:rsid w:val="0054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7B08"/>
  <w15:chartTrackingRefBased/>
  <w15:docId w15:val="{7A7E209F-3F69-4B76-BECF-2F209D64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 Mills</dc:creator>
  <cp:keywords/>
  <dc:description/>
  <cp:lastModifiedBy>McIlhenny, Ruth M.</cp:lastModifiedBy>
  <cp:revision>2</cp:revision>
  <dcterms:created xsi:type="dcterms:W3CDTF">2022-08-15T14:11:00Z</dcterms:created>
  <dcterms:modified xsi:type="dcterms:W3CDTF">2022-08-15T14:11:00Z</dcterms:modified>
</cp:coreProperties>
</file>