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572B" w14:textId="77777777" w:rsidR="001B26ED" w:rsidRDefault="008C58B1">
      <w:r>
        <w:t>CONTRACTS SYLLABUS</w:t>
      </w:r>
      <w:r>
        <w:tab/>
      </w:r>
    </w:p>
    <w:p w14:paraId="5A45FF09" w14:textId="77777777" w:rsidR="008C58B1" w:rsidRDefault="008C58B1">
      <w:r>
        <w:t>PROFESSOR DAVIS Fall 2019</w:t>
      </w:r>
    </w:p>
    <w:p w14:paraId="4A55E41F" w14:textId="77777777" w:rsidR="008C58B1" w:rsidRDefault="008C58B1"/>
    <w:p w14:paraId="5C1D49A9" w14:textId="77777777" w:rsidR="008C58B1" w:rsidRDefault="008C58B1">
      <w:r>
        <w:t xml:space="preserve">Typical assignment:  Prepare to discuss two cases per class hour including associated text and notes.  Cases designated “covered by lecture” should be treated as text.  Assignments also include all cited sections of the Restatement 2d of Contracts and all cited sections of the Uniform Commercial code. The Restatement </w:t>
      </w:r>
      <w:proofErr w:type="gramStart"/>
      <w:r>
        <w:t>and  Uniform</w:t>
      </w:r>
      <w:proofErr w:type="gramEnd"/>
      <w:r>
        <w:t xml:space="preserve"> Commercial Code are found in Selections for Contracts.  Read all pages not omitted.</w:t>
      </w:r>
    </w:p>
    <w:p w14:paraId="6A9FAE69" w14:textId="77777777" w:rsidR="008C58B1" w:rsidRDefault="008C58B1"/>
    <w:p w14:paraId="0AF2E011" w14:textId="77777777" w:rsidR="008C58B1" w:rsidRDefault="008C58B1">
      <w:r>
        <w:rPr>
          <w:u w:val="single"/>
        </w:rPr>
        <w:t>Class Hour</w:t>
      </w:r>
      <w:r>
        <w:tab/>
      </w:r>
      <w:r>
        <w:tab/>
      </w:r>
      <w:r>
        <w:tab/>
      </w:r>
      <w:r>
        <w:rPr>
          <w:u w:val="single"/>
        </w:rPr>
        <w:t>Omit pages</w:t>
      </w:r>
    </w:p>
    <w:p w14:paraId="228AB190" w14:textId="77777777" w:rsidR="008C58B1" w:rsidRDefault="008C58B1"/>
    <w:p w14:paraId="3DCA9C6E" w14:textId="309BEE77" w:rsidR="008C58B1" w:rsidRDefault="008C58B1">
      <w:r>
        <w:t>1-9</w:t>
      </w:r>
      <w:r>
        <w:tab/>
      </w:r>
      <w:r>
        <w:tab/>
      </w:r>
      <w:r>
        <w:tab/>
      </w:r>
      <w:r>
        <w:tab/>
        <w:t>Ch 1</w:t>
      </w:r>
      <w:r>
        <w:tab/>
        <w:t>34-43; 136-</w:t>
      </w:r>
      <w:r w:rsidR="004B3570">
        <w:t>141. (Cases covered by lecture</w:t>
      </w:r>
      <w:r>
        <w:tab/>
      </w:r>
      <w:r>
        <w:tab/>
      </w:r>
      <w:r>
        <w:tab/>
      </w:r>
      <w:r>
        <w:tab/>
      </w:r>
      <w:r>
        <w:tab/>
      </w:r>
      <w:r w:rsidRPr="008C58B1">
        <w:rPr>
          <w:u w:val="single"/>
        </w:rPr>
        <w:t>White</w:t>
      </w:r>
      <w:r>
        <w:t xml:space="preserve">, p 31, </w:t>
      </w:r>
      <w:r w:rsidRPr="00C00E3D">
        <w:rPr>
          <w:u w:val="single"/>
        </w:rPr>
        <w:t>Morris</w:t>
      </w:r>
      <w:r>
        <w:t xml:space="preserve">. P 27, </w:t>
      </w:r>
      <w:r w:rsidRPr="00C00E3D">
        <w:rPr>
          <w:u w:val="single"/>
        </w:rPr>
        <w:t>Harrington</w:t>
      </w:r>
      <w:r>
        <w:t xml:space="preserve"> p. 78, </w:t>
      </w:r>
      <w:r w:rsidR="00962A24">
        <w:rPr>
          <w:u w:val="single"/>
        </w:rPr>
        <w:t>Feinberg</w:t>
      </w:r>
      <w:r w:rsidR="00962A24">
        <w:t xml:space="preserve"> </w:t>
      </w:r>
      <w:r w:rsidR="00962A24">
        <w:tab/>
      </w:r>
      <w:r w:rsidR="00962A24">
        <w:tab/>
      </w:r>
      <w:r w:rsidR="00962A24">
        <w:tab/>
      </w:r>
      <w:r w:rsidR="00962A24">
        <w:tab/>
      </w:r>
      <w:r w:rsidR="00962A24">
        <w:tab/>
        <w:t>125-126;</w:t>
      </w:r>
      <w:r w:rsidR="00962A24">
        <w:rPr>
          <w:u w:val="single"/>
        </w:rPr>
        <w:t xml:space="preserve"> </w:t>
      </w:r>
      <w:r w:rsidR="00962A24" w:rsidRPr="00962A24">
        <w:rPr>
          <w:u w:val="single"/>
        </w:rPr>
        <w:t>Cohen</w:t>
      </w:r>
      <w:r w:rsidR="00962A24">
        <w:t xml:space="preserve"> 133-135; </w:t>
      </w:r>
      <w:proofErr w:type="spellStart"/>
      <w:r w:rsidR="00962A24" w:rsidRPr="00962A24">
        <w:rPr>
          <w:u w:val="single"/>
        </w:rPr>
        <w:t>Cotnam</w:t>
      </w:r>
      <w:proofErr w:type="spellEnd"/>
      <w:r w:rsidR="00962A24">
        <w:t xml:space="preserve"> 144-147; </w:t>
      </w:r>
      <w:proofErr w:type="spellStart"/>
      <w:r w:rsidRPr="00962A24">
        <w:rPr>
          <w:u w:val="single"/>
        </w:rPr>
        <w:t>Peatte</w:t>
      </w:r>
      <w:proofErr w:type="spellEnd"/>
      <w:r w:rsidR="00962A24">
        <w:t xml:space="preserve"> 152-</w:t>
      </w:r>
      <w:r w:rsidR="00962A24">
        <w:tab/>
      </w:r>
      <w:r w:rsidR="00962A24">
        <w:tab/>
      </w:r>
      <w:r w:rsidR="00962A24">
        <w:tab/>
      </w:r>
      <w:r w:rsidR="00962A24">
        <w:tab/>
      </w:r>
      <w:r w:rsidR="00962A24">
        <w:tab/>
        <w:t>157</w:t>
      </w:r>
      <w:r>
        <w:t>.)</w:t>
      </w:r>
    </w:p>
    <w:p w14:paraId="20E00DDE" w14:textId="77777777" w:rsidR="008C58B1" w:rsidRDefault="008C58B1"/>
    <w:p w14:paraId="4E80B253" w14:textId="64317C19" w:rsidR="008C58B1" w:rsidRPr="00175DBC" w:rsidRDefault="004B3570">
      <w:r>
        <w:t>10-18</w:t>
      </w:r>
      <w:r>
        <w:tab/>
      </w:r>
      <w:r>
        <w:tab/>
      </w:r>
      <w:r>
        <w:tab/>
      </w:r>
      <w:r>
        <w:tab/>
        <w:t>Ch 2</w:t>
      </w:r>
      <w:r>
        <w:tab/>
        <w:t>297-</w:t>
      </w:r>
      <w:proofErr w:type="gramStart"/>
      <w:r>
        <w:t>323  (</w:t>
      </w:r>
      <w:proofErr w:type="gramEnd"/>
      <w:r>
        <w:t>Case</w:t>
      </w:r>
      <w:r w:rsidR="00175DBC">
        <w:t>s</w:t>
      </w:r>
      <w:r>
        <w:t xml:space="preserve"> covered buy lecture</w:t>
      </w:r>
      <w:r w:rsidR="008C58B1">
        <w:t xml:space="preserve"> </w:t>
      </w:r>
      <w:r w:rsidR="008C58B1">
        <w:rPr>
          <w:u w:val="single"/>
        </w:rPr>
        <w:t>Hill</w:t>
      </w:r>
      <w:r w:rsidR="008C58B1">
        <w:t xml:space="preserve"> 292-</w:t>
      </w:r>
      <w:r w:rsidR="00C00E3D">
        <w:tab/>
      </w:r>
      <w:r w:rsidR="00C00E3D">
        <w:tab/>
      </w:r>
      <w:r w:rsidR="00C00E3D">
        <w:tab/>
      </w:r>
      <w:r w:rsidR="00C00E3D">
        <w:tab/>
      </w:r>
      <w:r w:rsidR="00C00E3D">
        <w:tab/>
      </w:r>
      <w:r w:rsidR="008C58B1">
        <w:t>96</w:t>
      </w:r>
      <w:r w:rsidR="00C00E3D">
        <w:t>.</w:t>
      </w:r>
      <w:r w:rsidR="00175DBC">
        <w:t xml:space="preserve">; </w:t>
      </w:r>
      <w:r w:rsidR="00175DBC">
        <w:rPr>
          <w:u w:val="single"/>
        </w:rPr>
        <w:t>Lefkowitz</w:t>
      </w:r>
      <w:r w:rsidR="00175DBC">
        <w:t xml:space="preserve"> 194-196; </w:t>
      </w:r>
      <w:proofErr w:type="spellStart"/>
      <w:r w:rsidR="00175DBC">
        <w:rPr>
          <w:u w:val="single"/>
        </w:rPr>
        <w:t>Evertite</w:t>
      </w:r>
      <w:proofErr w:type="spellEnd"/>
      <w:r w:rsidR="00175DBC">
        <w:t xml:space="preserve"> 215-217; </w:t>
      </w:r>
      <w:r w:rsidR="00175DBC">
        <w:rPr>
          <w:u w:val="single"/>
        </w:rPr>
        <w:t>Itoh</w:t>
      </w:r>
      <w:r w:rsidR="00175DBC">
        <w:t xml:space="preserve"> 269-</w:t>
      </w:r>
      <w:r w:rsidR="00175DBC">
        <w:tab/>
      </w:r>
      <w:r w:rsidR="00175DBC">
        <w:tab/>
      </w:r>
      <w:r w:rsidR="00175DBC">
        <w:tab/>
      </w:r>
      <w:r w:rsidR="00175DBC">
        <w:tab/>
      </w:r>
      <w:r w:rsidR="00175DBC">
        <w:tab/>
        <w:t>271)</w:t>
      </w:r>
    </w:p>
    <w:p w14:paraId="3A45E83A" w14:textId="77777777" w:rsidR="00C00E3D" w:rsidRDefault="00C00E3D"/>
    <w:p w14:paraId="26EADD40" w14:textId="47F6302B" w:rsidR="00C00E3D" w:rsidRDefault="007738F0">
      <w:r>
        <w:t>19-20</w:t>
      </w:r>
      <w:r w:rsidR="00722321">
        <w:tab/>
      </w:r>
      <w:r w:rsidR="00722321">
        <w:tab/>
      </w:r>
      <w:r w:rsidR="00722321">
        <w:tab/>
      </w:r>
      <w:r w:rsidR="00722321">
        <w:tab/>
        <w:t>Ch 3</w:t>
      </w:r>
      <w:r w:rsidR="00722321">
        <w:tab/>
        <w:t>375-380</w:t>
      </w:r>
      <w:r w:rsidR="00C00E3D">
        <w:t>; 387-</w:t>
      </w:r>
      <w:r w:rsidR="00722321">
        <w:t>397;405</w:t>
      </w:r>
      <w:r w:rsidR="00C00E3D">
        <w:t>-</w:t>
      </w:r>
      <w:r w:rsidR="00722321">
        <w:t>4</w:t>
      </w:r>
      <w:r w:rsidR="00C00E3D">
        <w:t>10</w:t>
      </w:r>
    </w:p>
    <w:p w14:paraId="1B36B479" w14:textId="77777777" w:rsidR="00A13876" w:rsidRDefault="00A13876"/>
    <w:p w14:paraId="1CB63FBB" w14:textId="1092EECE" w:rsidR="00A13876" w:rsidRDefault="007738F0">
      <w:r>
        <w:t>21-24</w:t>
      </w:r>
      <w:r w:rsidR="00A13876">
        <w:tab/>
      </w:r>
      <w:r w:rsidR="00A13876">
        <w:tab/>
      </w:r>
      <w:r w:rsidR="00A13876">
        <w:tab/>
      </w:r>
      <w:r w:rsidR="00A13876">
        <w:tab/>
        <w:t>Ch 4</w:t>
      </w:r>
      <w:r w:rsidR="00A13876">
        <w:tab/>
      </w:r>
      <w:r w:rsidR="0040242C">
        <w:t xml:space="preserve">426-433; </w:t>
      </w:r>
      <w:r w:rsidR="00A56A5E">
        <w:t>481-483</w:t>
      </w:r>
      <w:r w:rsidR="00B82A92">
        <w:t xml:space="preserve"> (Cases covered by lecture </w:t>
      </w:r>
      <w:r w:rsidR="00B82A92">
        <w:tab/>
      </w:r>
      <w:r w:rsidR="00B82A92">
        <w:tab/>
      </w:r>
      <w:r w:rsidR="00B82A92">
        <w:tab/>
      </w:r>
      <w:r w:rsidR="00B82A92">
        <w:tab/>
      </w:r>
      <w:r w:rsidR="00B82A92">
        <w:tab/>
      </w:r>
      <w:r w:rsidR="00B82A92">
        <w:rPr>
          <w:u w:val="single"/>
        </w:rPr>
        <w:t>Howe</w:t>
      </w:r>
      <w:r w:rsidR="00B82A92">
        <w:t xml:space="preserve"> 461-465 and </w:t>
      </w:r>
      <w:proofErr w:type="spellStart"/>
      <w:r w:rsidR="00B82A92">
        <w:rPr>
          <w:u w:val="single"/>
        </w:rPr>
        <w:t>Vokes</w:t>
      </w:r>
      <w:proofErr w:type="spellEnd"/>
      <w:r w:rsidR="00B82A92">
        <w:t xml:space="preserve"> 483-485</w:t>
      </w:r>
      <w:r w:rsidR="004B3570">
        <w:t>.</w:t>
      </w:r>
      <w:r w:rsidR="00B82A92">
        <w:t>)</w:t>
      </w:r>
    </w:p>
    <w:p w14:paraId="1D609F4B" w14:textId="77777777" w:rsidR="00B82A92" w:rsidRDefault="00B82A92"/>
    <w:p w14:paraId="094CFFC7" w14:textId="0457AC73" w:rsidR="00B82A92" w:rsidRDefault="007738F0">
      <w:r>
        <w:t>25</w:t>
      </w:r>
      <w:r w:rsidR="00B82A92">
        <w:t>-29</w:t>
      </w:r>
      <w:r w:rsidR="00B82A92">
        <w:tab/>
      </w:r>
      <w:r w:rsidR="00B82A92">
        <w:tab/>
      </w:r>
      <w:r w:rsidR="00B82A92">
        <w:tab/>
      </w:r>
      <w:r w:rsidR="00B82A92">
        <w:tab/>
        <w:t>Ch 5</w:t>
      </w:r>
      <w:r w:rsidR="00B82A92">
        <w:tab/>
      </w:r>
      <w:r w:rsidR="00C60587">
        <w:t>544-558;</w:t>
      </w:r>
      <w:r w:rsidR="00D3478E">
        <w:t xml:space="preserve"> </w:t>
      </w:r>
      <w:r w:rsidR="00C60587">
        <w:t>575-584 (Case</w:t>
      </w:r>
      <w:r w:rsidR="00BE4F3A">
        <w:t>s</w:t>
      </w:r>
      <w:r w:rsidR="00C60587">
        <w:t xml:space="preserve"> covered by lecture </w:t>
      </w:r>
      <w:r w:rsidR="00C60587">
        <w:tab/>
      </w:r>
      <w:r w:rsidR="00C60587">
        <w:tab/>
      </w:r>
      <w:r w:rsidR="00C60587">
        <w:tab/>
      </w:r>
      <w:r w:rsidR="00C60587">
        <w:tab/>
      </w:r>
      <w:r w:rsidR="00C60587">
        <w:tab/>
      </w:r>
      <w:r w:rsidR="00C60587">
        <w:rPr>
          <w:u w:val="single"/>
        </w:rPr>
        <w:t>Bollinger</w:t>
      </w:r>
      <w:r w:rsidR="00C60587">
        <w:t xml:space="preserve"> 503-04</w:t>
      </w:r>
      <w:r w:rsidR="00BE4F3A">
        <w:t xml:space="preserve">; </w:t>
      </w:r>
      <w:r w:rsidR="00BE4F3A">
        <w:rPr>
          <w:u w:val="single"/>
        </w:rPr>
        <w:t>Raffles</w:t>
      </w:r>
      <w:r w:rsidR="00BE4F3A">
        <w:t xml:space="preserve"> 559-560; </w:t>
      </w:r>
      <w:r w:rsidR="00BE4F3A">
        <w:rPr>
          <w:u w:val="single"/>
        </w:rPr>
        <w:t>Trident</w:t>
      </w:r>
      <w:r w:rsidR="00BE4F3A">
        <w:t xml:space="preserve"> 520-523</w:t>
      </w:r>
      <w:r w:rsidR="00C60587">
        <w:t>)</w:t>
      </w:r>
    </w:p>
    <w:p w14:paraId="0608F99F" w14:textId="77777777" w:rsidR="004B3570" w:rsidRDefault="004B3570"/>
    <w:p w14:paraId="215CE9E2" w14:textId="4FCF78D9" w:rsidR="004B3570" w:rsidRDefault="007738F0">
      <w:r>
        <w:t>30-34</w:t>
      </w:r>
      <w:r w:rsidR="004B3570">
        <w:tab/>
      </w:r>
      <w:r w:rsidR="004B3570">
        <w:tab/>
      </w:r>
      <w:r w:rsidR="004B3570">
        <w:tab/>
      </w:r>
      <w:r w:rsidR="004B3570">
        <w:tab/>
        <w:t>Ch 6</w:t>
      </w:r>
      <w:r w:rsidR="004B3570">
        <w:tab/>
        <w:t xml:space="preserve">601-606;616-633;646-672; 689-697; 700-716; </w:t>
      </w:r>
      <w:r w:rsidR="004B3570">
        <w:tab/>
      </w:r>
      <w:r w:rsidR="004B3570">
        <w:tab/>
      </w:r>
      <w:r w:rsidR="004B3570">
        <w:tab/>
      </w:r>
      <w:r w:rsidR="004B3570">
        <w:tab/>
      </w:r>
      <w:r w:rsidR="004B3570">
        <w:tab/>
        <w:t>746-754 (Case</w:t>
      </w:r>
      <w:r>
        <w:t>s</w:t>
      </w:r>
      <w:r w:rsidR="004B3570">
        <w:t xml:space="preserve"> covered </w:t>
      </w:r>
      <w:proofErr w:type="gramStart"/>
      <w:r w:rsidR="004B3570">
        <w:t>by  lecture</w:t>
      </w:r>
      <w:proofErr w:type="gramEnd"/>
      <w:r w:rsidR="004B3570">
        <w:t xml:space="preserve"> </w:t>
      </w:r>
      <w:proofErr w:type="spellStart"/>
      <w:r>
        <w:rPr>
          <w:u w:val="single"/>
        </w:rPr>
        <w:t>Tuckwiller</w:t>
      </w:r>
      <w:proofErr w:type="spellEnd"/>
      <w:r>
        <w:t xml:space="preserve"> 598-</w:t>
      </w:r>
      <w:r>
        <w:tab/>
      </w:r>
      <w:r>
        <w:tab/>
      </w:r>
      <w:r>
        <w:tab/>
      </w:r>
      <w:r>
        <w:tab/>
      </w:r>
      <w:r>
        <w:tab/>
        <w:t>600</w:t>
      </w:r>
      <w:r>
        <w:rPr>
          <w:u w:val="single"/>
        </w:rPr>
        <w:t xml:space="preserve">; </w:t>
      </w:r>
      <w:proofErr w:type="spellStart"/>
      <w:r w:rsidR="004B3570">
        <w:rPr>
          <w:u w:val="single"/>
        </w:rPr>
        <w:t>Balla</w:t>
      </w:r>
      <w:proofErr w:type="spellEnd"/>
      <w:r w:rsidR="004B3570">
        <w:t xml:space="preserve"> 730-732.)</w:t>
      </w:r>
    </w:p>
    <w:p w14:paraId="4427C9B0" w14:textId="77777777" w:rsidR="005B14B6" w:rsidRDefault="005B14B6"/>
    <w:p w14:paraId="45714884" w14:textId="1F9DA7F3" w:rsidR="005B14B6" w:rsidRPr="00526933" w:rsidRDefault="005B14B6">
      <w:r>
        <w:t>35-</w:t>
      </w:r>
      <w:r w:rsidR="00526933">
        <w:t>43</w:t>
      </w:r>
      <w:r w:rsidR="00526933">
        <w:tab/>
      </w:r>
      <w:r w:rsidR="00526933">
        <w:tab/>
      </w:r>
      <w:r w:rsidR="00526933">
        <w:tab/>
      </w:r>
      <w:r w:rsidR="00526933">
        <w:tab/>
        <w:t>Ch 7</w:t>
      </w:r>
      <w:r w:rsidR="00526933">
        <w:tab/>
        <w:t xml:space="preserve">786-796; 853-857; 875-881 (Cases covered by </w:t>
      </w:r>
      <w:r w:rsidR="00526933">
        <w:tab/>
      </w:r>
      <w:r w:rsidR="00526933">
        <w:tab/>
      </w:r>
      <w:r w:rsidR="00526933">
        <w:tab/>
      </w:r>
      <w:r w:rsidR="00526933">
        <w:tab/>
      </w:r>
      <w:r w:rsidR="00526933">
        <w:tab/>
        <w:t xml:space="preserve">lecture </w:t>
      </w:r>
      <w:r w:rsidR="00526933">
        <w:rPr>
          <w:u w:val="single"/>
        </w:rPr>
        <w:t>Hicks</w:t>
      </w:r>
      <w:r w:rsidR="00526933">
        <w:t xml:space="preserve">775-777; </w:t>
      </w:r>
      <w:r w:rsidR="00526933">
        <w:rPr>
          <w:u w:val="single"/>
        </w:rPr>
        <w:t>McKenna</w:t>
      </w:r>
      <w:r w:rsidR="00526933">
        <w:t xml:space="preserve"> 838-839; </w:t>
      </w:r>
      <w:r w:rsidR="00526933">
        <w:rPr>
          <w:u w:val="single"/>
        </w:rPr>
        <w:t>Iron Trade</w:t>
      </w:r>
      <w:r w:rsidR="00526933">
        <w:t xml:space="preserve"> </w:t>
      </w:r>
      <w:r w:rsidR="00526933">
        <w:tab/>
      </w:r>
      <w:r w:rsidR="00526933">
        <w:tab/>
      </w:r>
      <w:r w:rsidR="00526933">
        <w:tab/>
      </w:r>
      <w:r w:rsidR="00526933">
        <w:tab/>
      </w:r>
      <w:r w:rsidR="00526933">
        <w:tab/>
        <w:t>843-845)</w:t>
      </w:r>
    </w:p>
    <w:p w14:paraId="16B79E23" w14:textId="77777777" w:rsidR="00C00E3D" w:rsidRDefault="00C00E3D"/>
    <w:p w14:paraId="51F4C301" w14:textId="6B338738" w:rsidR="003F16A1" w:rsidRDefault="00757657">
      <w:r>
        <w:t>44-49</w:t>
      </w:r>
      <w:r w:rsidR="003F16A1">
        <w:tab/>
      </w:r>
      <w:r w:rsidR="003F16A1">
        <w:tab/>
      </w:r>
      <w:r w:rsidR="003F16A1">
        <w:tab/>
      </w:r>
      <w:r w:rsidR="003F16A1">
        <w:tab/>
        <w:t>Ch 8</w:t>
      </w:r>
      <w:r w:rsidR="003F16A1">
        <w:tab/>
        <w:t>895-900;923-932;9</w:t>
      </w:r>
      <w:r>
        <w:t xml:space="preserve">47-954; 970-979; 991-1019 </w:t>
      </w:r>
      <w:r>
        <w:tab/>
      </w:r>
      <w:r>
        <w:tab/>
      </w:r>
      <w:r>
        <w:tab/>
      </w:r>
      <w:r>
        <w:tab/>
      </w:r>
      <w:r>
        <w:tab/>
        <w:t>(</w:t>
      </w:r>
      <w:r w:rsidR="003F16A1">
        <w:t xml:space="preserve">Cases covered by lecture </w:t>
      </w:r>
      <w:r>
        <w:rPr>
          <w:u w:val="single"/>
        </w:rPr>
        <w:t>No Delaware</w:t>
      </w:r>
      <w:r>
        <w:t xml:space="preserve"> 900-901; </w:t>
      </w:r>
      <w:r>
        <w:tab/>
      </w:r>
      <w:r>
        <w:tab/>
      </w:r>
      <w:r>
        <w:tab/>
      </w:r>
      <w:r>
        <w:tab/>
      </w:r>
      <w:r>
        <w:tab/>
      </w:r>
      <w:r>
        <w:tab/>
      </w:r>
      <w:r>
        <w:rPr>
          <w:u w:val="single"/>
        </w:rPr>
        <w:t>Newsome</w:t>
      </w:r>
      <w:r>
        <w:t xml:space="preserve"> 989-991)</w:t>
      </w:r>
    </w:p>
    <w:p w14:paraId="32D751E0" w14:textId="77777777" w:rsidR="00757657" w:rsidRDefault="00757657"/>
    <w:p w14:paraId="096CD2D3" w14:textId="42552787" w:rsidR="00757657" w:rsidRPr="00256A16" w:rsidRDefault="00757657">
      <w:r>
        <w:t>50-54</w:t>
      </w:r>
      <w:r w:rsidR="00AB0FC2">
        <w:tab/>
      </w:r>
      <w:r w:rsidR="00AB0FC2">
        <w:tab/>
      </w:r>
      <w:r w:rsidR="00AB0FC2">
        <w:tab/>
      </w:r>
      <w:r w:rsidR="00AB0FC2">
        <w:tab/>
        <w:t>Ch 9</w:t>
      </w:r>
      <w:r w:rsidR="00AB0FC2">
        <w:tab/>
        <w:t>1026-1029;1066-1068</w:t>
      </w:r>
      <w:r w:rsidR="00256A16">
        <w:t xml:space="preserve">;1074-1087;1094-1106 </w:t>
      </w:r>
      <w:r w:rsidR="00256A16">
        <w:tab/>
      </w:r>
      <w:r w:rsidR="00256A16">
        <w:tab/>
      </w:r>
      <w:r w:rsidR="00256A16">
        <w:tab/>
      </w:r>
      <w:r w:rsidR="00256A16">
        <w:tab/>
      </w:r>
      <w:r w:rsidR="00256A16">
        <w:tab/>
        <w:t xml:space="preserve">(Case covered by lecture: </w:t>
      </w:r>
      <w:r w:rsidR="00256A16">
        <w:rPr>
          <w:u w:val="single"/>
        </w:rPr>
        <w:t>Canadian Alcohol</w:t>
      </w:r>
      <w:r w:rsidR="00256A16">
        <w:t xml:space="preserve"> 1072.)</w:t>
      </w:r>
    </w:p>
    <w:p w14:paraId="1D3A56D8" w14:textId="73075C6B" w:rsidR="00C00E3D" w:rsidRDefault="00C00E3D"/>
    <w:p w14:paraId="23721C05" w14:textId="77777777" w:rsidR="00022065" w:rsidRDefault="00022065" w:rsidP="00022065">
      <w:pPr>
        <w:pStyle w:val="Heading2"/>
        <w:rPr>
          <w:rFonts w:ascii="Times New Roman" w:hAnsi="Times New Roman" w:cs="Times New Roman"/>
        </w:rPr>
      </w:pPr>
      <w:r w:rsidRPr="009A3F06">
        <w:rPr>
          <w:rFonts w:ascii="Times New Roman" w:hAnsi="Times New Roman" w:cs="Times New Roman"/>
        </w:rPr>
        <w:t>Academic honesty:</w:t>
      </w:r>
    </w:p>
    <w:p w14:paraId="6BA9ACA1" w14:textId="77777777" w:rsidR="00022065" w:rsidRPr="00193811" w:rsidRDefault="00022065" w:rsidP="00022065"/>
    <w:p w14:paraId="67507AE5" w14:textId="77777777" w:rsidR="00022065" w:rsidRPr="009A3F06" w:rsidRDefault="00022065" w:rsidP="00022065">
      <w:pPr>
        <w:rPr>
          <w:rFonts w:ascii="Times New Roman" w:hAnsi="Times New Roman"/>
        </w:rPr>
      </w:pPr>
      <w:r w:rsidRPr="009A3F06">
        <w:rPr>
          <w:rFonts w:ascii="Times New Roman" w:hAnsi="Times New Roman"/>
        </w:rPr>
        <w:t xml:space="preserve">Academic honesty and integrity are fundamental values of the University community. Students should be sure that they understand the UF Student Honor Code at </w:t>
      </w:r>
      <w:hyperlink r:id="rId4" w:history="1">
        <w:r w:rsidRPr="009A3F06">
          <w:rPr>
            <w:rStyle w:val="Hyperlink"/>
            <w:rFonts w:ascii="Times New Roman" w:hAnsi="Times New Roman"/>
            <w:color w:val="auto"/>
          </w:rPr>
          <w:t>http</w:t>
        </w:r>
      </w:hyperlink>
      <w:hyperlink r:id="rId5" w:history="1">
        <w:r w:rsidRPr="009A3F06">
          <w:rPr>
            <w:rStyle w:val="Hyperlink"/>
            <w:rFonts w:ascii="Times New Roman" w:hAnsi="Times New Roman"/>
            <w:color w:val="auto"/>
          </w:rPr>
          <w:t>://</w:t>
        </w:r>
      </w:hyperlink>
      <w:hyperlink r:id="rId6" w:history="1">
        <w:r w:rsidRPr="009A3F06">
          <w:rPr>
            <w:rStyle w:val="Hyperlink"/>
            <w:rFonts w:ascii="Times New Roman" w:hAnsi="Times New Roman"/>
            <w:color w:val="auto"/>
          </w:rPr>
          <w:t>www</w:t>
        </w:r>
      </w:hyperlink>
      <w:hyperlink r:id="rId7" w:history="1">
        <w:r w:rsidRPr="009A3F06">
          <w:rPr>
            <w:rStyle w:val="Hyperlink"/>
            <w:rFonts w:ascii="Times New Roman" w:hAnsi="Times New Roman"/>
            <w:color w:val="auto"/>
          </w:rPr>
          <w:t>.</w:t>
        </w:r>
      </w:hyperlink>
      <w:hyperlink r:id="rId8" w:history="1">
        <w:r w:rsidRPr="009A3F06">
          <w:rPr>
            <w:rStyle w:val="Hyperlink"/>
            <w:rFonts w:ascii="Times New Roman" w:hAnsi="Times New Roman"/>
            <w:color w:val="auto"/>
          </w:rPr>
          <w:t>dso</w:t>
        </w:r>
      </w:hyperlink>
      <w:hyperlink r:id="rId9" w:history="1">
        <w:r w:rsidRPr="009A3F06">
          <w:rPr>
            <w:rStyle w:val="Hyperlink"/>
            <w:rFonts w:ascii="Times New Roman" w:hAnsi="Times New Roman"/>
            <w:color w:val="auto"/>
          </w:rPr>
          <w:t>.</w:t>
        </w:r>
      </w:hyperlink>
      <w:hyperlink r:id="rId10" w:history="1">
        <w:r w:rsidRPr="009A3F06">
          <w:rPr>
            <w:rStyle w:val="Hyperlink"/>
            <w:rFonts w:ascii="Times New Roman" w:hAnsi="Times New Roman"/>
            <w:color w:val="auto"/>
          </w:rPr>
          <w:t>ufl</w:t>
        </w:r>
      </w:hyperlink>
      <w:hyperlink r:id="rId11" w:history="1">
        <w:r w:rsidRPr="009A3F06">
          <w:rPr>
            <w:rStyle w:val="Hyperlink"/>
            <w:rFonts w:ascii="Times New Roman" w:hAnsi="Times New Roman"/>
            <w:color w:val="auto"/>
          </w:rPr>
          <w:t>.</w:t>
        </w:r>
      </w:hyperlink>
      <w:hyperlink r:id="rId12" w:history="1">
        <w:r w:rsidRPr="009A3F06">
          <w:rPr>
            <w:rStyle w:val="Hyperlink"/>
            <w:rFonts w:ascii="Times New Roman" w:hAnsi="Times New Roman"/>
            <w:color w:val="auto"/>
          </w:rPr>
          <w:t>edu</w:t>
        </w:r>
      </w:hyperlink>
      <w:hyperlink r:id="rId13" w:history="1">
        <w:r w:rsidRPr="009A3F06">
          <w:rPr>
            <w:rStyle w:val="Hyperlink"/>
            <w:rFonts w:ascii="Times New Roman" w:hAnsi="Times New Roman"/>
            <w:color w:val="auto"/>
          </w:rPr>
          <w:t>/</w:t>
        </w:r>
      </w:hyperlink>
      <w:hyperlink r:id="rId14" w:history="1">
        <w:r w:rsidRPr="009A3F06">
          <w:rPr>
            <w:rStyle w:val="Hyperlink"/>
            <w:rFonts w:ascii="Times New Roman" w:hAnsi="Times New Roman"/>
            <w:color w:val="auto"/>
          </w:rPr>
          <w:t>students</w:t>
        </w:r>
      </w:hyperlink>
      <w:hyperlink r:id="rId15" w:history="1">
        <w:r w:rsidRPr="009A3F06">
          <w:rPr>
            <w:rStyle w:val="Hyperlink"/>
            <w:rFonts w:ascii="Times New Roman" w:hAnsi="Times New Roman"/>
            <w:color w:val="auto"/>
          </w:rPr>
          <w:t>.</w:t>
        </w:r>
      </w:hyperlink>
      <w:hyperlink r:id="rId16" w:history="1">
        <w:r w:rsidRPr="009A3F06">
          <w:rPr>
            <w:rStyle w:val="Hyperlink"/>
            <w:rFonts w:ascii="Times New Roman" w:hAnsi="Times New Roman"/>
            <w:color w:val="auto"/>
          </w:rPr>
          <w:t>php</w:t>
        </w:r>
      </w:hyperlink>
      <w:r w:rsidRPr="009A3F06">
        <w:rPr>
          <w:rFonts w:ascii="Times New Roman" w:hAnsi="Times New Roman"/>
        </w:rPr>
        <w:t>.</w:t>
      </w:r>
    </w:p>
    <w:p w14:paraId="15879E4D" w14:textId="77777777" w:rsidR="00022065" w:rsidRPr="009A3F06" w:rsidRDefault="00022065" w:rsidP="00022065">
      <w:pPr>
        <w:rPr>
          <w:rFonts w:ascii="Times New Roman" w:hAnsi="Times New Roman"/>
        </w:rPr>
      </w:pPr>
    </w:p>
    <w:p w14:paraId="0ED0B429" w14:textId="77777777" w:rsidR="00022065" w:rsidRDefault="00022065" w:rsidP="00022065">
      <w:pPr>
        <w:pStyle w:val="Heading2"/>
        <w:rPr>
          <w:rFonts w:ascii="Times New Roman" w:hAnsi="Times New Roman" w:cs="Times New Roman"/>
        </w:rPr>
      </w:pPr>
      <w:r w:rsidRPr="009A3F06">
        <w:rPr>
          <w:rFonts w:ascii="Times New Roman" w:hAnsi="Times New Roman" w:cs="Times New Roman"/>
        </w:rPr>
        <w:t>Grading information and</w:t>
      </w:r>
      <w:r>
        <w:rPr>
          <w:rFonts w:ascii="Times New Roman" w:hAnsi="Times New Roman" w:cs="Times New Roman"/>
        </w:rPr>
        <w:t xml:space="preserve"> </w:t>
      </w:r>
      <w:r w:rsidRPr="009A3F06">
        <w:rPr>
          <w:rFonts w:ascii="Times New Roman" w:hAnsi="Times New Roman" w:cs="Times New Roman"/>
        </w:rPr>
        <w:t>grading scale</w:t>
      </w:r>
      <w:r>
        <w:rPr>
          <w:rFonts w:ascii="Times New Roman" w:hAnsi="Times New Roman" w:cs="Times New Roman"/>
        </w:rPr>
        <w:t>:</w:t>
      </w:r>
    </w:p>
    <w:p w14:paraId="779C479B" w14:textId="77777777" w:rsidR="00022065" w:rsidRPr="00193811" w:rsidRDefault="00022065" w:rsidP="00022065"/>
    <w:p w14:paraId="417406C9" w14:textId="77777777" w:rsidR="00022065" w:rsidRPr="009A3F06" w:rsidRDefault="00022065" w:rsidP="00022065">
      <w:pPr>
        <w:rPr>
          <w:rFonts w:ascii="Times New Roman" w:hAnsi="Times New Roman"/>
        </w:rPr>
      </w:pPr>
      <w:r w:rsidRPr="009A3F06">
        <w:rPr>
          <w:rFonts w:ascii="Times New Roman" w:hAnsi="Times New Roman"/>
        </w:rPr>
        <w:t>The Levin College of Law’s mean and mandatory distributions are posted on the College’s website and this class adheres to that posted grading policy. The following chart describes the specific letter grade/grade point equivalent in place:</w:t>
      </w:r>
    </w:p>
    <w:p w14:paraId="1B352211" w14:textId="77777777" w:rsidR="00022065" w:rsidRPr="009A3F06" w:rsidRDefault="00022065" w:rsidP="00022065">
      <w:pPr>
        <w:rPr>
          <w:rFonts w:ascii="Times New Roman" w:hAnsi="Times New Roman"/>
        </w:rPr>
      </w:pPr>
    </w:p>
    <w:tbl>
      <w:tblPr>
        <w:tblW w:w="3754" w:type="dxa"/>
        <w:tblInd w:w="108" w:type="dxa"/>
        <w:tblCellMar>
          <w:left w:w="0" w:type="dxa"/>
          <w:right w:w="0" w:type="dxa"/>
        </w:tblCellMar>
        <w:tblLook w:val="04A0" w:firstRow="1" w:lastRow="0" w:firstColumn="1" w:lastColumn="0" w:noHBand="0" w:noVBand="1"/>
      </w:tblPr>
      <w:tblGrid>
        <w:gridCol w:w="1774"/>
        <w:gridCol w:w="1980"/>
      </w:tblGrid>
      <w:tr w:rsidR="00022065" w:rsidRPr="009A3F06" w14:paraId="68D2D0EB" w14:textId="77777777" w:rsidTr="006A0E4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89FDE" w14:textId="77777777" w:rsidR="00022065" w:rsidRPr="009A3F06" w:rsidRDefault="00022065" w:rsidP="006A0E43">
            <w:pPr>
              <w:rPr>
                <w:rFonts w:ascii="Times New Roman" w:hAnsi="Times New Roman"/>
              </w:rPr>
            </w:pPr>
            <w:r w:rsidRPr="009A3F06">
              <w:rPr>
                <w:rFonts w:ascii="Times New Roman" w:hAnsi="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A029C" w14:textId="77777777" w:rsidR="00022065" w:rsidRPr="009A3F06" w:rsidRDefault="00022065" w:rsidP="006A0E43">
            <w:pPr>
              <w:rPr>
                <w:rFonts w:ascii="Times New Roman" w:hAnsi="Times New Roman"/>
              </w:rPr>
            </w:pPr>
            <w:r w:rsidRPr="009A3F06">
              <w:rPr>
                <w:rFonts w:ascii="Times New Roman" w:hAnsi="Times New Roman"/>
              </w:rPr>
              <w:t>Point Equivalent</w:t>
            </w:r>
          </w:p>
        </w:tc>
      </w:tr>
      <w:tr w:rsidR="00022065" w:rsidRPr="009A3F06" w14:paraId="3EB289FF" w14:textId="77777777" w:rsidTr="006A0E4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5B4B0" w14:textId="77777777" w:rsidR="00022065" w:rsidRPr="009A3F06" w:rsidRDefault="00022065" w:rsidP="006A0E43">
            <w:pPr>
              <w:rPr>
                <w:rFonts w:ascii="Times New Roman" w:hAnsi="Times New Roman"/>
              </w:rPr>
            </w:pPr>
            <w:r w:rsidRPr="009A3F06">
              <w:rPr>
                <w:rFonts w:ascii="Times New Roman" w:hAnsi="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11C4AA" w14:textId="77777777" w:rsidR="00022065" w:rsidRPr="009A3F06" w:rsidRDefault="00022065" w:rsidP="006A0E43">
            <w:pPr>
              <w:rPr>
                <w:rFonts w:ascii="Times New Roman" w:hAnsi="Times New Roman"/>
              </w:rPr>
            </w:pPr>
            <w:r w:rsidRPr="009A3F06">
              <w:rPr>
                <w:rFonts w:ascii="Times New Roman" w:hAnsi="Times New Roman"/>
              </w:rPr>
              <w:t>4.0</w:t>
            </w:r>
          </w:p>
        </w:tc>
      </w:tr>
      <w:tr w:rsidR="00022065" w:rsidRPr="009A3F06" w14:paraId="623E7013"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4C61D" w14:textId="77777777" w:rsidR="00022065" w:rsidRPr="009A3F06" w:rsidRDefault="00022065" w:rsidP="006A0E43">
            <w:pPr>
              <w:rPr>
                <w:rFonts w:ascii="Times New Roman" w:hAnsi="Times New Roman"/>
              </w:rPr>
            </w:pPr>
            <w:r w:rsidRPr="009A3F06">
              <w:rPr>
                <w:rFonts w:ascii="Times New Roman" w:hAnsi="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F113581" w14:textId="77777777" w:rsidR="00022065" w:rsidRPr="009A3F06" w:rsidRDefault="00022065" w:rsidP="006A0E43">
            <w:pPr>
              <w:rPr>
                <w:rFonts w:ascii="Times New Roman" w:hAnsi="Times New Roman"/>
              </w:rPr>
            </w:pPr>
            <w:r w:rsidRPr="009A3F06">
              <w:rPr>
                <w:rFonts w:ascii="Times New Roman" w:hAnsi="Times New Roman"/>
              </w:rPr>
              <w:t>3.67</w:t>
            </w:r>
          </w:p>
        </w:tc>
      </w:tr>
      <w:tr w:rsidR="00022065" w:rsidRPr="009A3F06" w14:paraId="1A839B22"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E7D6B" w14:textId="77777777" w:rsidR="00022065" w:rsidRPr="009A3F06" w:rsidRDefault="00022065" w:rsidP="006A0E43">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FE36A9" w14:textId="77777777" w:rsidR="00022065" w:rsidRPr="009A3F06" w:rsidRDefault="00022065" w:rsidP="006A0E43">
            <w:pPr>
              <w:rPr>
                <w:rFonts w:ascii="Times New Roman" w:hAnsi="Times New Roman"/>
              </w:rPr>
            </w:pPr>
            <w:r w:rsidRPr="009A3F06">
              <w:rPr>
                <w:rFonts w:ascii="Times New Roman" w:hAnsi="Times New Roman"/>
              </w:rPr>
              <w:t>3.33</w:t>
            </w:r>
          </w:p>
        </w:tc>
      </w:tr>
      <w:tr w:rsidR="00022065" w:rsidRPr="009A3F06" w14:paraId="5E99F198"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3217F" w14:textId="77777777" w:rsidR="00022065" w:rsidRPr="009A3F06" w:rsidRDefault="00022065" w:rsidP="006A0E43">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88DD2E" w14:textId="77777777" w:rsidR="00022065" w:rsidRPr="009A3F06" w:rsidRDefault="00022065" w:rsidP="006A0E43">
            <w:pPr>
              <w:rPr>
                <w:rFonts w:ascii="Times New Roman" w:hAnsi="Times New Roman"/>
              </w:rPr>
            </w:pPr>
            <w:r w:rsidRPr="009A3F06">
              <w:rPr>
                <w:rFonts w:ascii="Times New Roman" w:hAnsi="Times New Roman"/>
              </w:rPr>
              <w:t>3.0</w:t>
            </w:r>
          </w:p>
        </w:tc>
      </w:tr>
      <w:tr w:rsidR="00022065" w:rsidRPr="009A3F06" w14:paraId="13F4BDF2"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643C9" w14:textId="77777777" w:rsidR="00022065" w:rsidRPr="009A3F06" w:rsidRDefault="00022065" w:rsidP="006A0E43">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3619F" w14:textId="77777777" w:rsidR="00022065" w:rsidRPr="009A3F06" w:rsidRDefault="00022065" w:rsidP="006A0E43">
            <w:pPr>
              <w:rPr>
                <w:rFonts w:ascii="Times New Roman" w:hAnsi="Times New Roman"/>
              </w:rPr>
            </w:pPr>
            <w:r w:rsidRPr="009A3F06">
              <w:rPr>
                <w:rFonts w:ascii="Times New Roman" w:hAnsi="Times New Roman"/>
              </w:rPr>
              <w:t>2.67</w:t>
            </w:r>
          </w:p>
        </w:tc>
      </w:tr>
      <w:tr w:rsidR="00022065" w:rsidRPr="009A3F06" w14:paraId="7A3AA3E8"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7B4B3" w14:textId="77777777" w:rsidR="00022065" w:rsidRPr="009A3F06" w:rsidRDefault="00022065" w:rsidP="006A0E43">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4BF675" w14:textId="77777777" w:rsidR="00022065" w:rsidRPr="009A3F06" w:rsidRDefault="00022065" w:rsidP="006A0E43">
            <w:pPr>
              <w:rPr>
                <w:rFonts w:ascii="Times New Roman" w:hAnsi="Times New Roman"/>
              </w:rPr>
            </w:pPr>
            <w:r w:rsidRPr="009A3F06">
              <w:rPr>
                <w:rFonts w:ascii="Times New Roman" w:hAnsi="Times New Roman"/>
              </w:rPr>
              <w:t>2.33</w:t>
            </w:r>
          </w:p>
        </w:tc>
      </w:tr>
      <w:tr w:rsidR="00022065" w:rsidRPr="009A3F06" w14:paraId="2483282D"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EE2B8" w14:textId="77777777" w:rsidR="00022065" w:rsidRPr="009A3F06" w:rsidRDefault="00022065" w:rsidP="006A0E43">
            <w:pPr>
              <w:rPr>
                <w:rFonts w:ascii="Times New Roman" w:hAnsi="Times New Roman"/>
              </w:rPr>
            </w:pPr>
            <w:r w:rsidRPr="009A3F06">
              <w:rPr>
                <w:rFonts w:ascii="Times New Roman" w:hAnsi="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E3C9092" w14:textId="77777777" w:rsidR="00022065" w:rsidRPr="009A3F06" w:rsidRDefault="00022065" w:rsidP="006A0E43">
            <w:pPr>
              <w:rPr>
                <w:rFonts w:ascii="Times New Roman" w:hAnsi="Times New Roman"/>
              </w:rPr>
            </w:pPr>
            <w:r w:rsidRPr="009A3F06">
              <w:rPr>
                <w:rFonts w:ascii="Times New Roman" w:hAnsi="Times New Roman"/>
              </w:rPr>
              <w:t>2.0</w:t>
            </w:r>
          </w:p>
        </w:tc>
      </w:tr>
      <w:tr w:rsidR="00022065" w:rsidRPr="009A3F06" w14:paraId="56CA8D0E"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18FE" w14:textId="77777777" w:rsidR="00022065" w:rsidRPr="009A3F06" w:rsidRDefault="00022065" w:rsidP="006A0E43">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30AF87" w14:textId="77777777" w:rsidR="00022065" w:rsidRPr="009A3F06" w:rsidRDefault="00022065" w:rsidP="006A0E43">
            <w:pPr>
              <w:rPr>
                <w:rFonts w:ascii="Times New Roman" w:hAnsi="Times New Roman"/>
              </w:rPr>
            </w:pPr>
            <w:r w:rsidRPr="009A3F06">
              <w:rPr>
                <w:rFonts w:ascii="Times New Roman" w:hAnsi="Times New Roman"/>
              </w:rPr>
              <w:t>1.67</w:t>
            </w:r>
          </w:p>
        </w:tc>
      </w:tr>
      <w:tr w:rsidR="00022065" w:rsidRPr="009A3F06" w14:paraId="35D8EA6D"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24913" w14:textId="77777777" w:rsidR="00022065" w:rsidRPr="009A3F06" w:rsidRDefault="00022065" w:rsidP="006A0E43">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0A2277" w14:textId="77777777" w:rsidR="00022065" w:rsidRPr="009A3F06" w:rsidRDefault="00022065" w:rsidP="006A0E43">
            <w:pPr>
              <w:rPr>
                <w:rFonts w:ascii="Times New Roman" w:hAnsi="Times New Roman"/>
              </w:rPr>
            </w:pPr>
            <w:r w:rsidRPr="009A3F06">
              <w:rPr>
                <w:rFonts w:ascii="Times New Roman" w:hAnsi="Times New Roman"/>
              </w:rPr>
              <w:t>1.33</w:t>
            </w:r>
          </w:p>
        </w:tc>
      </w:tr>
      <w:tr w:rsidR="00022065" w:rsidRPr="009A3F06" w14:paraId="7F6A5604"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61E1B" w14:textId="77777777" w:rsidR="00022065" w:rsidRPr="009A3F06" w:rsidRDefault="00022065" w:rsidP="006A0E43">
            <w:pPr>
              <w:rPr>
                <w:rFonts w:ascii="Times New Roman" w:hAnsi="Times New Roman"/>
              </w:rPr>
            </w:pPr>
            <w:r w:rsidRPr="009A3F06">
              <w:rPr>
                <w:rFonts w:ascii="Times New Roman" w:hAnsi="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DDC8BA" w14:textId="77777777" w:rsidR="00022065" w:rsidRPr="009A3F06" w:rsidRDefault="00022065" w:rsidP="006A0E43">
            <w:pPr>
              <w:rPr>
                <w:rFonts w:ascii="Times New Roman" w:hAnsi="Times New Roman"/>
              </w:rPr>
            </w:pPr>
            <w:r w:rsidRPr="009A3F06">
              <w:rPr>
                <w:rFonts w:ascii="Times New Roman" w:hAnsi="Times New Roman"/>
              </w:rPr>
              <w:t>1.0</w:t>
            </w:r>
          </w:p>
        </w:tc>
      </w:tr>
      <w:tr w:rsidR="00022065" w:rsidRPr="009A3F06" w14:paraId="2F9C4B93"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2DE7A" w14:textId="77777777" w:rsidR="00022065" w:rsidRPr="009A3F06" w:rsidRDefault="00022065" w:rsidP="006A0E43">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CDAE16" w14:textId="77777777" w:rsidR="00022065" w:rsidRPr="009A3F06" w:rsidRDefault="00022065" w:rsidP="006A0E43">
            <w:pPr>
              <w:rPr>
                <w:rFonts w:ascii="Times New Roman" w:hAnsi="Times New Roman"/>
              </w:rPr>
            </w:pPr>
            <w:r w:rsidRPr="009A3F06">
              <w:rPr>
                <w:rFonts w:ascii="Times New Roman" w:hAnsi="Times New Roman"/>
              </w:rPr>
              <w:t>0.67</w:t>
            </w:r>
          </w:p>
        </w:tc>
      </w:tr>
      <w:tr w:rsidR="00022065" w:rsidRPr="009A3F06" w14:paraId="4CD872C2"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C081E" w14:textId="77777777" w:rsidR="00022065" w:rsidRPr="009A3F06" w:rsidRDefault="00022065" w:rsidP="006A0E43">
            <w:pPr>
              <w:rPr>
                <w:rFonts w:ascii="Times New Roman" w:hAnsi="Times New Roman"/>
              </w:rPr>
            </w:pPr>
            <w:r w:rsidRPr="009A3F06">
              <w:rPr>
                <w:rFonts w:ascii="Times New Roman" w:hAnsi="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A025D6" w14:textId="77777777" w:rsidR="00022065" w:rsidRPr="009A3F06" w:rsidRDefault="00022065" w:rsidP="006A0E43">
            <w:pPr>
              <w:rPr>
                <w:rFonts w:ascii="Times New Roman" w:hAnsi="Times New Roman"/>
              </w:rPr>
            </w:pPr>
            <w:r w:rsidRPr="009A3F06">
              <w:rPr>
                <w:rFonts w:ascii="Times New Roman" w:hAnsi="Times New Roman"/>
              </w:rPr>
              <w:t xml:space="preserve">0.0 </w:t>
            </w:r>
          </w:p>
        </w:tc>
      </w:tr>
    </w:tbl>
    <w:p w14:paraId="26B76B86" w14:textId="77777777" w:rsidR="00022065" w:rsidRPr="009A3F06" w:rsidRDefault="00022065" w:rsidP="00022065">
      <w:pPr>
        <w:rPr>
          <w:rFonts w:ascii="Times New Roman" w:hAnsi="Times New Roman"/>
        </w:rPr>
      </w:pPr>
    </w:p>
    <w:p w14:paraId="65A4AE7F" w14:textId="77777777" w:rsidR="00022065" w:rsidRPr="009A3F06" w:rsidRDefault="00022065" w:rsidP="00022065">
      <w:pPr>
        <w:rPr>
          <w:rFonts w:ascii="Times New Roman" w:hAnsi="Times New Roman"/>
        </w:rPr>
      </w:pPr>
      <w:r w:rsidRPr="009A3F06">
        <w:rPr>
          <w:rFonts w:ascii="Times New Roman" w:hAnsi="Times New Roman"/>
        </w:rPr>
        <w:t xml:space="preserve">The law school grading policy is available at: </w:t>
      </w:r>
      <w:hyperlink r:id="rId17" w:anchor="9" w:history="1">
        <w:r w:rsidRPr="009A3F06">
          <w:rPr>
            <w:rStyle w:val="Hyperlink"/>
            <w:rFonts w:ascii="Times New Roman" w:hAnsi="Times New Roman"/>
            <w:color w:val="auto"/>
          </w:rPr>
          <w:t>http://www.law.ufl.edu/student-affairs/current-students/academic-policies#9</w:t>
        </w:r>
      </w:hyperlink>
      <w:r w:rsidRPr="009A3F06">
        <w:rPr>
          <w:rFonts w:ascii="Times New Roman" w:hAnsi="Times New Roman"/>
        </w:rPr>
        <w:t xml:space="preserve">. </w:t>
      </w:r>
    </w:p>
    <w:p w14:paraId="79C72E87" w14:textId="77777777" w:rsidR="00022065" w:rsidRPr="009A3F06" w:rsidRDefault="00022065" w:rsidP="00022065">
      <w:pPr>
        <w:rPr>
          <w:rFonts w:ascii="Times New Roman" w:hAnsi="Times New Roman"/>
        </w:rPr>
      </w:pPr>
    </w:p>
    <w:p w14:paraId="6950DC90" w14:textId="77777777" w:rsidR="00022065" w:rsidRPr="009A3F06" w:rsidRDefault="00022065" w:rsidP="00022065">
      <w:pPr>
        <w:rPr>
          <w:rFonts w:ascii="Times New Roman" w:hAnsi="Times New Roman"/>
        </w:rPr>
      </w:pPr>
    </w:p>
    <w:p w14:paraId="5E2A7353" w14:textId="77777777" w:rsidR="00022065" w:rsidRDefault="00022065" w:rsidP="00022065">
      <w:pPr>
        <w:pStyle w:val="Heading2"/>
        <w:rPr>
          <w:rFonts w:ascii="Times New Roman" w:hAnsi="Times New Roman" w:cs="Times New Roman"/>
        </w:rPr>
      </w:pPr>
      <w:r w:rsidRPr="009A3F06">
        <w:rPr>
          <w:rFonts w:ascii="Times New Roman" w:hAnsi="Times New Roman" w:cs="Times New Roman"/>
        </w:rPr>
        <w:t>Accommodations:</w:t>
      </w:r>
    </w:p>
    <w:p w14:paraId="1D973064" w14:textId="77777777" w:rsidR="00022065" w:rsidRPr="00193811" w:rsidRDefault="00022065" w:rsidP="00022065"/>
    <w:p w14:paraId="4C281BC2" w14:textId="77777777" w:rsidR="00022065" w:rsidRDefault="00022065" w:rsidP="00022065">
      <w:pPr>
        <w:rPr>
          <w:rFonts w:ascii="Times New Roman" w:hAnsi="Times New Roman"/>
        </w:rPr>
      </w:pPr>
      <w:r w:rsidRPr="00FA7B0F">
        <w:rPr>
          <w:rFonts w:ascii="Times New Roman" w:hAnsi="Times New Roman"/>
        </w:rPr>
        <w:t xml:space="preserve">Students requesting accommodation for disabilities must first register with the </w:t>
      </w:r>
      <w:r>
        <w:rPr>
          <w:rFonts w:ascii="Times New Roman" w:hAnsi="Times New Roman"/>
        </w:rPr>
        <w:t xml:space="preserve">Disability Resource Center </w:t>
      </w:r>
      <w:r w:rsidRPr="00FA7B0F">
        <w:rPr>
          <w:rFonts w:ascii="Times New Roman" w:hAnsi="Times New Roman"/>
        </w:rPr>
        <w:t xml:space="preserve"> (</w:t>
      </w:r>
      <w:hyperlink r:id="rId18" w:history="1">
        <w:r w:rsidRPr="00FA7B0F">
          <w:rPr>
            <w:rStyle w:val="Hyperlink"/>
            <w:rFonts w:ascii="Times New Roman" w:hAnsi="Times New Roman"/>
            <w:color w:val="auto"/>
          </w:rPr>
          <w:t>http</w:t>
        </w:r>
      </w:hyperlink>
      <w:hyperlink r:id="rId19" w:history="1">
        <w:r w:rsidRPr="00FA7B0F">
          <w:rPr>
            <w:rStyle w:val="Hyperlink"/>
            <w:rFonts w:ascii="Times New Roman" w:hAnsi="Times New Roman"/>
            <w:color w:val="auto"/>
          </w:rPr>
          <w:t>://</w:t>
        </w:r>
      </w:hyperlink>
      <w:hyperlink r:id="rId20" w:history="1">
        <w:r w:rsidRPr="00FA7B0F">
          <w:rPr>
            <w:rStyle w:val="Hyperlink"/>
            <w:rFonts w:ascii="Times New Roman" w:hAnsi="Times New Roman"/>
            <w:color w:val="auto"/>
          </w:rPr>
          <w:t>www</w:t>
        </w:r>
      </w:hyperlink>
      <w:hyperlink r:id="rId21" w:history="1">
        <w:r w:rsidRPr="00FA7B0F">
          <w:rPr>
            <w:rStyle w:val="Hyperlink"/>
            <w:rFonts w:ascii="Times New Roman" w:hAnsi="Times New Roman"/>
            <w:color w:val="auto"/>
          </w:rPr>
          <w:t>.</w:t>
        </w:r>
      </w:hyperlink>
      <w:hyperlink r:id="rId22" w:history="1">
        <w:r w:rsidRPr="00FA7B0F">
          <w:rPr>
            <w:rStyle w:val="Hyperlink"/>
            <w:rFonts w:ascii="Times New Roman" w:hAnsi="Times New Roman"/>
            <w:color w:val="auto"/>
          </w:rPr>
          <w:t>ds</w:t>
        </w:r>
      </w:hyperlink>
      <w:hyperlink r:id="rId23" w:history="1">
        <w:r w:rsidRPr="00FA7B0F">
          <w:rPr>
            <w:rStyle w:val="Hyperlink"/>
            <w:rFonts w:ascii="Times New Roman" w:hAnsi="Times New Roman"/>
            <w:color w:val="auto"/>
          </w:rPr>
          <w:t>o</w:t>
        </w:r>
      </w:hyperlink>
      <w:hyperlink r:id="rId24" w:history="1">
        <w:r w:rsidRPr="00FA7B0F">
          <w:rPr>
            <w:rStyle w:val="Hyperlink"/>
            <w:rFonts w:ascii="Times New Roman" w:hAnsi="Times New Roman"/>
            <w:color w:val="auto"/>
          </w:rPr>
          <w:t>.</w:t>
        </w:r>
      </w:hyperlink>
      <w:hyperlink r:id="rId25" w:history="1">
        <w:r w:rsidRPr="00FA7B0F">
          <w:rPr>
            <w:rStyle w:val="Hyperlink"/>
            <w:rFonts w:ascii="Times New Roman" w:hAnsi="Times New Roman"/>
            <w:color w:val="auto"/>
          </w:rPr>
          <w:t>ufl</w:t>
        </w:r>
      </w:hyperlink>
      <w:hyperlink r:id="rId26" w:history="1">
        <w:r w:rsidRPr="00FA7B0F">
          <w:rPr>
            <w:rStyle w:val="Hyperlink"/>
            <w:rFonts w:ascii="Times New Roman" w:hAnsi="Times New Roman"/>
            <w:color w:val="auto"/>
          </w:rPr>
          <w:t>.</w:t>
        </w:r>
      </w:hyperlink>
      <w:hyperlink r:id="rId27" w:history="1">
        <w:r w:rsidRPr="00FA7B0F">
          <w:rPr>
            <w:rStyle w:val="Hyperlink"/>
            <w:rFonts w:ascii="Times New Roman" w:hAnsi="Times New Roman"/>
            <w:color w:val="auto"/>
          </w:rPr>
          <w:t>edu</w:t>
        </w:r>
      </w:hyperlink>
      <w:hyperlink r:id="rId28" w:history="1">
        <w:r w:rsidRPr="00FA7B0F">
          <w:rPr>
            <w:rStyle w:val="Hyperlink"/>
            <w:rFonts w:ascii="Times New Roman" w:hAnsi="Times New Roman"/>
            <w:color w:val="auto"/>
          </w:rPr>
          <w:t>/</w:t>
        </w:r>
      </w:hyperlink>
      <w:hyperlink r:id="rId29" w:history="1">
        <w:r w:rsidRPr="00FA7B0F">
          <w:rPr>
            <w:rStyle w:val="Hyperlink"/>
            <w:rFonts w:ascii="Times New Roman" w:hAnsi="Times New Roman"/>
            <w:color w:val="auto"/>
          </w:rPr>
          <w:t>drc</w:t>
        </w:r>
      </w:hyperlink>
      <w:hyperlink r:id="rId30" w:history="1">
        <w:r w:rsidRPr="00FA7B0F">
          <w:rPr>
            <w:rStyle w:val="Hyperlink"/>
            <w:rFonts w:ascii="Times New Roman" w:hAnsi="Times New Roman"/>
            <w:color w:val="auto"/>
          </w:rPr>
          <w:t>/</w:t>
        </w:r>
      </w:hyperlink>
      <w:r w:rsidRPr="00FA7B0F">
        <w:rPr>
          <w:rFonts w:ascii="Times New Roman" w:hAnsi="Times New Roman"/>
        </w:rPr>
        <w:t xml:space="preserve">). </w:t>
      </w:r>
      <w:r>
        <w:rPr>
          <w:rFonts w:ascii="Times New Roman" w:hAnsi="Times New Roman"/>
        </w:rP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9BDBA7E" w14:textId="77777777" w:rsidR="00022065" w:rsidRDefault="00022065" w:rsidP="00022065">
      <w:pPr>
        <w:rPr>
          <w:rFonts w:ascii="Times New Roman" w:hAnsi="Times New Roman"/>
        </w:rPr>
      </w:pPr>
    </w:p>
    <w:p w14:paraId="3EA84585" w14:textId="77777777" w:rsidR="00022065" w:rsidRDefault="00022065" w:rsidP="00022065">
      <w:pPr>
        <w:rPr>
          <w:rFonts w:ascii="Times New Roman" w:hAnsi="Times New Roman"/>
        </w:rPr>
      </w:pPr>
      <w:r>
        <w:rPr>
          <w:rFonts w:ascii="Times New Roman" w:hAnsi="Times New Roman"/>
        </w:rPr>
        <w:t>Attendance</w:t>
      </w:r>
    </w:p>
    <w:p w14:paraId="587FDFAC" w14:textId="77777777" w:rsidR="00022065" w:rsidRDefault="00022065" w:rsidP="00022065">
      <w:pPr>
        <w:rPr>
          <w:rFonts w:ascii="Times New Roman" w:hAnsi="Times New Roman"/>
        </w:rPr>
      </w:pPr>
    </w:p>
    <w:p w14:paraId="3CB4B9F4" w14:textId="77777777" w:rsidR="00022065" w:rsidRDefault="00022065" w:rsidP="00022065">
      <w:pPr>
        <w:rPr>
          <w:rFonts w:ascii="Times New Roman" w:hAnsi="Times New Roman"/>
        </w:rPr>
      </w:pPr>
      <w:r w:rsidRPr="00270668">
        <w:rPr>
          <w:rFonts w:ascii="Times New Roman" w:hAnsi="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31" w:history="1">
        <w:r w:rsidRPr="00270668">
          <w:rPr>
            <w:rStyle w:val="Hyperlink"/>
            <w:rFonts w:ascii="Times New Roman" w:hAnsi="Times New Roman"/>
            <w:color w:val="auto"/>
          </w:rPr>
          <w:t>https://catalog.ufl.edu/ugrad/current/regulations/info/attendance.aspx</w:t>
        </w:r>
      </w:hyperlink>
      <w:r w:rsidRPr="00270668">
        <w:rPr>
          <w:rFonts w:ascii="Times New Roman" w:hAnsi="Times New Roman"/>
        </w:rPr>
        <w:t xml:space="preserve">. </w:t>
      </w:r>
    </w:p>
    <w:p w14:paraId="7C4E91C4" w14:textId="77777777" w:rsidR="00022065" w:rsidRDefault="00022065" w:rsidP="00022065">
      <w:pPr>
        <w:rPr>
          <w:rFonts w:ascii="Times New Roman" w:hAnsi="Times New Roman"/>
        </w:rPr>
      </w:pPr>
    </w:p>
    <w:p w14:paraId="6D3AFB05" w14:textId="77777777" w:rsidR="00022065" w:rsidRDefault="00022065" w:rsidP="00022065">
      <w:pPr>
        <w:rPr>
          <w:rFonts w:ascii="Times New Roman" w:hAnsi="Times New Roman"/>
        </w:rPr>
      </w:pPr>
      <w:r>
        <w:rPr>
          <w:rFonts w:ascii="Times New Roman" w:hAnsi="Times New Roman"/>
        </w:rPr>
        <w:t>Class Preparation</w:t>
      </w:r>
    </w:p>
    <w:p w14:paraId="0ABCE189" w14:textId="77777777" w:rsidR="00022065" w:rsidRDefault="00022065" w:rsidP="00022065">
      <w:pPr>
        <w:rPr>
          <w:rFonts w:ascii="Times New Roman" w:hAnsi="Times New Roman"/>
        </w:rPr>
      </w:pPr>
    </w:p>
    <w:p w14:paraId="0B24FBD8" w14:textId="77777777" w:rsidR="00022065" w:rsidRDefault="00022065" w:rsidP="00022065">
      <w:pPr>
        <w:rPr>
          <w:rFonts w:ascii="Times New Roman" w:hAnsi="Times New Roman"/>
        </w:rPr>
      </w:pPr>
      <w:r w:rsidRPr="009A3F06">
        <w:rPr>
          <w:rFonts w:ascii="Times New Roman" w:hAnsi="Times New Roman"/>
        </w:rPr>
        <w:t>It is anticipated that you will spend approximately 2 hours out of class reading and/or preparing for in class assignments for every 1 hour in class.</w:t>
      </w:r>
    </w:p>
    <w:p w14:paraId="24DE545A" w14:textId="77777777" w:rsidR="00022065" w:rsidRDefault="00022065" w:rsidP="00022065">
      <w:pPr>
        <w:rPr>
          <w:rFonts w:ascii="Times New Roman" w:hAnsi="Times New Roman"/>
        </w:rPr>
      </w:pPr>
    </w:p>
    <w:p w14:paraId="0056D418" w14:textId="77777777" w:rsidR="00022065" w:rsidRDefault="00022065" w:rsidP="00022065">
      <w:pPr>
        <w:rPr>
          <w:rFonts w:ascii="Times New Roman" w:hAnsi="Times New Roman"/>
        </w:rPr>
      </w:pPr>
      <w:r>
        <w:rPr>
          <w:rFonts w:ascii="Times New Roman" w:hAnsi="Times New Roman"/>
        </w:rPr>
        <w:t>Learning Outcomes</w:t>
      </w:r>
    </w:p>
    <w:p w14:paraId="1E135691" w14:textId="77777777" w:rsidR="00022065" w:rsidRDefault="00022065" w:rsidP="00022065">
      <w:pPr>
        <w:rPr>
          <w:rFonts w:ascii="Times New Roman" w:hAnsi="Times New Roman"/>
        </w:rPr>
      </w:pPr>
    </w:p>
    <w:p w14:paraId="66ECB4D8" w14:textId="77777777" w:rsidR="00022065" w:rsidRDefault="00022065" w:rsidP="00022065">
      <w:pPr>
        <w:rPr>
          <w:rFonts w:ascii="Times New Roman" w:hAnsi="Times New Roman"/>
        </w:rPr>
      </w:pPr>
      <w:r>
        <w:rPr>
          <w:rFonts w:ascii="Times New Roman" w:hAnsi="Times New Roman"/>
        </w:rPr>
        <w:t>After completing the class, students should be able to:</w:t>
      </w:r>
    </w:p>
    <w:p w14:paraId="21E2A53A" w14:textId="77777777" w:rsidR="00022065" w:rsidRDefault="00022065" w:rsidP="00022065">
      <w:pPr>
        <w:rPr>
          <w:rFonts w:ascii="Times New Roman" w:hAnsi="Times New Roman"/>
        </w:rPr>
      </w:pPr>
    </w:p>
    <w:p w14:paraId="0EE964FC" w14:textId="77777777" w:rsidR="00022065" w:rsidRDefault="00022065" w:rsidP="00022065">
      <w:pPr>
        <w:rPr>
          <w:rFonts w:ascii="Times New Roman" w:hAnsi="Times New Roman"/>
        </w:rPr>
      </w:pPr>
      <w:r>
        <w:rPr>
          <w:rFonts w:ascii="Times New Roman" w:hAnsi="Times New Roman"/>
        </w:rPr>
        <w:t>1.</w:t>
      </w:r>
      <w:r>
        <w:rPr>
          <w:rFonts w:ascii="Times New Roman" w:hAnsi="Times New Roman"/>
        </w:rPr>
        <w:tab/>
        <w:t>Describe and apply the national common law of Contracts, including the law of contract formation, the statute of frauds, doctrines that police the enforceability of agreements, contract interpretation, performance and nonperformance, contract remedies, and defenses.</w:t>
      </w:r>
    </w:p>
    <w:p w14:paraId="2AD3D2E4" w14:textId="77777777" w:rsidR="00022065" w:rsidRDefault="00022065" w:rsidP="00022065">
      <w:pPr>
        <w:rPr>
          <w:rFonts w:ascii="Times New Roman" w:hAnsi="Times New Roman"/>
        </w:rPr>
      </w:pPr>
    </w:p>
    <w:p w14:paraId="1B4E4946" w14:textId="77777777" w:rsidR="00022065" w:rsidRDefault="00022065" w:rsidP="00022065">
      <w:pPr>
        <w:rPr>
          <w:rFonts w:ascii="Times New Roman" w:hAnsi="Times New Roman"/>
        </w:rPr>
      </w:pPr>
      <w:r>
        <w:rPr>
          <w:rFonts w:ascii="Times New Roman" w:hAnsi="Times New Roman"/>
        </w:rPr>
        <w:t>2.</w:t>
      </w:r>
      <w:r>
        <w:rPr>
          <w:rFonts w:ascii="Times New Roman" w:hAnsi="Times New Roman"/>
        </w:rPr>
        <w:tab/>
        <w:t xml:space="preserve">Describe and apply the national law of Sales of Goods under Article Two of the Uniform Commercial Code with </w:t>
      </w:r>
      <w:proofErr w:type="gramStart"/>
      <w:r>
        <w:rPr>
          <w:rFonts w:ascii="Times New Roman" w:hAnsi="Times New Roman"/>
        </w:rPr>
        <w:t>particular emphasis</w:t>
      </w:r>
      <w:proofErr w:type="gramEnd"/>
      <w:r>
        <w:rPr>
          <w:rFonts w:ascii="Times New Roman" w:hAnsi="Times New Roman"/>
        </w:rPr>
        <w:t xml:space="preserve"> on those areas in which that law deviates from or expands upon the common law of contracts.</w:t>
      </w:r>
    </w:p>
    <w:p w14:paraId="255DD11B" w14:textId="77777777" w:rsidR="00022065" w:rsidRDefault="00022065" w:rsidP="00022065">
      <w:pPr>
        <w:rPr>
          <w:rFonts w:ascii="Times New Roman" w:hAnsi="Times New Roman"/>
        </w:rPr>
      </w:pPr>
    </w:p>
    <w:p w14:paraId="1B2BC803" w14:textId="77777777" w:rsidR="00022065" w:rsidRDefault="00022065" w:rsidP="00022065">
      <w:pPr>
        <w:rPr>
          <w:rFonts w:ascii="Times New Roman" w:hAnsi="Times New Roman"/>
        </w:rPr>
      </w:pPr>
      <w:r>
        <w:rPr>
          <w:rFonts w:ascii="Times New Roman" w:hAnsi="Times New Roman"/>
        </w:rPr>
        <w:t>3.</w:t>
      </w:r>
      <w:r>
        <w:rPr>
          <w:rFonts w:ascii="Times New Roman" w:hAnsi="Times New Roman"/>
        </w:rPr>
        <w:tab/>
        <w:t>Analyze contracts cases critically, identifying issues therein, extracting the common law rules therefrom, and criticizing the courts’ reasoning and outcomes where appropriate.</w:t>
      </w:r>
    </w:p>
    <w:p w14:paraId="79A4CE56" w14:textId="77777777" w:rsidR="00022065" w:rsidRDefault="00022065" w:rsidP="00022065">
      <w:pPr>
        <w:rPr>
          <w:rFonts w:ascii="Times New Roman" w:hAnsi="Times New Roman"/>
        </w:rPr>
      </w:pPr>
    </w:p>
    <w:p w14:paraId="428CC2BC" w14:textId="77777777" w:rsidR="00022065" w:rsidRDefault="00022065" w:rsidP="00022065">
      <w:pPr>
        <w:rPr>
          <w:rFonts w:ascii="Times New Roman" w:hAnsi="Times New Roman"/>
        </w:rPr>
      </w:pPr>
      <w:r>
        <w:rPr>
          <w:rFonts w:ascii="Times New Roman" w:hAnsi="Times New Roman"/>
        </w:rPr>
        <w:t>4.</w:t>
      </w:r>
      <w:r>
        <w:rPr>
          <w:rFonts w:ascii="Times New Roman" w:hAnsi="Times New Roman"/>
        </w:rPr>
        <w:tab/>
        <w:t xml:space="preserve">Analyze hypothetical factual scenarios, identifying factual and legal issues, articulating the applicable law and the arguments germane to the issues. </w:t>
      </w:r>
    </w:p>
    <w:p w14:paraId="2D178C20" w14:textId="77777777" w:rsidR="00022065" w:rsidRDefault="00022065" w:rsidP="00022065">
      <w:pPr>
        <w:rPr>
          <w:rFonts w:ascii="Times New Roman" w:hAnsi="Times New Roman"/>
        </w:rPr>
      </w:pPr>
    </w:p>
    <w:p w14:paraId="7B677BB1" w14:textId="77777777" w:rsidR="00022065" w:rsidRDefault="00022065" w:rsidP="00022065">
      <w:pPr>
        <w:rPr>
          <w:rFonts w:ascii="Times New Roman" w:hAnsi="Times New Roman"/>
        </w:rPr>
      </w:pPr>
      <w:r>
        <w:rPr>
          <w:rFonts w:ascii="Times New Roman" w:hAnsi="Times New Roman"/>
        </w:rPr>
        <w:t>5.</w:t>
      </w:r>
      <w:r>
        <w:rPr>
          <w:rFonts w:ascii="Times New Roman" w:hAnsi="Times New Roman"/>
        </w:rPr>
        <w:tab/>
        <w:t>Appreciate the importance of contract law in regulating commerce.</w:t>
      </w:r>
    </w:p>
    <w:p w14:paraId="4C012DDC" w14:textId="77777777" w:rsidR="00022065" w:rsidRDefault="00022065" w:rsidP="00022065">
      <w:pPr>
        <w:rPr>
          <w:rFonts w:ascii="Times New Roman" w:hAnsi="Times New Roman"/>
        </w:rPr>
      </w:pPr>
      <w:r>
        <w:rPr>
          <w:rFonts w:ascii="Times New Roman" w:hAnsi="Times New Roman"/>
        </w:rPr>
        <w:tab/>
      </w:r>
    </w:p>
    <w:p w14:paraId="644934CD" w14:textId="77777777" w:rsidR="00022065" w:rsidRDefault="00022065" w:rsidP="00022065">
      <w:pPr>
        <w:rPr>
          <w:rFonts w:ascii="Times New Roman" w:hAnsi="Times New Roman"/>
        </w:rPr>
      </w:pPr>
    </w:p>
    <w:p w14:paraId="677B7B2E" w14:textId="77777777" w:rsidR="00022065" w:rsidRDefault="00022065" w:rsidP="00022065">
      <w:pPr>
        <w:rPr>
          <w:rFonts w:ascii="Times New Roman" w:hAnsi="Times New Roman"/>
        </w:rPr>
      </w:pPr>
    </w:p>
    <w:p w14:paraId="07318455" w14:textId="77777777" w:rsidR="00022065" w:rsidRDefault="00022065" w:rsidP="00022065">
      <w:pPr>
        <w:rPr>
          <w:rFonts w:ascii="Times New Roman" w:hAnsi="Times New Roman"/>
        </w:rPr>
      </w:pPr>
    </w:p>
    <w:p w14:paraId="11AE6495" w14:textId="77777777" w:rsidR="00022065" w:rsidRDefault="00022065" w:rsidP="00022065"/>
    <w:p w14:paraId="7C71590C" w14:textId="77777777" w:rsidR="00022065" w:rsidRPr="008C58B1" w:rsidRDefault="00022065">
      <w:bookmarkStart w:id="0" w:name="_GoBack"/>
      <w:bookmarkEnd w:id="0"/>
    </w:p>
    <w:sectPr w:rsidR="00022065" w:rsidRPr="008C58B1" w:rsidSect="008A24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B1"/>
    <w:rsid w:val="00022065"/>
    <w:rsid w:val="00175DBC"/>
    <w:rsid w:val="001B26ED"/>
    <w:rsid w:val="00256A16"/>
    <w:rsid w:val="00391D00"/>
    <w:rsid w:val="003F16A1"/>
    <w:rsid w:val="0040242C"/>
    <w:rsid w:val="004B3570"/>
    <w:rsid w:val="00526933"/>
    <w:rsid w:val="005B14B6"/>
    <w:rsid w:val="00722321"/>
    <w:rsid w:val="00757657"/>
    <w:rsid w:val="007738F0"/>
    <w:rsid w:val="008A2473"/>
    <w:rsid w:val="008C58B1"/>
    <w:rsid w:val="00962A24"/>
    <w:rsid w:val="00A13876"/>
    <w:rsid w:val="00A56A5E"/>
    <w:rsid w:val="00AB0FC2"/>
    <w:rsid w:val="00B13984"/>
    <w:rsid w:val="00B82A92"/>
    <w:rsid w:val="00BE4F3A"/>
    <w:rsid w:val="00C00E3D"/>
    <w:rsid w:val="00C60587"/>
    <w:rsid w:val="00D3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B8650"/>
  <w14:defaultImageDpi w14:val="300"/>
  <w15:docId w15:val="{5296371F-495E-44D2-8AB9-7EF3025C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20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06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220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 Type="http://schemas.openxmlformats.org/officeDocument/2006/relationships/webSettings" Target="webSettings.xml"/><Relationship Id="rId21" Type="http://schemas.openxmlformats.org/officeDocument/2006/relationships/hyperlink" Target="http://www.dso.ufl.edu/drc/"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law.ufl.edu/student-affairs/current-students/academic-policies" TargetMode="External"/><Relationship Id="rId25" Type="http://schemas.openxmlformats.org/officeDocument/2006/relationships/hyperlink" Target="http://www.dso.ufl.edu/dr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so.ufl.edu/students.php" TargetMode="External"/><Relationship Id="rId20"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styles" Target="styles.xml"/><Relationship Id="rId6" Type="http://schemas.openxmlformats.org/officeDocument/2006/relationships/hyperlink" Target="http://www.dso.ufl.edu/students.php"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fontTable" Target="fontTable.xml"/><Relationship Id="rId5" Type="http://schemas.openxmlformats.org/officeDocument/2006/relationships/hyperlink" Target="http://www.dso.ufl.edu/students.php" TargetMode="Externa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drc/" TargetMode="External"/><Relationship Id="rId31" Type="http://schemas.openxmlformats.org/officeDocument/2006/relationships/hyperlink" Target="https://catalog.ufl.edu/ugrad/current/regulations/info/attendance.aspx" TargetMode="External"/><Relationship Id="rId4" Type="http://schemas.openxmlformats.org/officeDocument/2006/relationships/hyperlink" Target="http://www.dso.ufl.edu/students.php" TargetMode="Externa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Reviewer</cp:lastModifiedBy>
  <cp:revision>2</cp:revision>
  <cp:lastPrinted>2019-07-28T21:39:00Z</cp:lastPrinted>
  <dcterms:created xsi:type="dcterms:W3CDTF">2019-08-19T18:32:00Z</dcterms:created>
  <dcterms:modified xsi:type="dcterms:W3CDTF">2019-08-19T18:32:00Z</dcterms:modified>
</cp:coreProperties>
</file>