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9A90" w14:textId="1FD58AC9" w:rsidR="000D6937" w:rsidRPr="00236A4C" w:rsidRDefault="00236A4C" w:rsidP="00236A4C">
      <w:pPr>
        <w:jc w:val="center"/>
        <w:rPr>
          <w:b/>
          <w:sz w:val="36"/>
          <w:szCs w:val="36"/>
        </w:rPr>
      </w:pPr>
      <w:r w:rsidRPr="00236A4C">
        <w:rPr>
          <w:b/>
          <w:sz w:val="36"/>
          <w:szCs w:val="36"/>
        </w:rPr>
        <w:t>UNIVERSITY OF FLORIDA</w:t>
      </w:r>
    </w:p>
    <w:p w14:paraId="29264208" w14:textId="00E9CF48" w:rsidR="000D6937" w:rsidRDefault="009639D2" w:rsidP="00236A4C">
      <w:pPr>
        <w:jc w:val="center"/>
        <w:rPr>
          <w:b/>
          <w:sz w:val="36"/>
          <w:szCs w:val="36"/>
        </w:rPr>
      </w:pPr>
      <w:r>
        <w:rPr>
          <w:b/>
          <w:sz w:val="36"/>
          <w:szCs w:val="36"/>
        </w:rPr>
        <w:t xml:space="preserve">FREDERIC G. </w:t>
      </w:r>
      <w:r w:rsidR="00236A4C" w:rsidRPr="00236A4C">
        <w:rPr>
          <w:b/>
          <w:sz w:val="36"/>
          <w:szCs w:val="36"/>
        </w:rPr>
        <w:t>LEVIN COLLEGE OF LAW</w:t>
      </w:r>
    </w:p>
    <w:p w14:paraId="24C1A4DF" w14:textId="77777777" w:rsidR="00F22BEB" w:rsidRPr="00236A4C" w:rsidRDefault="00F22BEB" w:rsidP="00236A4C">
      <w:pPr>
        <w:jc w:val="center"/>
        <w:rPr>
          <w:b/>
          <w:sz w:val="36"/>
          <w:szCs w:val="36"/>
          <w:u w:val="single"/>
        </w:rPr>
      </w:pPr>
    </w:p>
    <w:p w14:paraId="3BBFFDD4" w14:textId="41957070" w:rsidR="00273279" w:rsidRDefault="005834A6" w:rsidP="00273279">
      <w:pPr>
        <w:pStyle w:val="Title"/>
        <w:outlineLvl w:val="0"/>
        <w:rPr>
          <w:b/>
          <w:sz w:val="32"/>
          <w:szCs w:val="32"/>
          <w:u w:val="single"/>
        </w:rPr>
      </w:pPr>
      <w:bookmarkStart w:id="0" w:name="_Hlk76716848"/>
      <w:r>
        <w:rPr>
          <w:b/>
          <w:sz w:val="32"/>
          <w:szCs w:val="32"/>
          <w:u w:val="single"/>
        </w:rPr>
        <w:t>Patents &amp; Biotechnol</w:t>
      </w:r>
      <w:r w:rsidR="0035091F">
        <w:rPr>
          <w:b/>
          <w:sz w:val="32"/>
          <w:szCs w:val="32"/>
          <w:u w:val="single"/>
        </w:rPr>
        <w:t>ogy</w:t>
      </w:r>
    </w:p>
    <w:p w14:paraId="1D073D40" w14:textId="0FF3FD03" w:rsidR="00F2622E" w:rsidRDefault="00F2622E" w:rsidP="00273279">
      <w:pPr>
        <w:pStyle w:val="Title"/>
        <w:outlineLvl w:val="0"/>
        <w:rPr>
          <w:b/>
          <w:sz w:val="32"/>
          <w:szCs w:val="32"/>
        </w:rPr>
      </w:pPr>
      <w:r w:rsidRPr="00F2622E">
        <w:rPr>
          <w:b/>
          <w:sz w:val="32"/>
          <w:szCs w:val="32"/>
        </w:rPr>
        <w:t xml:space="preserve">Law </w:t>
      </w:r>
      <w:r>
        <w:rPr>
          <w:b/>
          <w:sz w:val="32"/>
          <w:szCs w:val="32"/>
        </w:rPr>
        <w:t>6930</w:t>
      </w:r>
    </w:p>
    <w:p w14:paraId="1E3E0BAC" w14:textId="3E53876E" w:rsidR="00F2622E" w:rsidRPr="00F2622E" w:rsidRDefault="00F2622E" w:rsidP="00273279">
      <w:pPr>
        <w:pStyle w:val="Title"/>
        <w:outlineLvl w:val="0"/>
        <w:rPr>
          <w:b/>
          <w:sz w:val="32"/>
          <w:szCs w:val="32"/>
        </w:rPr>
      </w:pPr>
      <w:r>
        <w:rPr>
          <w:b/>
          <w:sz w:val="32"/>
          <w:szCs w:val="32"/>
        </w:rPr>
        <w:t>Course 27407</w:t>
      </w:r>
    </w:p>
    <w:bookmarkEnd w:id="0"/>
    <w:p w14:paraId="01264D35" w14:textId="77777777" w:rsidR="00A61172" w:rsidRDefault="00A61172" w:rsidP="00273279">
      <w:pPr>
        <w:pStyle w:val="Title"/>
        <w:outlineLvl w:val="0"/>
        <w:rPr>
          <w:b/>
          <w:sz w:val="28"/>
          <w:szCs w:val="28"/>
          <w:u w:val="single"/>
        </w:rPr>
      </w:pPr>
    </w:p>
    <w:p w14:paraId="01ACAB1C" w14:textId="1DFD2A16" w:rsidR="00297F01" w:rsidRDefault="00A22027" w:rsidP="00273279">
      <w:pPr>
        <w:pStyle w:val="Title"/>
        <w:tabs>
          <w:tab w:val="left" w:pos="1440"/>
        </w:tabs>
        <w:rPr>
          <w:b/>
          <w:i/>
          <w:sz w:val="28"/>
          <w:szCs w:val="28"/>
        </w:rPr>
      </w:pPr>
      <w:r>
        <w:rPr>
          <w:b/>
          <w:i/>
          <w:sz w:val="28"/>
          <w:szCs w:val="28"/>
        </w:rPr>
        <w:t xml:space="preserve">August </w:t>
      </w:r>
      <w:r w:rsidR="00B92C39">
        <w:rPr>
          <w:b/>
          <w:i/>
          <w:sz w:val="28"/>
          <w:szCs w:val="28"/>
        </w:rPr>
        <w:t>16-</w:t>
      </w:r>
      <w:r w:rsidR="006B38D4">
        <w:rPr>
          <w:b/>
          <w:i/>
          <w:sz w:val="28"/>
          <w:szCs w:val="28"/>
        </w:rPr>
        <w:t>19</w:t>
      </w:r>
      <w:r w:rsidR="00236A4C">
        <w:rPr>
          <w:b/>
          <w:i/>
          <w:sz w:val="28"/>
          <w:szCs w:val="28"/>
        </w:rPr>
        <w:t>, 2021</w:t>
      </w:r>
    </w:p>
    <w:p w14:paraId="356C8CB9" w14:textId="121698F6" w:rsidR="00FC3564" w:rsidRDefault="00F2622E" w:rsidP="00273279">
      <w:pPr>
        <w:pStyle w:val="Title"/>
        <w:tabs>
          <w:tab w:val="left" w:pos="1440"/>
        </w:tabs>
        <w:rPr>
          <w:b/>
          <w:i/>
          <w:sz w:val="28"/>
          <w:szCs w:val="28"/>
        </w:rPr>
      </w:pPr>
      <w:r>
        <w:rPr>
          <w:b/>
          <w:i/>
          <w:sz w:val="28"/>
          <w:szCs w:val="28"/>
        </w:rPr>
        <w:t>Mon &amp; Thurs: 11:00-11:50 &amp; 1:00-2:50</w:t>
      </w:r>
    </w:p>
    <w:p w14:paraId="2248C30C" w14:textId="33DEBCD4" w:rsidR="00F2622E" w:rsidRDefault="00F2622E" w:rsidP="00273279">
      <w:pPr>
        <w:pStyle w:val="Title"/>
        <w:tabs>
          <w:tab w:val="left" w:pos="1440"/>
        </w:tabs>
        <w:rPr>
          <w:b/>
          <w:i/>
          <w:sz w:val="28"/>
          <w:szCs w:val="28"/>
        </w:rPr>
      </w:pPr>
      <w:r>
        <w:rPr>
          <w:b/>
          <w:i/>
          <w:sz w:val="28"/>
          <w:szCs w:val="28"/>
        </w:rPr>
        <w:t>Tue &amp; Wed: 10:00-11:50 &amp; 2:00-3:50</w:t>
      </w:r>
    </w:p>
    <w:p w14:paraId="02FEF0BE" w14:textId="7C4D3375" w:rsidR="00F22BEB" w:rsidRPr="00F22BEB" w:rsidRDefault="00BF4B1F" w:rsidP="00273279">
      <w:pPr>
        <w:pStyle w:val="Title"/>
        <w:tabs>
          <w:tab w:val="left" w:pos="1440"/>
        </w:tabs>
        <w:rPr>
          <w:bCs/>
          <w:iCs/>
          <w:szCs w:val="24"/>
          <w:u w:val="single"/>
        </w:rPr>
      </w:pPr>
      <w:r>
        <w:rPr>
          <w:bCs/>
          <w:iCs/>
          <w:sz w:val="28"/>
          <w:szCs w:val="28"/>
        </w:rPr>
        <w:t>Holland Hall 283</w:t>
      </w:r>
    </w:p>
    <w:p w14:paraId="205F5DF7" w14:textId="77777777" w:rsidR="00FC3564" w:rsidRDefault="00FC3564" w:rsidP="00FC3564">
      <w:pPr>
        <w:pStyle w:val="Title"/>
        <w:outlineLvl w:val="0"/>
      </w:pPr>
    </w:p>
    <w:p w14:paraId="36C0D681" w14:textId="77777777" w:rsidR="00BF4B1F" w:rsidRDefault="00BF4B1F" w:rsidP="00BF4B1F">
      <w:pPr>
        <w:pStyle w:val="Title"/>
        <w:outlineLvl w:val="0"/>
        <w:rPr>
          <w:b/>
          <w:szCs w:val="24"/>
        </w:rPr>
      </w:pPr>
      <w:r>
        <w:rPr>
          <w:b/>
          <w:szCs w:val="24"/>
        </w:rPr>
        <w:t>Brian R. Dorn, J.D., Ph.D.</w:t>
      </w:r>
    </w:p>
    <w:p w14:paraId="15CDA1E1" w14:textId="690F9A6F" w:rsidR="005F4587" w:rsidRDefault="00E871D0" w:rsidP="006B3CB3">
      <w:pPr>
        <w:pStyle w:val="Title"/>
        <w:outlineLvl w:val="0"/>
        <w:rPr>
          <w:i/>
          <w:iCs/>
          <w:sz w:val="28"/>
          <w:szCs w:val="28"/>
        </w:rPr>
      </w:pPr>
      <w:hyperlink r:id="rId5" w:history="1">
        <w:r w:rsidR="00BF4B1F" w:rsidRPr="006F7BB5">
          <w:rPr>
            <w:rStyle w:val="Hyperlink"/>
            <w:i/>
            <w:iCs/>
            <w:sz w:val="28"/>
            <w:szCs w:val="28"/>
          </w:rPr>
          <w:t>brian.dorn@arthrex.com</w:t>
        </w:r>
      </w:hyperlink>
    </w:p>
    <w:p w14:paraId="72515D29" w14:textId="77777777" w:rsidR="00BF4B1F" w:rsidRPr="006B3CB3" w:rsidRDefault="00BF4B1F" w:rsidP="006B3CB3">
      <w:pPr>
        <w:pStyle w:val="Title"/>
        <w:outlineLvl w:val="0"/>
        <w:rPr>
          <w:i/>
          <w:iCs/>
          <w:sz w:val="28"/>
          <w:szCs w:val="28"/>
        </w:rPr>
      </w:pPr>
    </w:p>
    <w:p w14:paraId="4281151D" w14:textId="6D13C596" w:rsidR="00BF4B1F" w:rsidRPr="00BF4B1F" w:rsidRDefault="00FC3564" w:rsidP="006B3CB3">
      <w:pPr>
        <w:pStyle w:val="Title"/>
        <w:outlineLvl w:val="0"/>
        <w:rPr>
          <w:iCs/>
          <w:sz w:val="28"/>
          <w:szCs w:val="28"/>
        </w:rPr>
      </w:pPr>
      <w:r w:rsidRPr="00BF4B1F">
        <w:rPr>
          <w:iCs/>
          <w:sz w:val="28"/>
          <w:szCs w:val="28"/>
        </w:rPr>
        <w:t>Office Hours</w:t>
      </w:r>
      <w:r w:rsidR="000D6937" w:rsidRPr="00BF4B1F">
        <w:rPr>
          <w:iCs/>
          <w:sz w:val="28"/>
          <w:szCs w:val="28"/>
        </w:rPr>
        <w:t xml:space="preserve">: </w:t>
      </w:r>
    </w:p>
    <w:p w14:paraId="2A8FF358" w14:textId="10A9D160" w:rsidR="00BF4B1F" w:rsidRPr="00BF4B1F" w:rsidRDefault="00BF4B1F" w:rsidP="006B3CB3">
      <w:pPr>
        <w:pStyle w:val="Title"/>
        <w:outlineLvl w:val="0"/>
        <w:rPr>
          <w:iCs/>
          <w:sz w:val="28"/>
          <w:szCs w:val="28"/>
        </w:rPr>
      </w:pPr>
      <w:r w:rsidRPr="00BF4B1F">
        <w:rPr>
          <w:iCs/>
          <w:sz w:val="28"/>
          <w:szCs w:val="28"/>
        </w:rPr>
        <w:t>Wednesday 9:00-10:00</w:t>
      </w:r>
    </w:p>
    <w:p w14:paraId="0CC7EA64" w14:textId="5DD21B8D" w:rsidR="00FC3564" w:rsidRPr="00BF4B1F" w:rsidRDefault="00DC0EB7" w:rsidP="006B3CB3">
      <w:pPr>
        <w:pStyle w:val="Title"/>
        <w:outlineLvl w:val="0"/>
        <w:rPr>
          <w:iCs/>
          <w:sz w:val="28"/>
          <w:szCs w:val="28"/>
        </w:rPr>
      </w:pPr>
      <w:r w:rsidRPr="00BF4B1F">
        <w:rPr>
          <w:iCs/>
          <w:sz w:val="28"/>
          <w:szCs w:val="28"/>
        </w:rPr>
        <w:t xml:space="preserve">Thurs 10:00-11:00 </w:t>
      </w:r>
    </w:p>
    <w:p w14:paraId="6077DB98" w14:textId="004FC373" w:rsidR="00BF4B1F" w:rsidRPr="00BF4B1F" w:rsidRDefault="00BF4B1F" w:rsidP="006B3CB3">
      <w:pPr>
        <w:pStyle w:val="Title"/>
        <w:outlineLvl w:val="0"/>
        <w:rPr>
          <w:iCs/>
          <w:szCs w:val="24"/>
        </w:rPr>
      </w:pPr>
      <w:r w:rsidRPr="00BF4B1F">
        <w:rPr>
          <w:iCs/>
          <w:sz w:val="28"/>
          <w:szCs w:val="28"/>
        </w:rPr>
        <w:t>College of Law Courtyard</w:t>
      </w:r>
    </w:p>
    <w:p w14:paraId="6C77B3E6" w14:textId="77777777" w:rsidR="00FC3564" w:rsidRDefault="00FC3564" w:rsidP="006B3CB3">
      <w:pPr>
        <w:pStyle w:val="Title"/>
        <w:pBdr>
          <w:bottom w:val="single" w:sz="12" w:space="1" w:color="auto"/>
        </w:pBdr>
        <w:outlineLvl w:val="0"/>
        <w:rPr>
          <w:sz w:val="28"/>
          <w:szCs w:val="28"/>
        </w:rPr>
      </w:pPr>
    </w:p>
    <w:p w14:paraId="08952A0C" w14:textId="77777777" w:rsidR="00804DD4" w:rsidRDefault="00804DD4" w:rsidP="00804DD4">
      <w:pPr>
        <w:pStyle w:val="Header"/>
        <w:tabs>
          <w:tab w:val="left" w:pos="720"/>
        </w:tabs>
        <w:rPr>
          <w:rFonts w:ascii="Trebuchet MS" w:hAnsi="Trebuchet MS"/>
          <w:color w:val="000000"/>
          <w:sz w:val="24"/>
          <w:szCs w:val="24"/>
        </w:rPr>
      </w:pPr>
    </w:p>
    <w:p w14:paraId="6F53FC0D" w14:textId="77777777" w:rsidR="0008439B" w:rsidRPr="0008439B" w:rsidRDefault="0008439B" w:rsidP="0008439B">
      <w:pPr>
        <w:rPr>
          <w:sz w:val="24"/>
          <w:szCs w:val="24"/>
        </w:rPr>
      </w:pPr>
    </w:p>
    <w:p w14:paraId="03F97C62" w14:textId="77777777" w:rsidR="0008439B" w:rsidRPr="0008439B" w:rsidRDefault="0008439B" w:rsidP="0008439B">
      <w:pPr>
        <w:rPr>
          <w:b/>
          <w:sz w:val="24"/>
          <w:szCs w:val="24"/>
          <w:u w:val="single"/>
        </w:rPr>
      </w:pPr>
      <w:r w:rsidRPr="0008439B">
        <w:rPr>
          <w:b/>
          <w:sz w:val="24"/>
          <w:szCs w:val="24"/>
          <w:u w:val="single"/>
        </w:rPr>
        <w:t>COURSE OBJECTIVES</w:t>
      </w:r>
    </w:p>
    <w:p w14:paraId="1525603F" w14:textId="77777777" w:rsidR="0008439B" w:rsidRPr="0008439B" w:rsidRDefault="0008439B" w:rsidP="0008439B">
      <w:pPr>
        <w:rPr>
          <w:b/>
          <w:sz w:val="24"/>
          <w:szCs w:val="24"/>
          <w:u w:val="single"/>
        </w:rPr>
      </w:pPr>
    </w:p>
    <w:p w14:paraId="55E9FD8B" w14:textId="07CE54FA" w:rsidR="0008439B" w:rsidRPr="0008439B" w:rsidRDefault="0008439B" w:rsidP="0008439B">
      <w:pPr>
        <w:rPr>
          <w:sz w:val="24"/>
          <w:szCs w:val="24"/>
        </w:rPr>
      </w:pPr>
      <w:r w:rsidRPr="0008439B">
        <w:rPr>
          <w:sz w:val="24"/>
          <w:szCs w:val="24"/>
        </w:rPr>
        <w:t xml:space="preserve">This course provides students </w:t>
      </w:r>
      <w:r w:rsidR="00F83240">
        <w:rPr>
          <w:sz w:val="24"/>
          <w:szCs w:val="24"/>
        </w:rPr>
        <w:t>with an understanding of biotechnology as an industry and discusses the differences between US and international biotech patent law.  It also analyzes issues related to two areas of patenting and biotech: monoclonal antibodies and CRISPR</w:t>
      </w:r>
      <w:r w:rsidR="0021683B">
        <w:rPr>
          <w:sz w:val="24"/>
          <w:szCs w:val="24"/>
        </w:rPr>
        <w:t xml:space="preserve">.  Although helpful, students need not to have taken patent law to enroll in this course.  The instructor will provide an overview of the essential components of patent law that pertain to this course on the first day.  </w:t>
      </w:r>
    </w:p>
    <w:p w14:paraId="0CB0A13B" w14:textId="77777777" w:rsidR="0008439B" w:rsidRPr="0008439B" w:rsidRDefault="0008439B" w:rsidP="0008439B">
      <w:pPr>
        <w:rPr>
          <w:sz w:val="24"/>
          <w:szCs w:val="24"/>
        </w:rPr>
      </w:pPr>
    </w:p>
    <w:p w14:paraId="58E29E94" w14:textId="77777777" w:rsidR="00B416EE" w:rsidRPr="00B416EE" w:rsidRDefault="00B416EE" w:rsidP="00B416EE">
      <w:pPr>
        <w:rPr>
          <w:b/>
          <w:sz w:val="24"/>
          <w:szCs w:val="24"/>
          <w:u w:val="single"/>
        </w:rPr>
      </w:pPr>
      <w:r w:rsidRPr="00B416EE">
        <w:rPr>
          <w:b/>
          <w:sz w:val="24"/>
          <w:szCs w:val="24"/>
          <w:u w:val="single"/>
        </w:rPr>
        <w:t>LEARNING OUTCOMES</w:t>
      </w:r>
    </w:p>
    <w:p w14:paraId="08EA8AFB" w14:textId="77777777" w:rsidR="00B416EE" w:rsidRPr="00B416EE" w:rsidRDefault="00B416EE" w:rsidP="00B416EE">
      <w:pPr>
        <w:rPr>
          <w:b/>
          <w:sz w:val="24"/>
          <w:szCs w:val="24"/>
          <w:u w:val="single"/>
        </w:rPr>
      </w:pPr>
    </w:p>
    <w:p w14:paraId="28E27249" w14:textId="0DD39F0D" w:rsidR="00B416EE" w:rsidRPr="00B416EE" w:rsidRDefault="00B416EE" w:rsidP="00B416EE">
      <w:pPr>
        <w:rPr>
          <w:bCs/>
          <w:sz w:val="24"/>
          <w:szCs w:val="24"/>
        </w:rPr>
      </w:pPr>
      <w:r w:rsidRPr="00B416EE">
        <w:rPr>
          <w:bCs/>
          <w:sz w:val="24"/>
          <w:szCs w:val="24"/>
        </w:rPr>
        <w:t xml:space="preserve">After completing this course, students </w:t>
      </w:r>
      <w:r>
        <w:rPr>
          <w:bCs/>
          <w:sz w:val="24"/>
          <w:szCs w:val="24"/>
        </w:rPr>
        <w:t>will</w:t>
      </w:r>
      <w:r w:rsidRPr="00B416EE">
        <w:rPr>
          <w:bCs/>
          <w:sz w:val="24"/>
          <w:szCs w:val="24"/>
        </w:rPr>
        <w:t xml:space="preserve"> be able to:</w:t>
      </w:r>
    </w:p>
    <w:p w14:paraId="12472FB7" w14:textId="450DD9AD" w:rsidR="00B416EE" w:rsidRDefault="00B416EE" w:rsidP="00B416EE">
      <w:pPr>
        <w:rPr>
          <w:bCs/>
          <w:sz w:val="24"/>
          <w:szCs w:val="24"/>
        </w:rPr>
      </w:pPr>
    </w:p>
    <w:p w14:paraId="3F648C2D" w14:textId="014DC805" w:rsidR="000B5CEE" w:rsidRDefault="000B5CEE" w:rsidP="000B5CEE">
      <w:pPr>
        <w:pStyle w:val="ListParagraph"/>
        <w:numPr>
          <w:ilvl w:val="0"/>
          <w:numId w:val="10"/>
        </w:numPr>
        <w:rPr>
          <w:bCs/>
          <w:sz w:val="24"/>
          <w:szCs w:val="24"/>
        </w:rPr>
      </w:pPr>
      <w:r>
        <w:rPr>
          <w:bCs/>
          <w:sz w:val="24"/>
          <w:szCs w:val="24"/>
        </w:rPr>
        <w:t>identify and analyze legal issues relating to patenting and biotechnology;</w:t>
      </w:r>
    </w:p>
    <w:p w14:paraId="34ED30E3" w14:textId="77777777" w:rsidR="000B5CEE" w:rsidRDefault="000B5CEE" w:rsidP="000B5CEE">
      <w:pPr>
        <w:pStyle w:val="ListParagraph"/>
        <w:rPr>
          <w:bCs/>
          <w:sz w:val="24"/>
          <w:szCs w:val="24"/>
        </w:rPr>
      </w:pPr>
    </w:p>
    <w:p w14:paraId="7AA1DC9A" w14:textId="55BD1F9B" w:rsidR="000B5CEE" w:rsidRDefault="000B5CEE" w:rsidP="000B5CEE">
      <w:pPr>
        <w:pStyle w:val="ListParagraph"/>
        <w:numPr>
          <w:ilvl w:val="0"/>
          <w:numId w:val="10"/>
        </w:numPr>
        <w:rPr>
          <w:bCs/>
          <w:sz w:val="24"/>
          <w:szCs w:val="24"/>
        </w:rPr>
      </w:pPr>
      <w:r>
        <w:rPr>
          <w:bCs/>
          <w:sz w:val="24"/>
          <w:szCs w:val="24"/>
        </w:rPr>
        <w:t>identify the differences between US and OUS patenting</w:t>
      </w:r>
      <w:r w:rsidR="00F83240">
        <w:rPr>
          <w:bCs/>
          <w:sz w:val="24"/>
          <w:szCs w:val="24"/>
        </w:rPr>
        <w:t xml:space="preserve"> in biotechnology</w:t>
      </w:r>
      <w:r>
        <w:rPr>
          <w:bCs/>
          <w:sz w:val="24"/>
          <w:szCs w:val="24"/>
        </w:rPr>
        <w:t>;</w:t>
      </w:r>
    </w:p>
    <w:p w14:paraId="55303DF8" w14:textId="77777777" w:rsidR="000B5CEE" w:rsidRPr="000B5CEE" w:rsidRDefault="000B5CEE" w:rsidP="000B5CEE">
      <w:pPr>
        <w:pStyle w:val="ListParagraph"/>
        <w:rPr>
          <w:bCs/>
          <w:sz w:val="24"/>
          <w:szCs w:val="24"/>
        </w:rPr>
      </w:pPr>
    </w:p>
    <w:p w14:paraId="167D04DD" w14:textId="043822B7" w:rsidR="000B5CEE" w:rsidRDefault="000B5CEE" w:rsidP="000B5CEE">
      <w:pPr>
        <w:pStyle w:val="ListParagraph"/>
        <w:numPr>
          <w:ilvl w:val="0"/>
          <w:numId w:val="10"/>
        </w:numPr>
        <w:rPr>
          <w:bCs/>
          <w:sz w:val="24"/>
          <w:szCs w:val="24"/>
        </w:rPr>
      </w:pPr>
      <w:r>
        <w:rPr>
          <w:bCs/>
          <w:sz w:val="24"/>
          <w:szCs w:val="24"/>
        </w:rPr>
        <w:t xml:space="preserve">identify and analyze </w:t>
      </w:r>
      <w:r w:rsidR="00BB5B74">
        <w:rPr>
          <w:bCs/>
          <w:sz w:val="24"/>
          <w:szCs w:val="24"/>
        </w:rPr>
        <w:t>written description and enablement</w:t>
      </w:r>
      <w:r>
        <w:rPr>
          <w:bCs/>
          <w:sz w:val="24"/>
          <w:szCs w:val="24"/>
        </w:rPr>
        <w:t xml:space="preserve"> issues relating to monoclonal antibodies; and </w:t>
      </w:r>
    </w:p>
    <w:p w14:paraId="69E9AFB9" w14:textId="77777777" w:rsidR="000B5CEE" w:rsidRPr="000B5CEE" w:rsidRDefault="000B5CEE" w:rsidP="000B5CEE">
      <w:pPr>
        <w:pStyle w:val="ListParagraph"/>
        <w:rPr>
          <w:bCs/>
          <w:sz w:val="24"/>
          <w:szCs w:val="24"/>
        </w:rPr>
      </w:pPr>
    </w:p>
    <w:p w14:paraId="0282AB13" w14:textId="08B8DAC5" w:rsidR="000B5CEE" w:rsidRDefault="000B5CEE" w:rsidP="000B5CEE">
      <w:pPr>
        <w:pStyle w:val="ListParagraph"/>
        <w:numPr>
          <w:ilvl w:val="0"/>
          <w:numId w:val="10"/>
        </w:numPr>
        <w:rPr>
          <w:bCs/>
          <w:sz w:val="24"/>
          <w:szCs w:val="24"/>
        </w:rPr>
      </w:pPr>
      <w:r>
        <w:rPr>
          <w:bCs/>
          <w:sz w:val="24"/>
          <w:szCs w:val="24"/>
        </w:rPr>
        <w:lastRenderedPageBreak/>
        <w:t>identify and analyze legal issues relating to CRISPR</w:t>
      </w:r>
    </w:p>
    <w:p w14:paraId="359FDA4A" w14:textId="77777777" w:rsidR="000828B0" w:rsidRPr="000828B0" w:rsidRDefault="000828B0" w:rsidP="000828B0">
      <w:pPr>
        <w:pStyle w:val="ListParagraph"/>
        <w:rPr>
          <w:bCs/>
          <w:sz w:val="24"/>
          <w:szCs w:val="24"/>
        </w:rPr>
      </w:pPr>
    </w:p>
    <w:p w14:paraId="47A9299A" w14:textId="77777777" w:rsidR="00F22BEB" w:rsidRDefault="00F22BEB" w:rsidP="000828B0">
      <w:pPr>
        <w:rPr>
          <w:b/>
          <w:sz w:val="24"/>
          <w:szCs w:val="24"/>
          <w:u w:val="single"/>
        </w:rPr>
      </w:pPr>
    </w:p>
    <w:p w14:paraId="0D74B49D" w14:textId="717F9CA4" w:rsidR="000828B0" w:rsidRPr="0008439B" w:rsidRDefault="000828B0" w:rsidP="000828B0">
      <w:pPr>
        <w:rPr>
          <w:sz w:val="24"/>
          <w:szCs w:val="24"/>
        </w:rPr>
      </w:pPr>
      <w:r w:rsidRPr="0008439B">
        <w:rPr>
          <w:b/>
          <w:sz w:val="24"/>
          <w:szCs w:val="24"/>
          <w:u w:val="single"/>
        </w:rPr>
        <w:t>REQUIRED TEXTS</w:t>
      </w:r>
    </w:p>
    <w:p w14:paraId="5141A09C" w14:textId="77777777" w:rsidR="000828B0" w:rsidRPr="0008439B" w:rsidRDefault="000828B0" w:rsidP="000828B0">
      <w:pPr>
        <w:rPr>
          <w:sz w:val="24"/>
          <w:szCs w:val="24"/>
        </w:rPr>
      </w:pPr>
    </w:p>
    <w:p w14:paraId="2A76F2A4" w14:textId="2710AF81" w:rsidR="000828B0" w:rsidRPr="000828B0" w:rsidRDefault="00F22BEB" w:rsidP="000828B0">
      <w:pPr>
        <w:rPr>
          <w:sz w:val="24"/>
          <w:szCs w:val="24"/>
        </w:rPr>
      </w:pPr>
      <w:r>
        <w:rPr>
          <w:sz w:val="24"/>
          <w:szCs w:val="24"/>
        </w:rPr>
        <w:t>No textbook is required. Required readings are online</w:t>
      </w:r>
      <w:r w:rsidR="009428B7">
        <w:rPr>
          <w:sz w:val="24"/>
          <w:szCs w:val="24"/>
        </w:rPr>
        <w:t xml:space="preserve"> or will be provided in pdf format on Canvas</w:t>
      </w:r>
      <w:r>
        <w:rPr>
          <w:sz w:val="24"/>
          <w:szCs w:val="24"/>
        </w:rPr>
        <w:t>.</w:t>
      </w:r>
    </w:p>
    <w:p w14:paraId="2BE59196" w14:textId="77777777" w:rsidR="00B416EE" w:rsidRPr="00B416EE" w:rsidRDefault="00B416EE" w:rsidP="00B416EE">
      <w:pPr>
        <w:rPr>
          <w:bCs/>
          <w:sz w:val="24"/>
          <w:szCs w:val="24"/>
        </w:rPr>
      </w:pPr>
    </w:p>
    <w:p w14:paraId="6F9C6CD6" w14:textId="641244C8" w:rsidR="0008439B" w:rsidRPr="0008439B" w:rsidRDefault="0008439B" w:rsidP="00B416EE">
      <w:pPr>
        <w:rPr>
          <w:b/>
          <w:sz w:val="24"/>
          <w:szCs w:val="24"/>
          <w:u w:val="single"/>
        </w:rPr>
      </w:pPr>
      <w:r w:rsidRPr="0008439B">
        <w:rPr>
          <w:b/>
          <w:sz w:val="24"/>
          <w:szCs w:val="24"/>
          <w:u w:val="single"/>
        </w:rPr>
        <w:t>CLASS PARTICIPATION</w:t>
      </w:r>
    </w:p>
    <w:p w14:paraId="5F084CAB" w14:textId="77777777" w:rsidR="0008439B" w:rsidRPr="0008439B" w:rsidRDefault="0008439B" w:rsidP="0008439B">
      <w:pPr>
        <w:rPr>
          <w:b/>
          <w:sz w:val="24"/>
          <w:szCs w:val="24"/>
          <w:u w:val="single"/>
        </w:rPr>
      </w:pPr>
    </w:p>
    <w:p w14:paraId="23CC217C" w14:textId="4ED7EDC2" w:rsidR="0008439B" w:rsidRPr="00E76C46" w:rsidRDefault="00A667F2" w:rsidP="0008439B">
      <w:pPr>
        <w:rPr>
          <w:sz w:val="24"/>
          <w:szCs w:val="24"/>
        </w:rPr>
      </w:pPr>
      <w:r>
        <w:rPr>
          <w:sz w:val="24"/>
          <w:szCs w:val="24"/>
        </w:rPr>
        <w:t>Thirty</w:t>
      </w:r>
      <w:r w:rsidR="00A22027">
        <w:rPr>
          <w:sz w:val="24"/>
          <w:szCs w:val="24"/>
        </w:rPr>
        <w:t xml:space="preserve"> </w:t>
      </w:r>
      <w:r w:rsidR="0008439B" w:rsidRPr="0008439B">
        <w:rPr>
          <w:sz w:val="24"/>
          <w:szCs w:val="24"/>
        </w:rPr>
        <w:t>percent (</w:t>
      </w:r>
      <w:r>
        <w:rPr>
          <w:sz w:val="24"/>
          <w:szCs w:val="24"/>
        </w:rPr>
        <w:t>30</w:t>
      </w:r>
      <w:r w:rsidR="0008439B" w:rsidRPr="0008439B">
        <w:rPr>
          <w:sz w:val="24"/>
          <w:szCs w:val="24"/>
        </w:rPr>
        <w:t xml:space="preserve">%) of your final grade will be based on your class participation.  Each day I expect that you will have read the assigned materials and that you will be prepared to discuss those materials. There will be several </w:t>
      </w:r>
      <w:r w:rsidR="005235EF">
        <w:rPr>
          <w:sz w:val="24"/>
          <w:szCs w:val="24"/>
        </w:rPr>
        <w:t>patent</w:t>
      </w:r>
      <w:r w:rsidR="0008439B">
        <w:rPr>
          <w:sz w:val="24"/>
          <w:szCs w:val="24"/>
        </w:rPr>
        <w:t xml:space="preserve"> activities that will be homework and then r</w:t>
      </w:r>
      <w:r w:rsidR="0008439B" w:rsidRPr="0008439B">
        <w:rPr>
          <w:sz w:val="24"/>
          <w:szCs w:val="24"/>
        </w:rPr>
        <w:t>e</w:t>
      </w:r>
      <w:r w:rsidR="0008439B">
        <w:rPr>
          <w:sz w:val="24"/>
          <w:szCs w:val="24"/>
        </w:rPr>
        <w:t>viewed</w:t>
      </w:r>
      <w:r w:rsidR="0008439B" w:rsidRPr="0008439B">
        <w:rPr>
          <w:sz w:val="24"/>
          <w:szCs w:val="24"/>
        </w:rPr>
        <w:t xml:space="preserve"> together.  The expectation is that you will be prepared to meaningfully participate in each of those </w:t>
      </w:r>
      <w:r w:rsidR="0008439B">
        <w:rPr>
          <w:sz w:val="24"/>
          <w:szCs w:val="24"/>
        </w:rPr>
        <w:t>activities</w:t>
      </w:r>
      <w:r w:rsidR="0008439B" w:rsidRPr="0008439B">
        <w:rPr>
          <w:sz w:val="24"/>
          <w:szCs w:val="24"/>
        </w:rPr>
        <w:t>.</w:t>
      </w:r>
    </w:p>
    <w:p w14:paraId="7124FAFA" w14:textId="77777777" w:rsidR="000828B0" w:rsidRDefault="000828B0" w:rsidP="0008439B">
      <w:pPr>
        <w:rPr>
          <w:b/>
          <w:sz w:val="24"/>
          <w:szCs w:val="24"/>
          <w:u w:val="single"/>
        </w:rPr>
      </w:pPr>
    </w:p>
    <w:p w14:paraId="6ACB44DF" w14:textId="569D71D6" w:rsidR="0008439B" w:rsidRPr="0008439B" w:rsidRDefault="0008439B" w:rsidP="0008439B">
      <w:pPr>
        <w:rPr>
          <w:b/>
          <w:sz w:val="24"/>
          <w:szCs w:val="24"/>
          <w:u w:val="single"/>
        </w:rPr>
      </w:pPr>
      <w:r w:rsidRPr="0008439B">
        <w:rPr>
          <w:b/>
          <w:sz w:val="24"/>
          <w:szCs w:val="24"/>
          <w:u w:val="single"/>
        </w:rPr>
        <w:t>COMMON COURTESY</w:t>
      </w:r>
    </w:p>
    <w:p w14:paraId="131E10FB" w14:textId="77777777" w:rsidR="0008439B" w:rsidRPr="0008439B" w:rsidRDefault="0008439B" w:rsidP="0008439B">
      <w:pPr>
        <w:rPr>
          <w:b/>
          <w:sz w:val="24"/>
          <w:szCs w:val="24"/>
          <w:u w:val="single"/>
        </w:rPr>
      </w:pPr>
    </w:p>
    <w:p w14:paraId="037E2B4E" w14:textId="77777777" w:rsidR="0008439B" w:rsidRPr="0008439B" w:rsidRDefault="0008439B" w:rsidP="0008439B">
      <w:pPr>
        <w:rPr>
          <w:sz w:val="24"/>
          <w:szCs w:val="24"/>
        </w:rPr>
      </w:pPr>
      <w:r w:rsidRPr="0008439B">
        <w:rPr>
          <w:sz w:val="24"/>
          <w:szCs w:val="24"/>
        </w:rPr>
        <w:t xml:space="preserve">Please do not arrive late to class, leave early, or leave to take a break during class absent extenuating circumstances.  Please turn off your cell phone during class.  I reserve the right to deduct points from your final grade if you engage in behavior that disrupts the learning environment for your classmates.  </w:t>
      </w:r>
    </w:p>
    <w:p w14:paraId="1A4FF2B4" w14:textId="77777777" w:rsidR="0008439B" w:rsidRPr="0008439B" w:rsidRDefault="0008439B" w:rsidP="0008439B">
      <w:pPr>
        <w:rPr>
          <w:sz w:val="24"/>
          <w:szCs w:val="24"/>
        </w:rPr>
      </w:pPr>
    </w:p>
    <w:p w14:paraId="081EB30B" w14:textId="77777777" w:rsidR="0008439B" w:rsidRPr="0008439B" w:rsidRDefault="0008439B" w:rsidP="0008439B">
      <w:pPr>
        <w:rPr>
          <w:b/>
          <w:sz w:val="24"/>
          <w:szCs w:val="24"/>
          <w:u w:val="single"/>
        </w:rPr>
      </w:pPr>
      <w:r w:rsidRPr="0008439B">
        <w:rPr>
          <w:b/>
          <w:sz w:val="24"/>
          <w:szCs w:val="24"/>
          <w:u w:val="single"/>
        </w:rPr>
        <w:t>CLASS ATTENDANCE POLICY</w:t>
      </w:r>
    </w:p>
    <w:p w14:paraId="1CC763B2" w14:textId="77777777" w:rsidR="0008439B" w:rsidRPr="0008439B" w:rsidRDefault="0008439B" w:rsidP="0008439B">
      <w:pPr>
        <w:rPr>
          <w:b/>
          <w:sz w:val="24"/>
          <w:szCs w:val="24"/>
          <w:u w:val="single"/>
        </w:rPr>
      </w:pPr>
    </w:p>
    <w:p w14:paraId="28486E12" w14:textId="4C7098E3" w:rsidR="0008439B" w:rsidRPr="0008439B" w:rsidRDefault="0008439B" w:rsidP="0008439B">
      <w:pPr>
        <w:rPr>
          <w:sz w:val="24"/>
          <w:szCs w:val="24"/>
        </w:rPr>
      </w:pPr>
      <w:r w:rsidRPr="0008439B">
        <w:rPr>
          <w:sz w:val="24"/>
          <w:szCs w:val="24"/>
        </w:rPr>
        <w:t xml:space="preserve">Attendance in class is required by both the ABA and the Law School.  I will pass around an attendance sheet at the beginning of each class period.  If you have a medical reason for missing class, you should contact me before or soon after class for your absence to be excused.  Students who miss class for religious holidays must contact me beforehand by email to be excused from class.  I will consider it a violation of the honor code if you have someone else sign you in and you are not present, and I reserve the right to lower your final grade.  </w:t>
      </w:r>
    </w:p>
    <w:p w14:paraId="7DB36A2C" w14:textId="77777777" w:rsidR="0008439B" w:rsidRPr="0008439B" w:rsidRDefault="0008439B" w:rsidP="0008439B">
      <w:pPr>
        <w:rPr>
          <w:sz w:val="24"/>
          <w:szCs w:val="24"/>
        </w:rPr>
      </w:pPr>
    </w:p>
    <w:p w14:paraId="66FD1EAE" w14:textId="77777777" w:rsidR="0008439B" w:rsidRPr="0008439B" w:rsidRDefault="0008439B" w:rsidP="0008439B">
      <w:pPr>
        <w:rPr>
          <w:b/>
          <w:sz w:val="24"/>
          <w:szCs w:val="24"/>
          <w:u w:val="single"/>
        </w:rPr>
      </w:pPr>
      <w:r w:rsidRPr="0008439B">
        <w:rPr>
          <w:b/>
          <w:sz w:val="24"/>
          <w:szCs w:val="24"/>
          <w:u w:val="single"/>
        </w:rPr>
        <w:t>EVALUATION</w:t>
      </w:r>
    </w:p>
    <w:p w14:paraId="178EED6D" w14:textId="77777777" w:rsidR="0008439B" w:rsidRPr="0008439B" w:rsidRDefault="0008439B" w:rsidP="0008439B">
      <w:pPr>
        <w:rPr>
          <w:b/>
          <w:sz w:val="24"/>
          <w:szCs w:val="24"/>
          <w:u w:val="single"/>
        </w:rPr>
      </w:pPr>
    </w:p>
    <w:p w14:paraId="61373DDF" w14:textId="262D89C6" w:rsidR="0008439B" w:rsidRPr="0008439B" w:rsidRDefault="00A667F2" w:rsidP="0008439B">
      <w:pPr>
        <w:rPr>
          <w:sz w:val="24"/>
          <w:szCs w:val="24"/>
          <w:u w:val="single"/>
        </w:rPr>
      </w:pPr>
      <w:r>
        <w:rPr>
          <w:sz w:val="24"/>
          <w:szCs w:val="24"/>
        </w:rPr>
        <w:t>Seventy percent</w:t>
      </w:r>
      <w:r w:rsidR="005235EF" w:rsidRPr="0008439B">
        <w:rPr>
          <w:sz w:val="24"/>
          <w:szCs w:val="24"/>
        </w:rPr>
        <w:t xml:space="preserve"> (</w:t>
      </w:r>
      <w:r w:rsidR="005235EF">
        <w:rPr>
          <w:sz w:val="24"/>
          <w:szCs w:val="24"/>
        </w:rPr>
        <w:t>7</w:t>
      </w:r>
      <w:r>
        <w:rPr>
          <w:sz w:val="24"/>
          <w:szCs w:val="24"/>
        </w:rPr>
        <w:t>0</w:t>
      </w:r>
      <w:r w:rsidR="005235EF" w:rsidRPr="0008439B">
        <w:rPr>
          <w:sz w:val="24"/>
          <w:szCs w:val="24"/>
        </w:rPr>
        <w:t xml:space="preserve">%) </w:t>
      </w:r>
      <w:r w:rsidR="0008439B" w:rsidRPr="0008439B">
        <w:rPr>
          <w:sz w:val="24"/>
          <w:szCs w:val="24"/>
        </w:rPr>
        <w:t xml:space="preserve">of your grade will be based on a final examination administered on </w:t>
      </w:r>
      <w:r w:rsidR="00BF4B1F">
        <w:rPr>
          <w:sz w:val="24"/>
          <w:szCs w:val="24"/>
        </w:rPr>
        <w:t>September 10, 2021</w:t>
      </w:r>
      <w:r w:rsidR="0008439B" w:rsidRPr="0008439B">
        <w:rPr>
          <w:sz w:val="24"/>
          <w:szCs w:val="24"/>
        </w:rPr>
        <w:t>.  During the exam you may use any notes or outlines that you have prepared or helped prepare</w:t>
      </w:r>
      <w:r w:rsidR="00BF4B1F">
        <w:rPr>
          <w:sz w:val="24"/>
          <w:szCs w:val="24"/>
        </w:rPr>
        <w:t xml:space="preserve"> (partial open book)</w:t>
      </w:r>
      <w:r w:rsidR="0008439B" w:rsidRPr="0008439B">
        <w:rPr>
          <w:sz w:val="24"/>
          <w:szCs w:val="24"/>
        </w:rPr>
        <w:t xml:space="preserve">, but you will not be permitted to use the Internet or any other materials.  </w:t>
      </w:r>
    </w:p>
    <w:p w14:paraId="1F4D7499" w14:textId="77777777" w:rsidR="0008439B" w:rsidRPr="0008439B" w:rsidRDefault="0008439B" w:rsidP="0008439B">
      <w:pPr>
        <w:rPr>
          <w:sz w:val="24"/>
          <w:szCs w:val="24"/>
          <w:u w:val="single"/>
        </w:rPr>
      </w:pPr>
    </w:p>
    <w:p w14:paraId="797ECA3A" w14:textId="77777777" w:rsidR="0008439B" w:rsidRPr="0008439B" w:rsidRDefault="0008439B" w:rsidP="0008439B">
      <w:pPr>
        <w:rPr>
          <w:b/>
          <w:sz w:val="24"/>
          <w:szCs w:val="24"/>
          <w:u w:val="single"/>
        </w:rPr>
      </w:pPr>
      <w:r w:rsidRPr="0008439B">
        <w:rPr>
          <w:b/>
          <w:sz w:val="24"/>
          <w:szCs w:val="24"/>
          <w:u w:val="single"/>
        </w:rPr>
        <w:t>INFORMATION ON UF LAW GRADING POLICIES</w:t>
      </w:r>
    </w:p>
    <w:p w14:paraId="1020F933" w14:textId="77777777" w:rsidR="0008439B" w:rsidRPr="0008439B" w:rsidRDefault="0008439B" w:rsidP="0008439B">
      <w:pPr>
        <w:rPr>
          <w:sz w:val="24"/>
          <w:szCs w:val="24"/>
          <w:u w:val="single"/>
        </w:rPr>
      </w:pPr>
    </w:p>
    <w:p w14:paraId="77AE0A96" w14:textId="3E9403BF" w:rsidR="0008439B" w:rsidRPr="00E871D0" w:rsidRDefault="0008439B" w:rsidP="0008439B">
      <w:pPr>
        <w:rPr>
          <w:sz w:val="24"/>
          <w:szCs w:val="24"/>
        </w:rPr>
      </w:pPr>
      <w:r w:rsidRPr="0008439B">
        <w:rPr>
          <w:sz w:val="24"/>
          <w:szCs w:val="24"/>
        </w:rPr>
        <w:t>The law school grading policy is a</w:t>
      </w:r>
      <w:r w:rsidRPr="00E871D0">
        <w:rPr>
          <w:sz w:val="24"/>
          <w:szCs w:val="24"/>
        </w:rPr>
        <w:t xml:space="preserve">vailable at: </w:t>
      </w:r>
      <w:hyperlink r:id="rId6" w:history="1">
        <w:r w:rsidR="00E871D0" w:rsidRPr="00E93C64">
          <w:rPr>
            <w:rStyle w:val="Hyperlink"/>
            <w:sz w:val="24"/>
            <w:szCs w:val="24"/>
          </w:rPr>
          <w:t>https://www.law.ufl.edu/life-at-uf-law/office-of-student-affairs/current-students/uf-law-student-handbook-and-academic-policies</w:t>
        </w:r>
      </w:hyperlink>
      <w:r w:rsidR="00E871D0">
        <w:rPr>
          <w:sz w:val="24"/>
          <w:szCs w:val="24"/>
        </w:rPr>
        <w:t xml:space="preserve">. </w:t>
      </w:r>
    </w:p>
    <w:p w14:paraId="02FC54D4" w14:textId="77777777" w:rsidR="00BF4B1F" w:rsidRPr="00E871D0" w:rsidRDefault="00BF4B1F" w:rsidP="0008439B">
      <w:pPr>
        <w:rPr>
          <w:b/>
          <w:bCs/>
          <w:sz w:val="24"/>
          <w:szCs w:val="24"/>
          <w:u w:val="single"/>
        </w:rPr>
      </w:pPr>
    </w:p>
    <w:p w14:paraId="61BA0D2B" w14:textId="77777777" w:rsidR="00BF4B1F" w:rsidRPr="00E871D0" w:rsidRDefault="00BF4B1F" w:rsidP="0008439B">
      <w:pPr>
        <w:rPr>
          <w:b/>
          <w:bCs/>
          <w:sz w:val="24"/>
          <w:szCs w:val="24"/>
          <w:u w:val="single"/>
        </w:rPr>
      </w:pPr>
    </w:p>
    <w:p w14:paraId="1B557D62" w14:textId="77777777" w:rsidR="00BF4B1F" w:rsidRDefault="00BF4B1F" w:rsidP="0008439B">
      <w:pPr>
        <w:rPr>
          <w:b/>
          <w:bCs/>
          <w:sz w:val="24"/>
          <w:szCs w:val="24"/>
          <w:u w:val="single"/>
        </w:rPr>
      </w:pPr>
    </w:p>
    <w:p w14:paraId="6AD90BC2" w14:textId="39981B20" w:rsidR="0008439B" w:rsidRPr="0008439B" w:rsidRDefault="0008439B" w:rsidP="0008439B">
      <w:pPr>
        <w:rPr>
          <w:b/>
          <w:bCs/>
          <w:sz w:val="24"/>
          <w:szCs w:val="24"/>
          <w:u w:val="single"/>
        </w:rPr>
      </w:pPr>
      <w:r w:rsidRPr="0008439B">
        <w:rPr>
          <w:b/>
          <w:bCs/>
          <w:sz w:val="24"/>
          <w:szCs w:val="24"/>
          <w:u w:val="single"/>
        </w:rPr>
        <w:lastRenderedPageBreak/>
        <w:t>ACADEMIC HONESTY</w:t>
      </w:r>
    </w:p>
    <w:p w14:paraId="23A507A4" w14:textId="77777777" w:rsidR="0008439B" w:rsidRPr="0008439B" w:rsidRDefault="0008439B" w:rsidP="0008439B">
      <w:pPr>
        <w:rPr>
          <w:b/>
          <w:bCs/>
          <w:sz w:val="24"/>
          <w:szCs w:val="24"/>
          <w:u w:val="single"/>
        </w:rPr>
      </w:pPr>
    </w:p>
    <w:p w14:paraId="0D22E34A" w14:textId="77777777" w:rsidR="0008439B" w:rsidRPr="0008439B" w:rsidRDefault="0008439B" w:rsidP="0008439B">
      <w:pPr>
        <w:rPr>
          <w:sz w:val="24"/>
          <w:szCs w:val="24"/>
        </w:rPr>
      </w:pPr>
      <w:r w:rsidRPr="0008439B">
        <w:rPr>
          <w:sz w:val="24"/>
          <w:szCs w:val="24"/>
        </w:rPr>
        <w:t xml:space="preserve">Academic honesty and integrity are fundamental values of the University community. Students should be sure that they understand the UF Student Honor Code at </w:t>
      </w:r>
      <w:hyperlink r:id="rId7" w:history="1">
        <w:r w:rsidRPr="0008439B">
          <w:rPr>
            <w:rStyle w:val="Hyperlink"/>
            <w:sz w:val="24"/>
            <w:szCs w:val="24"/>
          </w:rPr>
          <w:t>http</w:t>
        </w:r>
      </w:hyperlink>
      <w:hyperlink r:id="rId8" w:history="1">
        <w:r w:rsidRPr="0008439B">
          <w:rPr>
            <w:rStyle w:val="Hyperlink"/>
            <w:sz w:val="24"/>
            <w:szCs w:val="24"/>
          </w:rPr>
          <w:t>://</w:t>
        </w:r>
      </w:hyperlink>
      <w:hyperlink r:id="rId9" w:history="1">
        <w:r w:rsidRPr="0008439B">
          <w:rPr>
            <w:rStyle w:val="Hyperlink"/>
            <w:sz w:val="24"/>
            <w:szCs w:val="24"/>
          </w:rPr>
          <w:t>www</w:t>
        </w:r>
      </w:hyperlink>
      <w:hyperlink r:id="rId10" w:history="1">
        <w:r w:rsidRPr="0008439B">
          <w:rPr>
            <w:rStyle w:val="Hyperlink"/>
            <w:sz w:val="24"/>
            <w:szCs w:val="24"/>
          </w:rPr>
          <w:t>.</w:t>
        </w:r>
      </w:hyperlink>
      <w:hyperlink r:id="rId11" w:history="1">
        <w:r w:rsidRPr="0008439B">
          <w:rPr>
            <w:rStyle w:val="Hyperlink"/>
            <w:sz w:val="24"/>
            <w:szCs w:val="24"/>
          </w:rPr>
          <w:t>dso</w:t>
        </w:r>
      </w:hyperlink>
      <w:hyperlink r:id="rId12" w:history="1">
        <w:r w:rsidRPr="0008439B">
          <w:rPr>
            <w:rStyle w:val="Hyperlink"/>
            <w:sz w:val="24"/>
            <w:szCs w:val="24"/>
          </w:rPr>
          <w:t>.</w:t>
        </w:r>
      </w:hyperlink>
      <w:hyperlink r:id="rId13" w:history="1">
        <w:r w:rsidRPr="0008439B">
          <w:rPr>
            <w:rStyle w:val="Hyperlink"/>
            <w:sz w:val="24"/>
            <w:szCs w:val="24"/>
          </w:rPr>
          <w:t>ufl</w:t>
        </w:r>
      </w:hyperlink>
      <w:hyperlink r:id="rId14" w:history="1">
        <w:r w:rsidRPr="0008439B">
          <w:rPr>
            <w:rStyle w:val="Hyperlink"/>
            <w:sz w:val="24"/>
            <w:szCs w:val="24"/>
          </w:rPr>
          <w:t>.</w:t>
        </w:r>
      </w:hyperlink>
      <w:hyperlink r:id="rId15" w:history="1">
        <w:r w:rsidRPr="0008439B">
          <w:rPr>
            <w:rStyle w:val="Hyperlink"/>
            <w:sz w:val="24"/>
            <w:szCs w:val="24"/>
          </w:rPr>
          <w:t>edu</w:t>
        </w:r>
      </w:hyperlink>
      <w:hyperlink r:id="rId16" w:history="1">
        <w:r w:rsidRPr="0008439B">
          <w:rPr>
            <w:rStyle w:val="Hyperlink"/>
            <w:sz w:val="24"/>
            <w:szCs w:val="24"/>
          </w:rPr>
          <w:t>/</w:t>
        </w:r>
      </w:hyperlink>
      <w:hyperlink r:id="rId17" w:history="1">
        <w:r w:rsidRPr="0008439B">
          <w:rPr>
            <w:rStyle w:val="Hyperlink"/>
            <w:sz w:val="24"/>
            <w:szCs w:val="24"/>
          </w:rPr>
          <w:t>students</w:t>
        </w:r>
      </w:hyperlink>
      <w:hyperlink r:id="rId18" w:history="1">
        <w:r w:rsidRPr="0008439B">
          <w:rPr>
            <w:rStyle w:val="Hyperlink"/>
            <w:sz w:val="24"/>
            <w:szCs w:val="24"/>
          </w:rPr>
          <w:t>.</w:t>
        </w:r>
      </w:hyperlink>
      <w:hyperlink r:id="rId19" w:history="1">
        <w:r w:rsidRPr="0008439B">
          <w:rPr>
            <w:rStyle w:val="Hyperlink"/>
            <w:sz w:val="24"/>
            <w:szCs w:val="24"/>
          </w:rPr>
          <w:t>php</w:t>
        </w:r>
      </w:hyperlink>
      <w:r w:rsidRPr="0008439B">
        <w:rPr>
          <w:sz w:val="24"/>
          <w:szCs w:val="24"/>
        </w:rPr>
        <w:t>.</w:t>
      </w:r>
    </w:p>
    <w:p w14:paraId="0E765704" w14:textId="77777777" w:rsidR="0008439B" w:rsidRPr="0008439B" w:rsidRDefault="0008439B" w:rsidP="0008439B">
      <w:pPr>
        <w:rPr>
          <w:b/>
          <w:sz w:val="24"/>
          <w:szCs w:val="24"/>
          <w:u w:val="single"/>
        </w:rPr>
      </w:pPr>
    </w:p>
    <w:p w14:paraId="6CF4F2B7" w14:textId="77777777" w:rsidR="0008439B" w:rsidRPr="0008439B" w:rsidRDefault="0008439B" w:rsidP="00F22BEB">
      <w:pPr>
        <w:keepNext/>
        <w:rPr>
          <w:b/>
          <w:sz w:val="24"/>
          <w:szCs w:val="24"/>
          <w:u w:val="single"/>
        </w:rPr>
      </w:pPr>
      <w:r w:rsidRPr="0008439B">
        <w:rPr>
          <w:b/>
          <w:sz w:val="24"/>
          <w:szCs w:val="24"/>
          <w:u w:val="single"/>
        </w:rPr>
        <w:t xml:space="preserve">POLICY RELATED TO MAKE-UP EXAMS </w:t>
      </w:r>
    </w:p>
    <w:p w14:paraId="0C105483" w14:textId="77777777" w:rsidR="0008439B" w:rsidRPr="0008439B" w:rsidRDefault="0008439B" w:rsidP="00F22BEB">
      <w:pPr>
        <w:keepNext/>
        <w:rPr>
          <w:sz w:val="24"/>
          <w:szCs w:val="24"/>
          <w:u w:val="single"/>
        </w:rPr>
      </w:pPr>
    </w:p>
    <w:p w14:paraId="1712699E" w14:textId="4CC90CF5" w:rsidR="00E76C46" w:rsidRPr="00E76C46" w:rsidRDefault="0008439B" w:rsidP="00F22BEB">
      <w:pPr>
        <w:keepNext/>
        <w:rPr>
          <w:sz w:val="24"/>
          <w:szCs w:val="24"/>
        </w:rPr>
      </w:pPr>
      <w:r w:rsidRPr="0008439B">
        <w:rPr>
          <w:sz w:val="24"/>
          <w:szCs w:val="24"/>
        </w:rPr>
        <w:t xml:space="preserve">The law school policy on delay in taking exams can be found at: </w:t>
      </w:r>
      <w:hyperlink r:id="rId20" w:history="1">
        <w:r w:rsidRPr="0008439B">
          <w:rPr>
            <w:rStyle w:val="Hyperlink"/>
            <w:sz w:val="24"/>
            <w:szCs w:val="24"/>
          </w:rPr>
          <w:t>http://www.law.ufl.edu/student-affairs/current-students/forms-applications/exam-delays-accommodations-form</w:t>
        </w:r>
      </w:hyperlink>
    </w:p>
    <w:p w14:paraId="6C7E92F0" w14:textId="77777777" w:rsidR="00E76C46" w:rsidRDefault="00E76C46" w:rsidP="0008439B">
      <w:pPr>
        <w:rPr>
          <w:b/>
          <w:sz w:val="24"/>
          <w:szCs w:val="24"/>
          <w:u w:val="single"/>
        </w:rPr>
      </w:pPr>
    </w:p>
    <w:p w14:paraId="795C62EB" w14:textId="1A2A0574" w:rsidR="0008439B" w:rsidRPr="0008439B" w:rsidRDefault="0008439B" w:rsidP="0008439B">
      <w:pPr>
        <w:rPr>
          <w:b/>
          <w:sz w:val="24"/>
          <w:szCs w:val="24"/>
          <w:u w:val="single"/>
        </w:rPr>
      </w:pPr>
      <w:r w:rsidRPr="0008439B">
        <w:rPr>
          <w:b/>
          <w:sz w:val="24"/>
          <w:szCs w:val="24"/>
          <w:u w:val="single"/>
        </w:rPr>
        <w:t>STATEMENT RELATED TO ACCOMODATIONS FOR STUDENTS WITH DISABILITIES</w:t>
      </w:r>
    </w:p>
    <w:p w14:paraId="684BB759" w14:textId="77777777" w:rsidR="0008439B" w:rsidRPr="0008439B" w:rsidRDefault="0008439B" w:rsidP="0008439B">
      <w:pPr>
        <w:rPr>
          <w:b/>
          <w:sz w:val="24"/>
          <w:szCs w:val="24"/>
          <w:u w:val="single"/>
        </w:rPr>
      </w:pPr>
    </w:p>
    <w:p w14:paraId="2A80BA6F" w14:textId="1A842D11" w:rsidR="0008439B" w:rsidRDefault="0008439B" w:rsidP="0008439B">
      <w:pPr>
        <w:rPr>
          <w:sz w:val="24"/>
          <w:szCs w:val="24"/>
        </w:rPr>
      </w:pPr>
      <w:r w:rsidRPr="0008439B">
        <w:rPr>
          <w:sz w:val="24"/>
          <w:szCs w:val="24"/>
        </w:rPr>
        <w:t>Students requesting accommodation for disabilities must first register with the Disability Resource Center  (</w:t>
      </w:r>
      <w:hyperlink r:id="rId21" w:history="1">
        <w:r w:rsidRPr="0008439B">
          <w:rPr>
            <w:rStyle w:val="Hyperlink"/>
            <w:sz w:val="24"/>
            <w:szCs w:val="24"/>
          </w:rPr>
          <w:t>http</w:t>
        </w:r>
      </w:hyperlink>
      <w:hyperlink r:id="rId22" w:history="1">
        <w:r w:rsidRPr="0008439B">
          <w:rPr>
            <w:rStyle w:val="Hyperlink"/>
            <w:sz w:val="24"/>
            <w:szCs w:val="24"/>
          </w:rPr>
          <w:t>://</w:t>
        </w:r>
      </w:hyperlink>
      <w:hyperlink r:id="rId23" w:history="1">
        <w:r w:rsidRPr="0008439B">
          <w:rPr>
            <w:rStyle w:val="Hyperlink"/>
            <w:sz w:val="24"/>
            <w:szCs w:val="24"/>
          </w:rPr>
          <w:t>www</w:t>
        </w:r>
      </w:hyperlink>
      <w:hyperlink r:id="rId24" w:history="1">
        <w:r w:rsidRPr="0008439B">
          <w:rPr>
            <w:rStyle w:val="Hyperlink"/>
            <w:sz w:val="24"/>
            <w:szCs w:val="24"/>
          </w:rPr>
          <w:t>.</w:t>
        </w:r>
      </w:hyperlink>
      <w:hyperlink r:id="rId25" w:history="1">
        <w:r w:rsidRPr="0008439B">
          <w:rPr>
            <w:rStyle w:val="Hyperlink"/>
            <w:sz w:val="24"/>
            <w:szCs w:val="24"/>
          </w:rPr>
          <w:t>ds</w:t>
        </w:r>
      </w:hyperlink>
      <w:hyperlink r:id="rId26" w:history="1">
        <w:r w:rsidRPr="0008439B">
          <w:rPr>
            <w:rStyle w:val="Hyperlink"/>
            <w:sz w:val="24"/>
            <w:szCs w:val="24"/>
          </w:rPr>
          <w:t>o</w:t>
        </w:r>
      </w:hyperlink>
      <w:hyperlink r:id="rId27" w:history="1">
        <w:r w:rsidRPr="0008439B">
          <w:rPr>
            <w:rStyle w:val="Hyperlink"/>
            <w:sz w:val="24"/>
            <w:szCs w:val="24"/>
          </w:rPr>
          <w:t>.</w:t>
        </w:r>
      </w:hyperlink>
      <w:hyperlink r:id="rId28" w:history="1">
        <w:r w:rsidRPr="0008439B">
          <w:rPr>
            <w:rStyle w:val="Hyperlink"/>
            <w:sz w:val="24"/>
            <w:szCs w:val="24"/>
          </w:rPr>
          <w:t>ufl</w:t>
        </w:r>
      </w:hyperlink>
      <w:hyperlink r:id="rId29" w:history="1">
        <w:r w:rsidRPr="0008439B">
          <w:rPr>
            <w:rStyle w:val="Hyperlink"/>
            <w:sz w:val="24"/>
            <w:szCs w:val="24"/>
          </w:rPr>
          <w:t>.</w:t>
        </w:r>
      </w:hyperlink>
      <w:hyperlink r:id="rId30" w:history="1">
        <w:r w:rsidRPr="0008439B">
          <w:rPr>
            <w:rStyle w:val="Hyperlink"/>
            <w:sz w:val="24"/>
            <w:szCs w:val="24"/>
          </w:rPr>
          <w:t>edu</w:t>
        </w:r>
      </w:hyperlink>
      <w:hyperlink r:id="rId31" w:history="1">
        <w:r w:rsidRPr="0008439B">
          <w:rPr>
            <w:rStyle w:val="Hyperlink"/>
            <w:sz w:val="24"/>
            <w:szCs w:val="24"/>
          </w:rPr>
          <w:t>/</w:t>
        </w:r>
      </w:hyperlink>
      <w:hyperlink r:id="rId32" w:history="1">
        <w:r w:rsidRPr="0008439B">
          <w:rPr>
            <w:rStyle w:val="Hyperlink"/>
            <w:sz w:val="24"/>
            <w:szCs w:val="24"/>
          </w:rPr>
          <w:t>drc</w:t>
        </w:r>
      </w:hyperlink>
      <w:hyperlink r:id="rId33" w:history="1">
        <w:r w:rsidRPr="0008439B">
          <w:rPr>
            <w:rStyle w:val="Hyperlink"/>
            <w:sz w:val="24"/>
            <w:szCs w:val="24"/>
          </w:rPr>
          <w:t>/</w:t>
        </w:r>
      </w:hyperlink>
      <w:r w:rsidRPr="0008439B">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BC1AE28" w14:textId="77777777" w:rsidR="00E76C46" w:rsidRPr="0008439B" w:rsidRDefault="00E76C46" w:rsidP="0008439B">
      <w:pPr>
        <w:rPr>
          <w:sz w:val="24"/>
          <w:szCs w:val="24"/>
        </w:rPr>
      </w:pPr>
    </w:p>
    <w:p w14:paraId="7DFDF066" w14:textId="77777777" w:rsidR="0008439B" w:rsidRPr="0008439B" w:rsidRDefault="0008439B" w:rsidP="0008439B">
      <w:pPr>
        <w:rPr>
          <w:b/>
          <w:bCs/>
          <w:sz w:val="24"/>
          <w:szCs w:val="24"/>
          <w:u w:val="single"/>
        </w:rPr>
      </w:pPr>
      <w:r w:rsidRPr="0008439B">
        <w:rPr>
          <w:b/>
          <w:bCs/>
          <w:sz w:val="24"/>
          <w:szCs w:val="24"/>
          <w:u w:val="single"/>
        </w:rPr>
        <w:t>COURSE WORKLOAD AND CLASS PREPARATION</w:t>
      </w:r>
    </w:p>
    <w:p w14:paraId="11FC8373" w14:textId="77777777" w:rsidR="0008439B" w:rsidRPr="0008439B" w:rsidRDefault="0008439B" w:rsidP="0008439B">
      <w:pPr>
        <w:rPr>
          <w:b/>
          <w:bCs/>
          <w:sz w:val="24"/>
          <w:szCs w:val="24"/>
          <w:u w:val="single"/>
        </w:rPr>
      </w:pPr>
    </w:p>
    <w:p w14:paraId="298C8A77" w14:textId="1D158D94" w:rsidR="00574D60" w:rsidRDefault="000828B0" w:rsidP="0008439B">
      <w:pPr>
        <w:rPr>
          <w:sz w:val="24"/>
          <w:szCs w:val="24"/>
        </w:rPr>
      </w:pPr>
      <w:r w:rsidRPr="000828B0">
        <w:rPr>
          <w:sz w:val="24"/>
          <w:szCs w:val="24"/>
        </w:rPr>
        <w:t xml:space="preserve">Students should expect to spend at least two hours outside of class reading and preparing for every hour of class.  </w:t>
      </w:r>
    </w:p>
    <w:p w14:paraId="5EE52ACD" w14:textId="18A7D19E" w:rsidR="00BB5B74" w:rsidRDefault="00BB5B74" w:rsidP="0008439B">
      <w:pPr>
        <w:rPr>
          <w:sz w:val="24"/>
          <w:szCs w:val="24"/>
        </w:rPr>
      </w:pPr>
    </w:p>
    <w:p w14:paraId="79215763" w14:textId="057CFB15" w:rsidR="00BB5B74" w:rsidRPr="00BB5B74" w:rsidRDefault="00BB5B74" w:rsidP="0008439B">
      <w:pPr>
        <w:rPr>
          <w:b/>
          <w:bCs/>
          <w:sz w:val="24"/>
          <w:szCs w:val="24"/>
          <w:u w:val="single"/>
        </w:rPr>
      </w:pPr>
      <w:r w:rsidRPr="00BB5B74">
        <w:rPr>
          <w:b/>
          <w:bCs/>
          <w:sz w:val="24"/>
          <w:szCs w:val="24"/>
          <w:u w:val="single"/>
        </w:rPr>
        <w:t>STATEMENT RELATED TO IN-CLASS RECORDINGS</w:t>
      </w:r>
    </w:p>
    <w:p w14:paraId="679E68AC" w14:textId="205D5EB9" w:rsidR="00BB5B74" w:rsidRDefault="00BB5B74" w:rsidP="00BB5B74">
      <w:pPr>
        <w:pStyle w:val="ListParagraph"/>
        <w:tabs>
          <w:tab w:val="left" w:pos="0"/>
        </w:tabs>
        <w:ind w:left="0"/>
        <w:rPr>
          <w:sz w:val="24"/>
          <w:szCs w:val="24"/>
        </w:rPr>
      </w:pPr>
      <w:r>
        <w:rPr>
          <w:sz w:val="24"/>
          <w:szCs w:val="24"/>
        </w:rPr>
        <w:t xml:space="preserve">Students </w:t>
      </w:r>
      <w:proofErr w:type="gramStart"/>
      <w:r>
        <w:rPr>
          <w:sz w:val="24"/>
          <w:szCs w:val="24"/>
        </w:rPr>
        <w:t>are allowed to</w:t>
      </w:r>
      <w:proofErr w:type="gramEnd"/>
      <w:r>
        <w:rPr>
          <w:sz w:val="24"/>
          <w:szCs w:val="24"/>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3AFEBAC" w14:textId="77777777" w:rsidR="00BB5B74" w:rsidRDefault="00BB5B74" w:rsidP="00BB5B74">
      <w:pPr>
        <w:pStyle w:val="ListParagraph"/>
        <w:tabs>
          <w:tab w:val="left" w:pos="0"/>
        </w:tabs>
        <w:ind w:left="0"/>
        <w:rPr>
          <w:sz w:val="24"/>
          <w:szCs w:val="24"/>
        </w:rPr>
      </w:pPr>
    </w:p>
    <w:p w14:paraId="43227DC1" w14:textId="2EF0ED0B" w:rsidR="00BB5B74" w:rsidRDefault="00BB5B74" w:rsidP="00BB5B74">
      <w:pPr>
        <w:tabs>
          <w:tab w:val="left" w:pos="0"/>
        </w:tabs>
        <w:rPr>
          <w:sz w:val="24"/>
          <w:szCs w:val="24"/>
        </w:rPr>
      </w:pPr>
      <w:r>
        <w:rPr>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BC28461" w14:textId="77777777" w:rsidR="00BB5B74" w:rsidRDefault="00BB5B74" w:rsidP="00BB5B74">
      <w:pPr>
        <w:tabs>
          <w:tab w:val="left" w:pos="0"/>
        </w:tabs>
        <w:rPr>
          <w:sz w:val="24"/>
          <w:szCs w:val="24"/>
        </w:rPr>
      </w:pPr>
    </w:p>
    <w:p w14:paraId="1D3F24D7" w14:textId="39079ED2" w:rsidR="00BB5B74" w:rsidRDefault="00BB5B74" w:rsidP="00BB5B74">
      <w:pPr>
        <w:tabs>
          <w:tab w:val="left" w:pos="0"/>
        </w:tabs>
        <w:rPr>
          <w:sz w:val="24"/>
          <w:szCs w:val="24"/>
        </w:rPr>
      </w:pPr>
      <w:r>
        <w:rPr>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w:t>
      </w:r>
      <w:r>
        <w:rPr>
          <w:sz w:val="24"/>
          <w:szCs w:val="24"/>
        </w:rPr>
        <w:lastRenderedPageBreak/>
        <w:t>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6B9124C" w14:textId="5C3B1344" w:rsidR="00BB5B74" w:rsidRDefault="00BB5B74" w:rsidP="0008439B">
      <w:pPr>
        <w:rPr>
          <w:sz w:val="24"/>
          <w:szCs w:val="24"/>
        </w:rPr>
      </w:pPr>
    </w:p>
    <w:p w14:paraId="615EF763" w14:textId="2CB004EE" w:rsidR="00E871D0" w:rsidRDefault="00E871D0" w:rsidP="0008439B">
      <w:pPr>
        <w:rPr>
          <w:b/>
          <w:bCs/>
          <w:sz w:val="24"/>
          <w:szCs w:val="24"/>
          <w:u w:val="single"/>
        </w:rPr>
      </w:pPr>
      <w:r>
        <w:rPr>
          <w:b/>
          <w:bCs/>
          <w:sz w:val="24"/>
          <w:szCs w:val="24"/>
          <w:u w:val="single"/>
        </w:rPr>
        <w:t>COURSE EVALUATION</w:t>
      </w:r>
    </w:p>
    <w:p w14:paraId="77B9EE8E" w14:textId="0D8182BF" w:rsidR="00E871D0" w:rsidRDefault="00E871D0" w:rsidP="0008439B">
      <w:pPr>
        <w:rPr>
          <w:sz w:val="24"/>
          <w:szCs w:val="24"/>
        </w:rPr>
      </w:pPr>
    </w:p>
    <w:p w14:paraId="3C81A298" w14:textId="35CC3819" w:rsidR="00E871D0" w:rsidRPr="00E871D0" w:rsidRDefault="00E871D0" w:rsidP="0008439B">
      <w:pPr>
        <w:rPr>
          <w:sz w:val="24"/>
          <w:szCs w:val="24"/>
        </w:rPr>
      </w:pPr>
      <w:r w:rsidRPr="00E871D0">
        <w:rPr>
          <w:sz w:val="24"/>
          <w:szCs w:val="24"/>
        </w:rPr>
        <w:t xml:space="preserve">Students are expected to provide professional and respectful feedback on the quality of instruction in this course by completing course evaluations online via </w:t>
      </w:r>
      <w:proofErr w:type="spellStart"/>
      <w:r w:rsidRPr="00E871D0">
        <w:rPr>
          <w:sz w:val="24"/>
          <w:szCs w:val="24"/>
        </w:rPr>
        <w:t>GatorEvals</w:t>
      </w:r>
      <w:proofErr w:type="spellEnd"/>
      <w:r w:rsidRPr="00E871D0">
        <w:rPr>
          <w:sz w:val="24"/>
          <w:szCs w:val="24"/>
        </w:rPr>
        <w:t xml:space="preserve">. Click here for guidance on how to give feedback in a professional and respectful manner. Students will be notified when the evaluation period opens and may complete evaluations through the </w:t>
      </w:r>
      <w:proofErr w:type="gramStart"/>
      <w:r w:rsidRPr="00E871D0">
        <w:rPr>
          <w:sz w:val="24"/>
          <w:szCs w:val="24"/>
        </w:rPr>
        <w:t>email</w:t>
      </w:r>
      <w:proofErr w:type="gramEnd"/>
      <w:r w:rsidRPr="00E871D0">
        <w:rPr>
          <w:sz w:val="24"/>
          <w:szCs w:val="24"/>
        </w:rPr>
        <w:t xml:space="preserve"> they receive from </w:t>
      </w:r>
      <w:proofErr w:type="spellStart"/>
      <w:r w:rsidRPr="00E871D0">
        <w:rPr>
          <w:sz w:val="24"/>
          <w:szCs w:val="24"/>
        </w:rPr>
        <w:t>GatorEvals</w:t>
      </w:r>
      <w:proofErr w:type="spellEnd"/>
      <w:r w:rsidRPr="00E871D0">
        <w:rPr>
          <w:sz w:val="24"/>
          <w:szCs w:val="24"/>
        </w:rPr>
        <w:t xml:space="preserve">, in their Canvas course menu under </w:t>
      </w:r>
      <w:proofErr w:type="spellStart"/>
      <w:r w:rsidRPr="00E871D0">
        <w:rPr>
          <w:sz w:val="24"/>
          <w:szCs w:val="24"/>
        </w:rPr>
        <w:t>GatorEvals</w:t>
      </w:r>
      <w:proofErr w:type="spellEnd"/>
      <w:r w:rsidRPr="00E871D0">
        <w:rPr>
          <w:sz w:val="24"/>
          <w:szCs w:val="24"/>
        </w:rPr>
        <w:t xml:space="preserve">, or via </w:t>
      </w:r>
      <w:hyperlink r:id="rId34" w:history="1">
        <w:r w:rsidRPr="00E93C64">
          <w:rPr>
            <w:rStyle w:val="Hyperlink"/>
            <w:sz w:val="24"/>
            <w:szCs w:val="24"/>
          </w:rPr>
          <w:t>https://ufl.bluera.com/ufl/</w:t>
        </w:r>
      </w:hyperlink>
      <w:r w:rsidRPr="00E871D0">
        <w:rPr>
          <w:sz w:val="24"/>
          <w:szCs w:val="24"/>
        </w:rPr>
        <w:t xml:space="preserve">. Summaries of course evaluation results are available to students </w:t>
      </w:r>
      <w:hyperlink r:id="rId35" w:history="1">
        <w:r w:rsidRPr="00E871D0">
          <w:rPr>
            <w:rStyle w:val="Hyperlink"/>
            <w:sz w:val="24"/>
            <w:szCs w:val="24"/>
          </w:rPr>
          <w:t>here</w:t>
        </w:r>
      </w:hyperlink>
      <w:r w:rsidRPr="00E871D0">
        <w:rPr>
          <w:sz w:val="24"/>
          <w:szCs w:val="24"/>
        </w:rPr>
        <w:t>.</w:t>
      </w:r>
    </w:p>
    <w:p w14:paraId="6E98E6AC" w14:textId="77777777" w:rsidR="000828B0" w:rsidRDefault="000828B0" w:rsidP="0008439B">
      <w:pPr>
        <w:rPr>
          <w:b/>
          <w:sz w:val="24"/>
          <w:szCs w:val="24"/>
          <w:u w:val="single"/>
        </w:rPr>
      </w:pPr>
    </w:p>
    <w:p w14:paraId="4BDDCEAA" w14:textId="49C9095A" w:rsidR="0092763E" w:rsidRPr="0092763E" w:rsidRDefault="0092763E" w:rsidP="0092763E">
      <w:pPr>
        <w:rPr>
          <w:b/>
          <w:sz w:val="24"/>
          <w:szCs w:val="24"/>
          <w:u w:val="single"/>
        </w:rPr>
      </w:pPr>
      <w:r w:rsidRPr="0092763E">
        <w:rPr>
          <w:b/>
          <w:sz w:val="24"/>
          <w:szCs w:val="24"/>
          <w:u w:val="single"/>
        </w:rPr>
        <w:t xml:space="preserve">TOPICAL OUTLINE OF SUBJECTS TO BE COVERED </w:t>
      </w:r>
    </w:p>
    <w:p w14:paraId="174E3B22" w14:textId="77777777" w:rsidR="0092763E" w:rsidRPr="0092763E" w:rsidRDefault="0092763E" w:rsidP="0092763E">
      <w:pPr>
        <w:rPr>
          <w:sz w:val="24"/>
          <w:szCs w:val="24"/>
        </w:rPr>
      </w:pPr>
    </w:p>
    <w:p w14:paraId="540FE309" w14:textId="2EC2CCB9" w:rsidR="0092763E" w:rsidRPr="0092763E" w:rsidRDefault="0092763E" w:rsidP="0092763E">
      <w:pPr>
        <w:rPr>
          <w:sz w:val="24"/>
          <w:szCs w:val="24"/>
        </w:rPr>
      </w:pPr>
      <w:r w:rsidRPr="0092763E">
        <w:rPr>
          <w:sz w:val="24"/>
          <w:szCs w:val="24"/>
        </w:rPr>
        <w:t xml:space="preserve">The </w:t>
      </w:r>
      <w:r>
        <w:rPr>
          <w:sz w:val="24"/>
          <w:szCs w:val="24"/>
        </w:rPr>
        <w:t>outline</w:t>
      </w:r>
      <w:r w:rsidRPr="0092763E">
        <w:rPr>
          <w:sz w:val="24"/>
          <w:szCs w:val="24"/>
        </w:rPr>
        <w:t xml:space="preserve"> below generally represent</w:t>
      </w:r>
      <w:r>
        <w:rPr>
          <w:sz w:val="24"/>
          <w:szCs w:val="24"/>
        </w:rPr>
        <w:t>s</w:t>
      </w:r>
      <w:r w:rsidRPr="0092763E">
        <w:rPr>
          <w:sz w:val="24"/>
          <w:szCs w:val="24"/>
        </w:rPr>
        <w:t xml:space="preserve"> what I will attempt to cover during class period</w:t>
      </w:r>
      <w:r>
        <w:rPr>
          <w:sz w:val="24"/>
          <w:szCs w:val="24"/>
        </w:rPr>
        <w:t>s</w:t>
      </w:r>
      <w:r w:rsidR="00511D56">
        <w:rPr>
          <w:sz w:val="24"/>
          <w:szCs w:val="24"/>
        </w:rPr>
        <w:t xml:space="preserve">. There will be four blocks of subjects specific to </w:t>
      </w:r>
      <w:proofErr w:type="gramStart"/>
      <w:r w:rsidR="00511D56">
        <w:rPr>
          <w:sz w:val="24"/>
          <w:szCs w:val="24"/>
        </w:rPr>
        <w:t>biotechnology—1</w:t>
      </w:r>
      <w:proofErr w:type="gramEnd"/>
      <w:r w:rsidR="00511D56">
        <w:rPr>
          <w:sz w:val="24"/>
          <w:szCs w:val="24"/>
        </w:rPr>
        <w:t xml:space="preserve">) patent subject matter eligibility; 2) differences in US and OUS patenting; 3) monoclonal antibodies; and 4) CRISPR. </w:t>
      </w:r>
      <w:r w:rsidRPr="0092763E">
        <w:rPr>
          <w:sz w:val="24"/>
          <w:szCs w:val="24"/>
        </w:rPr>
        <w:t>We may move faster or slower depending on how the classes progress</w:t>
      </w:r>
      <w:r w:rsidR="00AD1AD1">
        <w:rPr>
          <w:sz w:val="24"/>
          <w:szCs w:val="24"/>
        </w:rPr>
        <w:t xml:space="preserve"> and </w:t>
      </w:r>
      <w:r w:rsidR="005756C0">
        <w:rPr>
          <w:sz w:val="24"/>
          <w:szCs w:val="24"/>
        </w:rPr>
        <w:t xml:space="preserve">resulting </w:t>
      </w:r>
      <w:r w:rsidR="00AD1AD1">
        <w:rPr>
          <w:sz w:val="24"/>
          <w:szCs w:val="24"/>
        </w:rPr>
        <w:t>discussion</w:t>
      </w:r>
      <w:r w:rsidR="005756C0">
        <w:rPr>
          <w:sz w:val="24"/>
          <w:szCs w:val="24"/>
        </w:rPr>
        <w:t>s, especially</w:t>
      </w:r>
      <w:r w:rsidR="00AD1AD1">
        <w:rPr>
          <w:sz w:val="24"/>
          <w:szCs w:val="24"/>
        </w:rPr>
        <w:t xml:space="preserve"> with our guest speakers</w:t>
      </w:r>
      <w:r w:rsidRPr="0092763E">
        <w:rPr>
          <w:sz w:val="24"/>
          <w:szCs w:val="24"/>
        </w:rPr>
        <w:t>.  At some point after the end of each class, I will inform you of the reading I will attempt to cover during the next class.</w:t>
      </w:r>
      <w:r w:rsidR="00AD1AD1">
        <w:rPr>
          <w:sz w:val="24"/>
          <w:szCs w:val="24"/>
        </w:rPr>
        <w:t xml:space="preserve"> The readings below are the tentative readings and can be subject to change due to time constraints and/or new opinions. </w:t>
      </w:r>
      <w:r w:rsidRPr="0092763E">
        <w:rPr>
          <w:sz w:val="24"/>
          <w:szCs w:val="24"/>
        </w:rPr>
        <w:t xml:space="preserve">Nevertheless, you can anticipate what the next class period’s reading assignment will be from the </w:t>
      </w:r>
      <w:r w:rsidR="005756C0">
        <w:rPr>
          <w:sz w:val="24"/>
          <w:szCs w:val="24"/>
        </w:rPr>
        <w:t>outline</w:t>
      </w:r>
      <w:r w:rsidRPr="0092763E">
        <w:rPr>
          <w:sz w:val="24"/>
          <w:szCs w:val="24"/>
        </w:rPr>
        <w:t xml:space="preserve"> </w:t>
      </w:r>
      <w:r w:rsidR="005756C0">
        <w:rPr>
          <w:sz w:val="24"/>
          <w:szCs w:val="24"/>
        </w:rPr>
        <w:t>below</w:t>
      </w:r>
      <w:r w:rsidRPr="0092763E">
        <w:rPr>
          <w:sz w:val="24"/>
          <w:szCs w:val="24"/>
        </w:rPr>
        <w:t xml:space="preserve"> if you wish to read ahead.  </w:t>
      </w:r>
    </w:p>
    <w:p w14:paraId="6E8B7500" w14:textId="368A47E1" w:rsidR="0092763E" w:rsidRDefault="001F7680" w:rsidP="0008439B">
      <w:pPr>
        <w:rPr>
          <w:b/>
          <w:sz w:val="24"/>
          <w:szCs w:val="24"/>
          <w:u w:val="single"/>
        </w:rPr>
      </w:pPr>
      <w:r>
        <w:rPr>
          <w:b/>
          <w:sz w:val="24"/>
          <w:szCs w:val="24"/>
          <w:u w:val="single"/>
        </w:rPr>
        <w:t xml:space="preserve"> </w:t>
      </w:r>
    </w:p>
    <w:p w14:paraId="504EF4A5" w14:textId="77777777" w:rsidR="00CB75CD" w:rsidRDefault="0092763E" w:rsidP="004009CD">
      <w:pPr>
        <w:pStyle w:val="ListParagraph"/>
        <w:numPr>
          <w:ilvl w:val="0"/>
          <w:numId w:val="6"/>
        </w:numPr>
        <w:rPr>
          <w:b/>
          <w:bCs/>
          <w:sz w:val="24"/>
          <w:szCs w:val="24"/>
        </w:rPr>
      </w:pPr>
      <w:r w:rsidRPr="008334A7">
        <w:rPr>
          <w:b/>
          <w:bCs/>
          <w:sz w:val="24"/>
          <w:szCs w:val="24"/>
        </w:rPr>
        <w:t>Patent</w:t>
      </w:r>
      <w:r w:rsidR="00CB75CD">
        <w:rPr>
          <w:b/>
          <w:bCs/>
          <w:sz w:val="24"/>
          <w:szCs w:val="24"/>
        </w:rPr>
        <w:t>s</w:t>
      </w:r>
    </w:p>
    <w:p w14:paraId="5F3C30CE" w14:textId="713F160A" w:rsidR="0092763E" w:rsidRPr="00247C96" w:rsidRDefault="00CB75CD" w:rsidP="004009CD">
      <w:pPr>
        <w:ind w:firstLine="720"/>
        <w:rPr>
          <w:sz w:val="24"/>
          <w:szCs w:val="24"/>
        </w:rPr>
      </w:pPr>
      <w:r w:rsidRPr="00247C96">
        <w:rPr>
          <w:sz w:val="24"/>
          <w:szCs w:val="24"/>
        </w:rPr>
        <w:t>Review Lecture</w:t>
      </w:r>
      <w:r w:rsidR="0092763E" w:rsidRPr="00247C96">
        <w:rPr>
          <w:sz w:val="24"/>
          <w:szCs w:val="24"/>
        </w:rPr>
        <w:t xml:space="preserve"> </w:t>
      </w:r>
    </w:p>
    <w:p w14:paraId="1542E284" w14:textId="77777777" w:rsidR="00CB75CD" w:rsidRPr="00CB75CD" w:rsidRDefault="00CB75CD" w:rsidP="004009CD">
      <w:pPr>
        <w:rPr>
          <w:color w:val="000000" w:themeColor="text1"/>
          <w:sz w:val="24"/>
          <w:szCs w:val="24"/>
        </w:rPr>
      </w:pPr>
    </w:p>
    <w:p w14:paraId="7CAB6AC9" w14:textId="7791A2EA" w:rsidR="0092763E" w:rsidRPr="008334A7" w:rsidRDefault="005834A6" w:rsidP="004009CD">
      <w:pPr>
        <w:pStyle w:val="ListParagraph"/>
        <w:numPr>
          <w:ilvl w:val="0"/>
          <w:numId w:val="6"/>
        </w:numPr>
        <w:rPr>
          <w:b/>
          <w:bCs/>
          <w:sz w:val="24"/>
          <w:szCs w:val="24"/>
        </w:rPr>
      </w:pPr>
      <w:r>
        <w:rPr>
          <w:b/>
          <w:bCs/>
          <w:sz w:val="24"/>
          <w:szCs w:val="24"/>
        </w:rPr>
        <w:t>Biotechnology</w:t>
      </w:r>
      <w:r w:rsidR="0092763E" w:rsidRPr="008334A7">
        <w:rPr>
          <w:b/>
          <w:bCs/>
          <w:sz w:val="24"/>
          <w:szCs w:val="24"/>
        </w:rPr>
        <w:t xml:space="preserve"> </w:t>
      </w:r>
      <w:r w:rsidR="008D3593">
        <w:rPr>
          <w:b/>
          <w:bCs/>
          <w:sz w:val="24"/>
          <w:szCs w:val="24"/>
        </w:rPr>
        <w:t>as an Industry</w:t>
      </w:r>
    </w:p>
    <w:p w14:paraId="190D7596" w14:textId="34538080" w:rsidR="008D3593" w:rsidRDefault="002B0B52" w:rsidP="008D3593">
      <w:pPr>
        <w:pStyle w:val="ListParagraph"/>
        <w:numPr>
          <w:ilvl w:val="1"/>
          <w:numId w:val="6"/>
        </w:numPr>
        <w:rPr>
          <w:sz w:val="24"/>
          <w:szCs w:val="24"/>
        </w:rPr>
      </w:pPr>
      <w:r>
        <w:rPr>
          <w:sz w:val="24"/>
          <w:szCs w:val="24"/>
        </w:rPr>
        <w:t>Background reading on w</w:t>
      </w:r>
      <w:r w:rsidR="000975BE">
        <w:rPr>
          <w:sz w:val="24"/>
          <w:szCs w:val="24"/>
        </w:rPr>
        <w:t xml:space="preserve">hat is </w:t>
      </w:r>
      <w:proofErr w:type="gramStart"/>
      <w:r w:rsidR="000975BE">
        <w:rPr>
          <w:sz w:val="24"/>
          <w:szCs w:val="24"/>
        </w:rPr>
        <w:t>biotech</w:t>
      </w:r>
      <w:r w:rsidR="00C366B1">
        <w:rPr>
          <w:sz w:val="24"/>
          <w:szCs w:val="24"/>
        </w:rPr>
        <w:t>?</w:t>
      </w:r>
      <w:proofErr w:type="gramEnd"/>
    </w:p>
    <w:p w14:paraId="08096334" w14:textId="178F2C4D" w:rsidR="00BA02B5" w:rsidRPr="00BA02B5" w:rsidRDefault="00C366B1" w:rsidP="00BA02B5">
      <w:pPr>
        <w:pStyle w:val="ListParagraph"/>
        <w:ind w:left="1080"/>
        <w:rPr>
          <w:color w:val="333333"/>
          <w:spacing w:val="4"/>
          <w:sz w:val="24"/>
          <w:szCs w:val="24"/>
          <w:shd w:val="clear" w:color="auto" w:fill="FCFCFC"/>
        </w:rPr>
      </w:pPr>
      <w:r>
        <w:rPr>
          <w:color w:val="333333"/>
          <w:spacing w:val="4"/>
          <w:sz w:val="24"/>
          <w:szCs w:val="24"/>
          <w:shd w:val="clear" w:color="auto" w:fill="FCFCFC"/>
        </w:rPr>
        <w:t>Varsha Gupta</w:t>
      </w:r>
      <w:r w:rsidR="00BA02B5" w:rsidRPr="00BA02B5">
        <w:rPr>
          <w:color w:val="333333"/>
          <w:spacing w:val="4"/>
          <w:sz w:val="24"/>
          <w:szCs w:val="24"/>
          <w:shd w:val="clear" w:color="auto" w:fill="FCFCFC"/>
        </w:rPr>
        <w:t xml:space="preserve">, </w:t>
      </w:r>
      <w:proofErr w:type="spellStart"/>
      <w:r>
        <w:rPr>
          <w:color w:val="333333"/>
          <w:spacing w:val="4"/>
          <w:sz w:val="24"/>
          <w:szCs w:val="24"/>
          <w:shd w:val="clear" w:color="auto" w:fill="FCFCFC"/>
        </w:rPr>
        <w:t>Manjistha</w:t>
      </w:r>
      <w:proofErr w:type="spellEnd"/>
      <w:r>
        <w:rPr>
          <w:color w:val="333333"/>
          <w:spacing w:val="4"/>
          <w:sz w:val="24"/>
          <w:szCs w:val="24"/>
          <w:shd w:val="clear" w:color="auto" w:fill="FCFCFC"/>
        </w:rPr>
        <w:t xml:space="preserve"> </w:t>
      </w:r>
      <w:r w:rsidR="00BA02B5" w:rsidRPr="00BA02B5">
        <w:rPr>
          <w:color w:val="333333"/>
          <w:spacing w:val="4"/>
          <w:sz w:val="24"/>
          <w:szCs w:val="24"/>
          <w:shd w:val="clear" w:color="auto" w:fill="FCFCFC"/>
        </w:rPr>
        <w:t>Sengup</w:t>
      </w:r>
      <w:r>
        <w:rPr>
          <w:color w:val="333333"/>
          <w:spacing w:val="4"/>
          <w:sz w:val="24"/>
          <w:szCs w:val="24"/>
          <w:shd w:val="clear" w:color="auto" w:fill="FCFCFC"/>
        </w:rPr>
        <w:t>ta</w:t>
      </w:r>
      <w:r w:rsidR="00BA02B5" w:rsidRPr="00BA02B5">
        <w:rPr>
          <w:color w:val="333333"/>
          <w:spacing w:val="4"/>
          <w:sz w:val="24"/>
          <w:szCs w:val="24"/>
          <w:shd w:val="clear" w:color="auto" w:fill="FCFCFC"/>
        </w:rPr>
        <w:t xml:space="preserve">, </w:t>
      </w:r>
      <w:r>
        <w:rPr>
          <w:color w:val="333333"/>
          <w:spacing w:val="4"/>
          <w:sz w:val="24"/>
          <w:szCs w:val="24"/>
          <w:shd w:val="clear" w:color="auto" w:fill="FCFCFC"/>
        </w:rPr>
        <w:t xml:space="preserve">Jaya </w:t>
      </w:r>
      <w:r w:rsidR="00BA02B5" w:rsidRPr="00BA02B5">
        <w:rPr>
          <w:color w:val="333333"/>
          <w:spacing w:val="4"/>
          <w:sz w:val="24"/>
          <w:szCs w:val="24"/>
          <w:shd w:val="clear" w:color="auto" w:fill="FCFCFC"/>
        </w:rPr>
        <w:t xml:space="preserve">Prakash, </w:t>
      </w:r>
      <w:r w:rsidR="00BA02B5">
        <w:rPr>
          <w:color w:val="333333"/>
          <w:spacing w:val="4"/>
          <w:sz w:val="24"/>
          <w:szCs w:val="24"/>
          <w:shd w:val="clear" w:color="auto" w:fill="FCFCFC"/>
        </w:rPr>
        <w:t xml:space="preserve">et al., </w:t>
      </w:r>
      <w:r w:rsidR="00BA02B5" w:rsidRPr="00BA02B5">
        <w:rPr>
          <w:i/>
          <w:iCs/>
          <w:color w:val="333333"/>
          <w:spacing w:val="4"/>
          <w:sz w:val="24"/>
          <w:szCs w:val="24"/>
          <w:shd w:val="clear" w:color="auto" w:fill="FCFCFC"/>
        </w:rPr>
        <w:t>An Introduction to Biotechnology</w:t>
      </w:r>
      <w:r w:rsidR="00BA02B5" w:rsidRPr="00BA02B5">
        <w:rPr>
          <w:color w:val="333333"/>
          <w:spacing w:val="4"/>
          <w:sz w:val="24"/>
          <w:szCs w:val="24"/>
          <w:shd w:val="clear" w:color="auto" w:fill="FCFCFC"/>
        </w:rPr>
        <w:t xml:space="preserve">. In: </w:t>
      </w:r>
      <w:r w:rsidR="00BA02B5" w:rsidRPr="00BA02B5">
        <w:rPr>
          <w:smallCaps/>
          <w:color w:val="333333"/>
          <w:spacing w:val="4"/>
          <w:sz w:val="24"/>
          <w:szCs w:val="24"/>
          <w:shd w:val="clear" w:color="auto" w:fill="FCFCFC"/>
        </w:rPr>
        <w:t>Basic and Applied Aspects of Biotechnology</w:t>
      </w:r>
      <w:r>
        <w:rPr>
          <w:color w:val="333333"/>
          <w:spacing w:val="4"/>
          <w:sz w:val="24"/>
          <w:szCs w:val="24"/>
          <w:shd w:val="clear" w:color="auto" w:fill="FCFCFC"/>
        </w:rPr>
        <w:t>,</w:t>
      </w:r>
      <w:r w:rsidR="00BA02B5" w:rsidRPr="00BA02B5">
        <w:rPr>
          <w:color w:val="333333"/>
          <w:spacing w:val="4"/>
          <w:sz w:val="24"/>
          <w:szCs w:val="24"/>
          <w:shd w:val="clear" w:color="auto" w:fill="FCFCFC"/>
        </w:rPr>
        <w:t xml:space="preserve"> </w:t>
      </w:r>
      <w:r w:rsidR="00BA02B5">
        <w:rPr>
          <w:color w:val="333333"/>
          <w:spacing w:val="4"/>
          <w:sz w:val="24"/>
          <w:szCs w:val="24"/>
          <w:shd w:val="clear" w:color="auto" w:fill="FCFCFC"/>
        </w:rPr>
        <w:t>at 1-21 (Chapter 1)</w:t>
      </w:r>
      <w:r>
        <w:rPr>
          <w:color w:val="333333"/>
          <w:spacing w:val="4"/>
          <w:sz w:val="24"/>
          <w:szCs w:val="24"/>
          <w:shd w:val="clear" w:color="auto" w:fill="FCFCFC"/>
        </w:rPr>
        <w:t xml:space="preserve"> (2017)</w:t>
      </w:r>
      <w:r w:rsidR="00BA02B5" w:rsidRPr="00BA02B5">
        <w:rPr>
          <w:color w:val="333333"/>
          <w:spacing w:val="4"/>
          <w:sz w:val="24"/>
          <w:szCs w:val="24"/>
          <w:shd w:val="clear" w:color="auto" w:fill="FCFCFC"/>
        </w:rPr>
        <w:t xml:space="preserve">. </w:t>
      </w:r>
      <w:hyperlink r:id="rId36" w:history="1">
        <w:r w:rsidR="00BA02B5" w:rsidRPr="00BA02B5">
          <w:rPr>
            <w:rStyle w:val="Hyperlink"/>
            <w:spacing w:val="4"/>
            <w:sz w:val="24"/>
            <w:szCs w:val="24"/>
            <w:shd w:val="clear" w:color="auto" w:fill="FCFCFC"/>
          </w:rPr>
          <w:t>https://doi.org/10.1007/978-981-10-0875-7_1</w:t>
        </w:r>
      </w:hyperlink>
    </w:p>
    <w:p w14:paraId="4AA03E1B" w14:textId="00264C1F" w:rsidR="000975BE" w:rsidRPr="00BA02B5" w:rsidRDefault="000975BE" w:rsidP="00BA02B5">
      <w:pPr>
        <w:pStyle w:val="ListParagraph"/>
        <w:numPr>
          <w:ilvl w:val="1"/>
          <w:numId w:val="6"/>
        </w:numPr>
        <w:rPr>
          <w:sz w:val="24"/>
          <w:szCs w:val="24"/>
        </w:rPr>
      </w:pPr>
      <w:r w:rsidRPr="00BA02B5">
        <w:rPr>
          <w:sz w:val="24"/>
          <w:szCs w:val="24"/>
        </w:rPr>
        <w:t>Economic Incentive</w:t>
      </w:r>
      <w:r w:rsidR="00C366B1">
        <w:rPr>
          <w:sz w:val="24"/>
          <w:szCs w:val="24"/>
        </w:rPr>
        <w:t xml:space="preserve"> to Patent</w:t>
      </w:r>
    </w:p>
    <w:p w14:paraId="007B7EAF" w14:textId="77777777" w:rsidR="000975BE" w:rsidRPr="008D3593" w:rsidRDefault="000975BE" w:rsidP="000975BE">
      <w:pPr>
        <w:pStyle w:val="ListParagraph"/>
        <w:numPr>
          <w:ilvl w:val="2"/>
          <w:numId w:val="6"/>
        </w:numPr>
        <w:ind w:left="1440"/>
        <w:rPr>
          <w:sz w:val="24"/>
          <w:szCs w:val="24"/>
        </w:rPr>
      </w:pPr>
      <w:r w:rsidRPr="008D3593">
        <w:rPr>
          <w:sz w:val="24"/>
          <w:szCs w:val="24"/>
        </w:rPr>
        <w:t xml:space="preserve">Ted </w:t>
      </w:r>
      <w:proofErr w:type="spellStart"/>
      <w:r w:rsidRPr="008D3593">
        <w:rPr>
          <w:sz w:val="24"/>
          <w:szCs w:val="24"/>
        </w:rPr>
        <w:t>Sichelman</w:t>
      </w:r>
      <w:proofErr w:type="spellEnd"/>
      <w:r w:rsidRPr="008D3593">
        <w:rPr>
          <w:sz w:val="24"/>
          <w:szCs w:val="24"/>
        </w:rPr>
        <w:t xml:space="preserve"> &amp; Stuart J. Graham, </w:t>
      </w:r>
      <w:r w:rsidRPr="008D3593">
        <w:rPr>
          <w:i/>
          <w:iCs/>
          <w:sz w:val="24"/>
          <w:szCs w:val="24"/>
        </w:rPr>
        <w:t>Patenting by Entrepreneurs: An Empirical Study</w:t>
      </w:r>
      <w:r w:rsidRPr="008D3593">
        <w:rPr>
          <w:sz w:val="24"/>
          <w:szCs w:val="24"/>
        </w:rPr>
        <w:t>, 17</w:t>
      </w:r>
      <w:r>
        <w:rPr>
          <w:sz w:val="24"/>
          <w:szCs w:val="24"/>
        </w:rPr>
        <w:t xml:space="preserve"> </w:t>
      </w:r>
      <w:r w:rsidRPr="008D3593">
        <w:rPr>
          <w:smallCaps/>
          <w:sz w:val="24"/>
          <w:szCs w:val="24"/>
        </w:rPr>
        <w:t>Mich. Telecomm. &amp; Tech. L. Rev. 111</w:t>
      </w:r>
      <w:r w:rsidRPr="008D3593">
        <w:rPr>
          <w:sz w:val="24"/>
          <w:szCs w:val="24"/>
        </w:rPr>
        <w:t xml:space="preserve"> (2010)</w:t>
      </w:r>
    </w:p>
    <w:p w14:paraId="1CB7B021" w14:textId="77777777" w:rsidR="000975BE" w:rsidRPr="008D3593" w:rsidRDefault="000975BE" w:rsidP="000975BE">
      <w:pPr>
        <w:pStyle w:val="ListParagraph"/>
        <w:numPr>
          <w:ilvl w:val="2"/>
          <w:numId w:val="6"/>
        </w:numPr>
        <w:ind w:left="1440"/>
        <w:rPr>
          <w:sz w:val="24"/>
          <w:szCs w:val="24"/>
        </w:rPr>
      </w:pPr>
      <w:r w:rsidRPr="008D3593">
        <w:rPr>
          <w:sz w:val="24"/>
          <w:szCs w:val="24"/>
        </w:rPr>
        <w:t xml:space="preserve">Ted Buckley, </w:t>
      </w:r>
      <w:r w:rsidRPr="008D3593">
        <w:rPr>
          <w:i/>
          <w:iCs/>
          <w:sz w:val="24"/>
          <w:szCs w:val="24"/>
        </w:rPr>
        <w:t xml:space="preserve">The Myth of the </w:t>
      </w:r>
      <w:proofErr w:type="spellStart"/>
      <w:r w:rsidRPr="008D3593">
        <w:rPr>
          <w:i/>
          <w:iCs/>
          <w:sz w:val="24"/>
          <w:szCs w:val="24"/>
        </w:rPr>
        <w:t>Anticommons</w:t>
      </w:r>
      <w:proofErr w:type="spellEnd"/>
      <w:r w:rsidRPr="008D3593">
        <w:rPr>
          <w:i/>
          <w:iCs/>
          <w:sz w:val="24"/>
          <w:szCs w:val="24"/>
        </w:rPr>
        <w:t xml:space="preserve">, </w:t>
      </w:r>
      <w:r w:rsidRPr="008D3593">
        <w:rPr>
          <w:sz w:val="24"/>
          <w:szCs w:val="24"/>
        </w:rPr>
        <w:t>May 31, 2007</w:t>
      </w:r>
    </w:p>
    <w:p w14:paraId="49D8C2BC" w14:textId="77777777" w:rsidR="009428B7" w:rsidRPr="009428B7" w:rsidRDefault="009428B7" w:rsidP="009428B7">
      <w:pPr>
        <w:ind w:left="1440" w:firstLine="90"/>
        <w:rPr>
          <w:sz w:val="24"/>
          <w:szCs w:val="24"/>
        </w:rPr>
      </w:pPr>
      <w:r>
        <w:rPr>
          <w:sz w:val="24"/>
          <w:szCs w:val="24"/>
        </w:rPr>
        <w:fldChar w:fldCharType="begin"/>
      </w:r>
      <w:r>
        <w:rPr>
          <w:sz w:val="24"/>
          <w:szCs w:val="24"/>
        </w:rPr>
        <w:instrText xml:space="preserve"> HYPERLINK "</w:instrText>
      </w:r>
      <w:r w:rsidRPr="009428B7">
        <w:rPr>
          <w:sz w:val="24"/>
          <w:szCs w:val="24"/>
        </w:rPr>
        <w:instrText>https://www.bio.org/sites/default/files/legacy/bioorg/docs/TheMythofthe</w:instrText>
      </w:r>
    </w:p>
    <w:p w14:paraId="1BB395B8" w14:textId="77777777" w:rsidR="009428B7" w:rsidRPr="00F43871" w:rsidRDefault="009428B7" w:rsidP="009428B7">
      <w:pPr>
        <w:ind w:left="1440" w:firstLine="90"/>
        <w:rPr>
          <w:rStyle w:val="Hyperlink"/>
          <w:sz w:val="24"/>
          <w:szCs w:val="24"/>
        </w:rPr>
      </w:pPr>
      <w:r w:rsidRPr="009428B7">
        <w:rPr>
          <w:sz w:val="24"/>
          <w:szCs w:val="24"/>
        </w:rPr>
        <w:instrText>Anticommons.pdf</w:instrText>
      </w:r>
      <w:r>
        <w:rPr>
          <w:sz w:val="24"/>
          <w:szCs w:val="24"/>
        </w:rPr>
        <w:instrText xml:space="preserve">" </w:instrText>
      </w:r>
      <w:r>
        <w:rPr>
          <w:sz w:val="24"/>
          <w:szCs w:val="24"/>
        </w:rPr>
        <w:fldChar w:fldCharType="separate"/>
      </w:r>
      <w:r w:rsidRPr="00F43871">
        <w:rPr>
          <w:rStyle w:val="Hyperlink"/>
          <w:sz w:val="24"/>
          <w:szCs w:val="24"/>
        </w:rPr>
        <w:t>https://www.bio.org/sites/default/files/legacy/bioorg/docs/TheMythofthe</w:t>
      </w:r>
    </w:p>
    <w:p w14:paraId="0C39A4DA" w14:textId="73B21FDD" w:rsidR="000975BE" w:rsidRDefault="009428B7" w:rsidP="009428B7">
      <w:pPr>
        <w:ind w:left="1440" w:firstLine="90"/>
        <w:rPr>
          <w:sz w:val="24"/>
          <w:szCs w:val="24"/>
        </w:rPr>
      </w:pPr>
      <w:r w:rsidRPr="00F43871">
        <w:rPr>
          <w:rStyle w:val="Hyperlink"/>
          <w:sz w:val="24"/>
          <w:szCs w:val="24"/>
        </w:rPr>
        <w:t>Anticommons.pdf</w:t>
      </w:r>
      <w:r>
        <w:rPr>
          <w:sz w:val="24"/>
          <w:szCs w:val="24"/>
        </w:rPr>
        <w:fldChar w:fldCharType="end"/>
      </w:r>
    </w:p>
    <w:p w14:paraId="28A3D7D0" w14:textId="581519EA" w:rsidR="00BA02B5" w:rsidRDefault="00BA02B5" w:rsidP="00BA02B5">
      <w:pPr>
        <w:pStyle w:val="ListParagraph"/>
        <w:numPr>
          <w:ilvl w:val="1"/>
          <w:numId w:val="6"/>
        </w:numPr>
        <w:rPr>
          <w:sz w:val="24"/>
          <w:szCs w:val="24"/>
        </w:rPr>
      </w:pPr>
      <w:r>
        <w:rPr>
          <w:sz w:val="24"/>
          <w:szCs w:val="24"/>
        </w:rPr>
        <w:t>Subject Matter Eligibility</w:t>
      </w:r>
      <w:r w:rsidR="00590ECE">
        <w:rPr>
          <w:sz w:val="24"/>
          <w:szCs w:val="24"/>
        </w:rPr>
        <w:t xml:space="preserve"> Cases</w:t>
      </w:r>
    </w:p>
    <w:p w14:paraId="309B0295" w14:textId="77777777" w:rsidR="00BA02B5" w:rsidRPr="008D3593" w:rsidRDefault="00BA02B5" w:rsidP="00BA02B5">
      <w:pPr>
        <w:pStyle w:val="ListParagraph"/>
        <w:numPr>
          <w:ilvl w:val="2"/>
          <w:numId w:val="6"/>
        </w:numPr>
        <w:ind w:left="1440"/>
        <w:rPr>
          <w:i/>
          <w:iCs/>
          <w:sz w:val="24"/>
          <w:szCs w:val="24"/>
        </w:rPr>
      </w:pPr>
      <w:r w:rsidRPr="008D3593">
        <w:rPr>
          <w:i/>
          <w:iCs/>
          <w:color w:val="000000" w:themeColor="text1"/>
          <w:sz w:val="24"/>
          <w:szCs w:val="24"/>
        </w:rPr>
        <w:t>Mayo Collaborative Servs. v. Prometheus Lab., Inc</w:t>
      </w:r>
      <w:r w:rsidRPr="008D3593">
        <w:rPr>
          <w:color w:val="000000" w:themeColor="text1"/>
          <w:sz w:val="24"/>
          <w:szCs w:val="24"/>
        </w:rPr>
        <w:t>., 566 U.S. 66 (2012)</w:t>
      </w:r>
    </w:p>
    <w:p w14:paraId="45BED490" w14:textId="3CB629A0" w:rsidR="00BA02B5" w:rsidRDefault="00BA02B5" w:rsidP="00BA02B5">
      <w:pPr>
        <w:pStyle w:val="ListParagraph"/>
        <w:numPr>
          <w:ilvl w:val="2"/>
          <w:numId w:val="6"/>
        </w:numPr>
        <w:ind w:left="1440"/>
        <w:rPr>
          <w:color w:val="000000" w:themeColor="text1"/>
          <w:sz w:val="24"/>
          <w:szCs w:val="24"/>
        </w:rPr>
      </w:pPr>
      <w:proofErr w:type="spellStart"/>
      <w:r w:rsidRPr="008D3593">
        <w:rPr>
          <w:i/>
          <w:iCs/>
          <w:sz w:val="24"/>
          <w:szCs w:val="24"/>
        </w:rPr>
        <w:t>Ass’n</w:t>
      </w:r>
      <w:proofErr w:type="spellEnd"/>
      <w:r w:rsidRPr="008D3593">
        <w:rPr>
          <w:i/>
          <w:iCs/>
          <w:sz w:val="24"/>
          <w:szCs w:val="24"/>
        </w:rPr>
        <w:t>. for Molecul</w:t>
      </w:r>
      <w:r w:rsidRPr="008D3593">
        <w:rPr>
          <w:i/>
          <w:iCs/>
          <w:color w:val="000000" w:themeColor="text1"/>
          <w:sz w:val="24"/>
          <w:szCs w:val="24"/>
        </w:rPr>
        <w:t xml:space="preserve">ar </w:t>
      </w:r>
      <w:proofErr w:type="spellStart"/>
      <w:r w:rsidRPr="008D3593">
        <w:rPr>
          <w:i/>
          <w:iCs/>
          <w:color w:val="000000" w:themeColor="text1"/>
          <w:sz w:val="24"/>
          <w:szCs w:val="24"/>
        </w:rPr>
        <w:t>Pathol</w:t>
      </w:r>
      <w:proofErr w:type="spellEnd"/>
      <w:r w:rsidRPr="008D3593">
        <w:rPr>
          <w:i/>
          <w:iCs/>
          <w:color w:val="000000" w:themeColor="text1"/>
          <w:sz w:val="24"/>
          <w:szCs w:val="24"/>
        </w:rPr>
        <w:t>. v. Myriad Genetics Inc.</w:t>
      </w:r>
      <w:r w:rsidRPr="008D3593">
        <w:rPr>
          <w:color w:val="000000" w:themeColor="text1"/>
          <w:sz w:val="24"/>
          <w:szCs w:val="24"/>
        </w:rPr>
        <w:t>, 569 U.S. 576 (2013)</w:t>
      </w:r>
    </w:p>
    <w:p w14:paraId="3367B7B1" w14:textId="7ACDAEAE" w:rsidR="00F46EB1" w:rsidRPr="008D3593" w:rsidRDefault="00F46EB1" w:rsidP="00BA02B5">
      <w:pPr>
        <w:pStyle w:val="ListParagraph"/>
        <w:numPr>
          <w:ilvl w:val="2"/>
          <w:numId w:val="6"/>
        </w:numPr>
        <w:ind w:left="1440"/>
        <w:rPr>
          <w:color w:val="000000" w:themeColor="text1"/>
          <w:sz w:val="24"/>
          <w:szCs w:val="24"/>
        </w:rPr>
      </w:pPr>
      <w:proofErr w:type="spellStart"/>
      <w:r>
        <w:rPr>
          <w:i/>
          <w:iCs/>
          <w:sz w:val="24"/>
          <w:szCs w:val="24"/>
        </w:rPr>
        <w:t>Ariosa</w:t>
      </w:r>
      <w:proofErr w:type="spellEnd"/>
      <w:r>
        <w:rPr>
          <w:i/>
          <w:iCs/>
          <w:sz w:val="24"/>
          <w:szCs w:val="24"/>
        </w:rPr>
        <w:t xml:space="preserve"> Diagnostics, Inc.</w:t>
      </w:r>
      <w:r>
        <w:rPr>
          <w:color w:val="000000" w:themeColor="text1"/>
          <w:sz w:val="24"/>
          <w:szCs w:val="24"/>
        </w:rPr>
        <w:t xml:space="preserve"> v. </w:t>
      </w:r>
      <w:proofErr w:type="spellStart"/>
      <w:r w:rsidRPr="00F46EB1">
        <w:rPr>
          <w:i/>
          <w:iCs/>
          <w:color w:val="000000" w:themeColor="text1"/>
          <w:sz w:val="24"/>
          <w:szCs w:val="24"/>
        </w:rPr>
        <w:t>Sequenom</w:t>
      </w:r>
      <w:proofErr w:type="spellEnd"/>
      <w:r w:rsidRPr="00F46EB1">
        <w:rPr>
          <w:i/>
          <w:iCs/>
          <w:color w:val="000000" w:themeColor="text1"/>
          <w:sz w:val="24"/>
          <w:szCs w:val="24"/>
        </w:rPr>
        <w:t>, Inc</w:t>
      </w:r>
      <w:r>
        <w:rPr>
          <w:color w:val="000000" w:themeColor="text1"/>
          <w:sz w:val="24"/>
          <w:szCs w:val="24"/>
        </w:rPr>
        <w:t xml:space="preserve">., </w:t>
      </w:r>
      <w:r w:rsidRPr="00F46EB1">
        <w:rPr>
          <w:sz w:val="24"/>
          <w:szCs w:val="24"/>
          <w:shd w:val="clear" w:color="auto" w:fill="FFFFFF"/>
        </w:rPr>
        <w:t>788 F.3d 1371</w:t>
      </w:r>
      <w:r>
        <w:rPr>
          <w:sz w:val="24"/>
          <w:szCs w:val="24"/>
          <w:shd w:val="clear" w:color="auto" w:fill="FFFFFF"/>
        </w:rPr>
        <w:t xml:space="preserve"> (Fed. Cir. 2015)</w:t>
      </w:r>
    </w:p>
    <w:p w14:paraId="44ED6843" w14:textId="77777777" w:rsidR="00BA02B5" w:rsidRPr="000975BE" w:rsidRDefault="00BA02B5" w:rsidP="00BA02B5">
      <w:pPr>
        <w:pStyle w:val="ListParagraph"/>
        <w:numPr>
          <w:ilvl w:val="2"/>
          <w:numId w:val="6"/>
        </w:numPr>
        <w:ind w:left="1440"/>
        <w:rPr>
          <w:color w:val="000000" w:themeColor="text1"/>
          <w:sz w:val="24"/>
          <w:szCs w:val="24"/>
        </w:rPr>
      </w:pPr>
      <w:r w:rsidRPr="00DA007B">
        <w:rPr>
          <w:i/>
          <w:iCs/>
          <w:color w:val="000000" w:themeColor="text1"/>
          <w:sz w:val="24"/>
          <w:szCs w:val="24"/>
        </w:rPr>
        <w:t xml:space="preserve">Illumina, Inc. v. </w:t>
      </w:r>
      <w:proofErr w:type="spellStart"/>
      <w:r w:rsidRPr="00DA007B">
        <w:rPr>
          <w:i/>
          <w:iCs/>
          <w:color w:val="000000" w:themeColor="text1"/>
          <w:sz w:val="24"/>
          <w:szCs w:val="24"/>
        </w:rPr>
        <w:t>Ariosa</w:t>
      </w:r>
      <w:proofErr w:type="spellEnd"/>
      <w:r w:rsidRPr="00DA007B">
        <w:rPr>
          <w:i/>
          <w:iCs/>
          <w:color w:val="000000" w:themeColor="text1"/>
          <w:sz w:val="24"/>
          <w:szCs w:val="24"/>
        </w:rPr>
        <w:t xml:space="preserve"> Diagnostics, Inc., </w:t>
      </w:r>
      <w:r w:rsidRPr="00DA007B">
        <w:rPr>
          <w:color w:val="000000" w:themeColor="text1"/>
          <w:sz w:val="24"/>
          <w:szCs w:val="24"/>
          <w:shd w:val="clear" w:color="auto" w:fill="FFFFFF"/>
        </w:rPr>
        <w:t>No. 2019-1419 (Fed. Cir. 2020)</w:t>
      </w:r>
    </w:p>
    <w:p w14:paraId="78171594" w14:textId="77777777" w:rsidR="00BA02B5" w:rsidRDefault="00BA02B5" w:rsidP="000975BE">
      <w:pPr>
        <w:ind w:left="1440" w:hanging="180"/>
        <w:rPr>
          <w:sz w:val="24"/>
          <w:szCs w:val="24"/>
        </w:rPr>
      </w:pPr>
    </w:p>
    <w:p w14:paraId="268A3DEE" w14:textId="6878918E" w:rsidR="00A22027" w:rsidRPr="008334A7" w:rsidRDefault="00A22027" w:rsidP="00A22027">
      <w:pPr>
        <w:pStyle w:val="ListParagraph"/>
        <w:numPr>
          <w:ilvl w:val="0"/>
          <w:numId w:val="6"/>
        </w:numPr>
        <w:rPr>
          <w:b/>
          <w:bCs/>
          <w:color w:val="000000" w:themeColor="text1"/>
          <w:sz w:val="24"/>
          <w:szCs w:val="24"/>
        </w:rPr>
      </w:pPr>
      <w:r w:rsidRPr="008334A7">
        <w:rPr>
          <w:b/>
          <w:bCs/>
          <w:color w:val="000000" w:themeColor="text1"/>
          <w:sz w:val="24"/>
          <w:szCs w:val="24"/>
        </w:rPr>
        <w:t xml:space="preserve">Differences in International </w:t>
      </w:r>
      <w:r w:rsidR="001A4642">
        <w:rPr>
          <w:b/>
          <w:bCs/>
          <w:color w:val="000000" w:themeColor="text1"/>
          <w:sz w:val="24"/>
          <w:szCs w:val="24"/>
        </w:rPr>
        <w:t xml:space="preserve">Biotech </w:t>
      </w:r>
      <w:r w:rsidRPr="008334A7">
        <w:rPr>
          <w:b/>
          <w:bCs/>
          <w:color w:val="000000" w:themeColor="text1"/>
          <w:sz w:val="24"/>
          <w:szCs w:val="24"/>
        </w:rPr>
        <w:t>Patent Law</w:t>
      </w:r>
    </w:p>
    <w:p w14:paraId="4F6F31AE" w14:textId="5C7A553E" w:rsidR="00F46EB1" w:rsidRDefault="004009CD" w:rsidP="00F46EB1">
      <w:pPr>
        <w:pStyle w:val="ListParagraph"/>
        <w:numPr>
          <w:ilvl w:val="1"/>
          <w:numId w:val="6"/>
        </w:numPr>
        <w:rPr>
          <w:color w:val="000000" w:themeColor="text1"/>
          <w:sz w:val="24"/>
          <w:szCs w:val="24"/>
        </w:rPr>
      </w:pPr>
      <w:r>
        <w:rPr>
          <w:color w:val="000000" w:themeColor="text1"/>
          <w:sz w:val="24"/>
          <w:szCs w:val="24"/>
        </w:rPr>
        <w:t>Stem Cells</w:t>
      </w:r>
    </w:p>
    <w:p w14:paraId="4DE7B9E6" w14:textId="5C2508A8" w:rsidR="00F46EB1" w:rsidRDefault="00F46EB1" w:rsidP="00F46EB1">
      <w:pPr>
        <w:pStyle w:val="ListParagraph"/>
        <w:numPr>
          <w:ilvl w:val="2"/>
          <w:numId w:val="6"/>
        </w:numPr>
        <w:ind w:left="1440"/>
        <w:rPr>
          <w:color w:val="000000" w:themeColor="text1"/>
          <w:sz w:val="24"/>
          <w:szCs w:val="24"/>
        </w:rPr>
      </w:pPr>
      <w:r>
        <w:rPr>
          <w:color w:val="000000" w:themeColor="text1"/>
          <w:sz w:val="24"/>
          <w:szCs w:val="24"/>
        </w:rPr>
        <w:t>Article 53(a) EPC</w:t>
      </w:r>
    </w:p>
    <w:p w14:paraId="13CA0CC5" w14:textId="787BC72A" w:rsidR="004009CD" w:rsidRDefault="004009CD" w:rsidP="00F46EB1">
      <w:pPr>
        <w:pStyle w:val="ListParagraph"/>
        <w:numPr>
          <w:ilvl w:val="2"/>
          <w:numId w:val="6"/>
        </w:numPr>
        <w:ind w:left="1440"/>
        <w:rPr>
          <w:color w:val="000000" w:themeColor="text1"/>
          <w:sz w:val="24"/>
          <w:szCs w:val="24"/>
        </w:rPr>
      </w:pPr>
      <w:r>
        <w:rPr>
          <w:color w:val="000000" w:themeColor="text1"/>
          <w:sz w:val="24"/>
          <w:szCs w:val="24"/>
        </w:rPr>
        <w:t>EPO Case No. G 0002/06 (25 November 2008)</w:t>
      </w:r>
    </w:p>
    <w:p w14:paraId="228EB5B2" w14:textId="0ADA2FBC" w:rsidR="00F46EB1" w:rsidRDefault="00F46EB1" w:rsidP="00F46EB1">
      <w:pPr>
        <w:pStyle w:val="ListParagraph"/>
        <w:numPr>
          <w:ilvl w:val="2"/>
          <w:numId w:val="6"/>
        </w:numPr>
        <w:ind w:left="1440"/>
        <w:rPr>
          <w:color w:val="000000" w:themeColor="text1"/>
          <w:sz w:val="24"/>
          <w:szCs w:val="24"/>
        </w:rPr>
      </w:pPr>
      <w:r w:rsidRPr="00F46EB1">
        <w:rPr>
          <w:i/>
          <w:iCs/>
          <w:color w:val="000000" w:themeColor="text1"/>
          <w:sz w:val="24"/>
          <w:szCs w:val="24"/>
        </w:rPr>
        <w:t>International Stem Cell Corp</w:t>
      </w:r>
      <w:r w:rsidRPr="00F46EB1">
        <w:rPr>
          <w:color w:val="000000" w:themeColor="text1"/>
          <w:sz w:val="24"/>
          <w:szCs w:val="24"/>
        </w:rPr>
        <w:t>.</w:t>
      </w:r>
      <w:r w:rsidRPr="00F46EB1">
        <w:rPr>
          <w:i/>
          <w:iCs/>
          <w:color w:val="000000" w:themeColor="text1"/>
          <w:sz w:val="24"/>
          <w:szCs w:val="24"/>
        </w:rPr>
        <w:t xml:space="preserve">, </w:t>
      </w:r>
      <w:r w:rsidRPr="00F46EB1">
        <w:rPr>
          <w:color w:val="000000" w:themeColor="text1"/>
          <w:sz w:val="24"/>
          <w:szCs w:val="24"/>
        </w:rPr>
        <w:t>(2016) APO 52</w:t>
      </w:r>
    </w:p>
    <w:p w14:paraId="6F65EAFA" w14:textId="77777777" w:rsidR="004009CD" w:rsidRPr="00F46EB1" w:rsidRDefault="004009CD" w:rsidP="004009CD">
      <w:pPr>
        <w:pStyle w:val="ListParagraph"/>
        <w:ind w:left="1440"/>
        <w:rPr>
          <w:color w:val="000000" w:themeColor="text1"/>
          <w:sz w:val="24"/>
          <w:szCs w:val="24"/>
        </w:rPr>
      </w:pPr>
    </w:p>
    <w:p w14:paraId="3A73C480" w14:textId="2BFDC2A4" w:rsidR="00F46EB1" w:rsidRDefault="00F46EB1" w:rsidP="00F46EB1">
      <w:pPr>
        <w:pStyle w:val="ListParagraph"/>
        <w:numPr>
          <w:ilvl w:val="1"/>
          <w:numId w:val="6"/>
        </w:numPr>
        <w:rPr>
          <w:sz w:val="24"/>
          <w:szCs w:val="24"/>
        </w:rPr>
      </w:pPr>
      <w:r w:rsidRPr="00F46EB1">
        <w:rPr>
          <w:i/>
          <w:iCs/>
          <w:sz w:val="24"/>
          <w:szCs w:val="24"/>
        </w:rPr>
        <w:t>Myriad</w:t>
      </w:r>
      <w:r>
        <w:rPr>
          <w:sz w:val="24"/>
          <w:szCs w:val="24"/>
        </w:rPr>
        <w:t xml:space="preserve"> DNA Subject Matter Eligibility Cases</w:t>
      </w:r>
    </w:p>
    <w:p w14:paraId="01D3A0F7" w14:textId="1112A0F9" w:rsidR="00E16C5E" w:rsidRPr="00E16C5E" w:rsidRDefault="00E16C5E" w:rsidP="002B0B52">
      <w:pPr>
        <w:pStyle w:val="ListParagraph"/>
        <w:numPr>
          <w:ilvl w:val="2"/>
          <w:numId w:val="6"/>
        </w:numPr>
        <w:ind w:left="1440"/>
        <w:rPr>
          <w:i/>
          <w:iCs/>
          <w:color w:val="000000" w:themeColor="text1"/>
          <w:sz w:val="24"/>
          <w:szCs w:val="24"/>
        </w:rPr>
      </w:pPr>
      <w:r>
        <w:rPr>
          <w:color w:val="000000" w:themeColor="text1"/>
          <w:sz w:val="24"/>
          <w:szCs w:val="24"/>
        </w:rPr>
        <w:t>EPO Case No. T 1213/05 (27 Sept. 2007)</w:t>
      </w:r>
    </w:p>
    <w:p w14:paraId="12B61806" w14:textId="2404811F" w:rsidR="00E16C5E" w:rsidRDefault="00E16C5E" w:rsidP="002B0B52">
      <w:pPr>
        <w:pStyle w:val="ListParagraph"/>
        <w:numPr>
          <w:ilvl w:val="2"/>
          <w:numId w:val="6"/>
        </w:numPr>
        <w:ind w:left="1440"/>
        <w:rPr>
          <w:i/>
          <w:iCs/>
          <w:color w:val="000000" w:themeColor="text1"/>
          <w:sz w:val="24"/>
          <w:szCs w:val="24"/>
        </w:rPr>
      </w:pPr>
      <w:r>
        <w:rPr>
          <w:color w:val="000000" w:themeColor="text1"/>
          <w:sz w:val="24"/>
          <w:szCs w:val="24"/>
        </w:rPr>
        <w:t>EPO Case No. T 0080/05 (19 Nov. 2008)</w:t>
      </w:r>
    </w:p>
    <w:p w14:paraId="5F50D415" w14:textId="7620F54F" w:rsidR="00E16C5E" w:rsidRPr="00E16C5E" w:rsidRDefault="00916FB2" w:rsidP="00E16C5E">
      <w:pPr>
        <w:pStyle w:val="ListParagraph"/>
        <w:numPr>
          <w:ilvl w:val="2"/>
          <w:numId w:val="6"/>
        </w:numPr>
        <w:ind w:left="1440"/>
        <w:rPr>
          <w:i/>
          <w:iCs/>
          <w:color w:val="000000" w:themeColor="text1"/>
          <w:sz w:val="24"/>
          <w:szCs w:val="24"/>
        </w:rPr>
      </w:pPr>
      <w:r w:rsidRPr="00F46EB1">
        <w:rPr>
          <w:i/>
          <w:iCs/>
          <w:color w:val="000000" w:themeColor="text1"/>
          <w:sz w:val="24"/>
          <w:szCs w:val="24"/>
        </w:rPr>
        <w:t>D’Arcy v. Myriad Genetics, Inc</w:t>
      </w:r>
      <w:r w:rsidRPr="00F46EB1">
        <w:rPr>
          <w:color w:val="000000" w:themeColor="text1"/>
          <w:sz w:val="24"/>
          <w:szCs w:val="24"/>
        </w:rPr>
        <w:t>., (2015) HCA 35</w:t>
      </w:r>
    </w:p>
    <w:p w14:paraId="6B93C38A" w14:textId="69CA886D" w:rsidR="00F46EB1" w:rsidRDefault="00F46EB1" w:rsidP="00F46EB1">
      <w:pPr>
        <w:pStyle w:val="ListParagraph"/>
        <w:numPr>
          <w:ilvl w:val="1"/>
          <w:numId w:val="6"/>
        </w:numPr>
        <w:rPr>
          <w:sz w:val="24"/>
          <w:szCs w:val="24"/>
        </w:rPr>
      </w:pPr>
      <w:proofErr w:type="spellStart"/>
      <w:r w:rsidRPr="00F46EB1">
        <w:rPr>
          <w:i/>
          <w:iCs/>
          <w:color w:val="000000" w:themeColor="text1"/>
          <w:sz w:val="24"/>
          <w:szCs w:val="24"/>
        </w:rPr>
        <w:t>Ariosa</w:t>
      </w:r>
      <w:proofErr w:type="spellEnd"/>
      <w:r>
        <w:rPr>
          <w:color w:val="000000" w:themeColor="text1"/>
          <w:sz w:val="24"/>
          <w:szCs w:val="24"/>
        </w:rPr>
        <w:t xml:space="preserve"> Diagnostic </w:t>
      </w:r>
      <w:r>
        <w:rPr>
          <w:sz w:val="24"/>
          <w:szCs w:val="24"/>
        </w:rPr>
        <w:t>Subject Matter Eligibility Cases</w:t>
      </w:r>
    </w:p>
    <w:p w14:paraId="2653C59A" w14:textId="5C57586E" w:rsidR="00F46EB1" w:rsidRDefault="00F46EB1" w:rsidP="002B0B52">
      <w:pPr>
        <w:pStyle w:val="ListParagraph"/>
        <w:numPr>
          <w:ilvl w:val="2"/>
          <w:numId w:val="6"/>
        </w:numPr>
        <w:ind w:left="1440"/>
        <w:rPr>
          <w:color w:val="000000" w:themeColor="text1"/>
          <w:sz w:val="24"/>
          <w:szCs w:val="24"/>
        </w:rPr>
      </w:pPr>
      <w:proofErr w:type="spellStart"/>
      <w:r>
        <w:rPr>
          <w:i/>
          <w:iCs/>
          <w:sz w:val="24"/>
          <w:szCs w:val="24"/>
        </w:rPr>
        <w:t>Ariosa</w:t>
      </w:r>
      <w:proofErr w:type="spellEnd"/>
      <w:r>
        <w:rPr>
          <w:i/>
          <w:iCs/>
          <w:sz w:val="24"/>
          <w:szCs w:val="24"/>
        </w:rPr>
        <w:t xml:space="preserve"> Diagnostics, Inc.</w:t>
      </w:r>
      <w:r>
        <w:rPr>
          <w:color w:val="000000" w:themeColor="text1"/>
          <w:sz w:val="24"/>
          <w:szCs w:val="24"/>
        </w:rPr>
        <w:t xml:space="preserve"> v. </w:t>
      </w:r>
      <w:proofErr w:type="spellStart"/>
      <w:r w:rsidRPr="00F46EB1">
        <w:rPr>
          <w:i/>
          <w:iCs/>
          <w:color w:val="000000" w:themeColor="text1"/>
          <w:sz w:val="24"/>
          <w:szCs w:val="24"/>
        </w:rPr>
        <w:t>Sequenom</w:t>
      </w:r>
      <w:proofErr w:type="spellEnd"/>
      <w:r w:rsidRPr="00F46EB1">
        <w:rPr>
          <w:i/>
          <w:iCs/>
          <w:color w:val="000000" w:themeColor="text1"/>
          <w:sz w:val="24"/>
          <w:szCs w:val="24"/>
        </w:rPr>
        <w:t>, Inc</w:t>
      </w:r>
      <w:r>
        <w:rPr>
          <w:color w:val="000000" w:themeColor="text1"/>
          <w:sz w:val="24"/>
          <w:szCs w:val="24"/>
        </w:rPr>
        <w:t>., (2021) FCAFC 101</w:t>
      </w:r>
    </w:p>
    <w:p w14:paraId="1DE85140" w14:textId="04E0E558" w:rsidR="00F46EB1" w:rsidRPr="00F46EB1" w:rsidRDefault="002B0B52" w:rsidP="002B0B52">
      <w:pPr>
        <w:pStyle w:val="ListParagraph"/>
        <w:numPr>
          <w:ilvl w:val="2"/>
          <w:numId w:val="6"/>
        </w:numPr>
        <w:ind w:left="1440"/>
        <w:rPr>
          <w:color w:val="000000" w:themeColor="text1"/>
          <w:sz w:val="24"/>
          <w:szCs w:val="24"/>
        </w:rPr>
      </w:pPr>
      <w:r>
        <w:rPr>
          <w:i/>
          <w:iCs/>
          <w:sz w:val="24"/>
          <w:szCs w:val="24"/>
        </w:rPr>
        <w:t>Illumina, Inc.</w:t>
      </w:r>
      <w:r>
        <w:rPr>
          <w:color w:val="000000" w:themeColor="text1"/>
          <w:sz w:val="24"/>
          <w:szCs w:val="24"/>
        </w:rPr>
        <w:t xml:space="preserve"> v </w:t>
      </w:r>
      <w:proofErr w:type="spellStart"/>
      <w:r w:rsidRPr="002B0B52">
        <w:rPr>
          <w:i/>
          <w:iCs/>
          <w:color w:val="000000" w:themeColor="text1"/>
          <w:sz w:val="24"/>
          <w:szCs w:val="24"/>
        </w:rPr>
        <w:t>Premaitha</w:t>
      </w:r>
      <w:proofErr w:type="spellEnd"/>
      <w:r w:rsidRPr="002B0B52">
        <w:rPr>
          <w:i/>
          <w:iCs/>
          <w:color w:val="000000" w:themeColor="text1"/>
          <w:sz w:val="24"/>
          <w:szCs w:val="24"/>
        </w:rPr>
        <w:t xml:space="preserve"> Health Plc</w:t>
      </w:r>
      <w:r>
        <w:rPr>
          <w:color w:val="000000" w:themeColor="text1"/>
          <w:sz w:val="24"/>
          <w:szCs w:val="24"/>
        </w:rPr>
        <w:t xml:space="preserve"> (2017) EWHC 2930 (Pat) </w:t>
      </w:r>
      <w:proofErr w:type="spellStart"/>
      <w:r>
        <w:rPr>
          <w:color w:val="000000" w:themeColor="text1"/>
          <w:sz w:val="24"/>
          <w:szCs w:val="24"/>
        </w:rPr>
        <w:t>Carr</w:t>
      </w:r>
      <w:proofErr w:type="spellEnd"/>
      <w:r>
        <w:rPr>
          <w:color w:val="000000" w:themeColor="text1"/>
          <w:sz w:val="24"/>
          <w:szCs w:val="24"/>
        </w:rPr>
        <w:t xml:space="preserve">. J. </w:t>
      </w:r>
    </w:p>
    <w:p w14:paraId="0B92B4A7" w14:textId="77777777" w:rsidR="000828B0" w:rsidRPr="00916FB2" w:rsidRDefault="000828B0" w:rsidP="006C39B0">
      <w:pPr>
        <w:ind w:left="720"/>
        <w:rPr>
          <w:i/>
          <w:iCs/>
          <w:color w:val="000000" w:themeColor="text1"/>
          <w:sz w:val="24"/>
          <w:szCs w:val="24"/>
        </w:rPr>
      </w:pPr>
    </w:p>
    <w:p w14:paraId="47354161" w14:textId="0F25ABD6" w:rsidR="00590ECE" w:rsidRPr="00590ECE" w:rsidRDefault="00DC7F86" w:rsidP="00590ECE">
      <w:pPr>
        <w:pStyle w:val="ListParagraph"/>
        <w:numPr>
          <w:ilvl w:val="0"/>
          <w:numId w:val="6"/>
        </w:numPr>
        <w:rPr>
          <w:b/>
          <w:bCs/>
          <w:color w:val="000000" w:themeColor="text1"/>
          <w:sz w:val="24"/>
          <w:szCs w:val="24"/>
        </w:rPr>
      </w:pPr>
      <w:r>
        <w:rPr>
          <w:b/>
          <w:bCs/>
          <w:color w:val="000000" w:themeColor="text1"/>
          <w:sz w:val="24"/>
          <w:szCs w:val="24"/>
        </w:rPr>
        <w:t xml:space="preserve">§112 Issues with </w:t>
      </w:r>
      <w:r w:rsidR="00A22027" w:rsidRPr="008334A7">
        <w:rPr>
          <w:b/>
          <w:bCs/>
          <w:color w:val="000000" w:themeColor="text1"/>
          <w:sz w:val="24"/>
          <w:szCs w:val="24"/>
        </w:rPr>
        <w:t>Monoclonal Antibodies</w:t>
      </w:r>
    </w:p>
    <w:p w14:paraId="6119F5F6" w14:textId="31EF37BA" w:rsidR="00590ECE" w:rsidRDefault="00590ECE" w:rsidP="00590ECE">
      <w:pPr>
        <w:pStyle w:val="ListParagraph"/>
        <w:keepNext/>
        <w:numPr>
          <w:ilvl w:val="1"/>
          <w:numId w:val="6"/>
        </w:numPr>
        <w:rPr>
          <w:sz w:val="24"/>
          <w:szCs w:val="24"/>
        </w:rPr>
      </w:pPr>
      <w:r w:rsidRPr="00590ECE">
        <w:rPr>
          <w:sz w:val="24"/>
          <w:szCs w:val="24"/>
        </w:rPr>
        <w:t>Background Reading</w:t>
      </w:r>
      <w:r>
        <w:rPr>
          <w:sz w:val="24"/>
          <w:szCs w:val="24"/>
        </w:rPr>
        <w:t xml:space="preserve"> on the Therapeutic Antibody Technology</w:t>
      </w:r>
    </w:p>
    <w:p w14:paraId="7891040E" w14:textId="47053637" w:rsidR="00382883" w:rsidRDefault="00382883" w:rsidP="004009CD">
      <w:pPr>
        <w:pStyle w:val="ListParagraph"/>
        <w:numPr>
          <w:ilvl w:val="2"/>
          <w:numId w:val="6"/>
        </w:numPr>
        <w:ind w:left="1440"/>
        <w:rPr>
          <w:color w:val="333333"/>
          <w:sz w:val="24"/>
          <w:szCs w:val="24"/>
          <w:shd w:val="clear" w:color="auto" w:fill="FFFFFF"/>
        </w:rPr>
      </w:pPr>
      <w:r w:rsidRPr="00382883">
        <w:rPr>
          <w:color w:val="333333"/>
          <w:sz w:val="24"/>
          <w:szCs w:val="24"/>
          <w:shd w:val="clear" w:color="auto" w:fill="FFFFFF"/>
        </w:rPr>
        <w:t>Lu, RM., Hwang, YC., Liu, IJ. </w:t>
      </w:r>
      <w:r w:rsidRPr="00382883">
        <w:rPr>
          <w:i/>
          <w:iCs/>
          <w:color w:val="333333"/>
          <w:sz w:val="24"/>
          <w:szCs w:val="24"/>
          <w:shd w:val="clear" w:color="auto" w:fill="FFFFFF"/>
        </w:rPr>
        <w:t>et al.</w:t>
      </w:r>
      <w:r w:rsidRPr="00382883">
        <w:rPr>
          <w:color w:val="333333"/>
          <w:sz w:val="24"/>
          <w:szCs w:val="24"/>
          <w:shd w:val="clear" w:color="auto" w:fill="FFFFFF"/>
        </w:rPr>
        <w:t> Development of therapeutic antibodies for the</w:t>
      </w:r>
    </w:p>
    <w:p w14:paraId="62432FEA" w14:textId="2E68934E" w:rsidR="00382883" w:rsidRPr="00382883" w:rsidRDefault="00382883" w:rsidP="004009CD">
      <w:pPr>
        <w:pStyle w:val="ListParagraph"/>
        <w:ind w:left="1440"/>
        <w:rPr>
          <w:color w:val="333333"/>
          <w:sz w:val="24"/>
          <w:szCs w:val="24"/>
          <w:shd w:val="clear" w:color="auto" w:fill="FFFFFF"/>
        </w:rPr>
      </w:pPr>
      <w:r w:rsidRPr="00382883">
        <w:rPr>
          <w:color w:val="333333"/>
          <w:sz w:val="24"/>
          <w:szCs w:val="24"/>
          <w:shd w:val="clear" w:color="auto" w:fill="FFFFFF"/>
        </w:rPr>
        <w:t>treatment of diseases. </w:t>
      </w:r>
      <w:r w:rsidRPr="00382883">
        <w:rPr>
          <w:i/>
          <w:iCs/>
          <w:color w:val="333333"/>
          <w:sz w:val="24"/>
          <w:szCs w:val="24"/>
          <w:shd w:val="clear" w:color="auto" w:fill="FFFFFF"/>
        </w:rPr>
        <w:t>J Biomed Sci</w:t>
      </w:r>
      <w:r w:rsidRPr="00382883">
        <w:rPr>
          <w:color w:val="333333"/>
          <w:sz w:val="24"/>
          <w:szCs w:val="24"/>
          <w:shd w:val="clear" w:color="auto" w:fill="FFFFFF"/>
        </w:rPr>
        <w:t> </w:t>
      </w:r>
      <w:r w:rsidRPr="00382883">
        <w:rPr>
          <w:b/>
          <w:bCs/>
          <w:color w:val="333333"/>
          <w:sz w:val="24"/>
          <w:szCs w:val="24"/>
          <w:shd w:val="clear" w:color="auto" w:fill="FFFFFF"/>
        </w:rPr>
        <w:t>27, </w:t>
      </w:r>
      <w:r w:rsidRPr="00382883">
        <w:rPr>
          <w:color w:val="333333"/>
          <w:sz w:val="24"/>
          <w:szCs w:val="24"/>
          <w:shd w:val="clear" w:color="auto" w:fill="FFFFFF"/>
        </w:rPr>
        <w:t xml:space="preserve">1 (2020). </w:t>
      </w:r>
      <w:hyperlink r:id="rId37" w:history="1">
        <w:r w:rsidRPr="002E18A1">
          <w:rPr>
            <w:rStyle w:val="Hyperlink"/>
            <w:sz w:val="24"/>
            <w:szCs w:val="24"/>
            <w:shd w:val="clear" w:color="auto" w:fill="FFFFFF"/>
          </w:rPr>
          <w:t>https://doi.org/10.1186/s12929-019-0592-z</w:t>
        </w:r>
      </w:hyperlink>
    </w:p>
    <w:p w14:paraId="00169DC4" w14:textId="76DED017" w:rsidR="005756C0" w:rsidRDefault="005756C0" w:rsidP="004009CD">
      <w:pPr>
        <w:pStyle w:val="ListParagraph"/>
        <w:numPr>
          <w:ilvl w:val="2"/>
          <w:numId w:val="6"/>
        </w:numPr>
        <w:ind w:left="1440"/>
        <w:rPr>
          <w:color w:val="000000" w:themeColor="text1"/>
          <w:sz w:val="24"/>
          <w:szCs w:val="24"/>
          <w:shd w:val="clear" w:color="auto" w:fill="FFFFFF"/>
        </w:rPr>
      </w:pPr>
      <w:proofErr w:type="spellStart"/>
      <w:r w:rsidRPr="00DA007B">
        <w:rPr>
          <w:color w:val="000000" w:themeColor="text1"/>
          <w:sz w:val="24"/>
          <w:szCs w:val="24"/>
          <w:shd w:val="clear" w:color="auto" w:fill="FFFFFF"/>
        </w:rPr>
        <w:t>Cabilly</w:t>
      </w:r>
      <w:proofErr w:type="spellEnd"/>
      <w:r w:rsidRPr="00DA007B">
        <w:rPr>
          <w:color w:val="000000" w:themeColor="text1"/>
          <w:sz w:val="24"/>
          <w:szCs w:val="24"/>
          <w:shd w:val="clear" w:color="auto" w:fill="FFFFFF"/>
        </w:rPr>
        <w:t xml:space="preserve"> Patents</w:t>
      </w:r>
      <w:r>
        <w:rPr>
          <w:color w:val="000000" w:themeColor="text1"/>
          <w:sz w:val="24"/>
          <w:szCs w:val="24"/>
          <w:shd w:val="clear" w:color="auto" w:fill="FFFFFF"/>
        </w:rPr>
        <w:t xml:space="preserve"> – U.S. Patent Nos. 4,816,567 (</w:t>
      </w:r>
      <w:proofErr w:type="spellStart"/>
      <w:r>
        <w:rPr>
          <w:color w:val="000000" w:themeColor="text1"/>
          <w:sz w:val="24"/>
          <w:szCs w:val="24"/>
          <w:shd w:val="clear" w:color="auto" w:fill="FFFFFF"/>
        </w:rPr>
        <w:t>Cabilly</w:t>
      </w:r>
      <w:proofErr w:type="spellEnd"/>
      <w:r>
        <w:rPr>
          <w:color w:val="000000" w:themeColor="text1"/>
          <w:sz w:val="24"/>
          <w:szCs w:val="24"/>
          <w:shd w:val="clear" w:color="auto" w:fill="FFFFFF"/>
        </w:rPr>
        <w:t xml:space="preserve"> I) and 6,331,445 (</w:t>
      </w:r>
      <w:proofErr w:type="spellStart"/>
      <w:r>
        <w:rPr>
          <w:color w:val="000000" w:themeColor="text1"/>
          <w:sz w:val="24"/>
          <w:szCs w:val="24"/>
          <w:shd w:val="clear" w:color="auto" w:fill="FFFFFF"/>
        </w:rPr>
        <w:t>Cabilly</w:t>
      </w:r>
      <w:proofErr w:type="spellEnd"/>
      <w:r>
        <w:rPr>
          <w:color w:val="000000" w:themeColor="text1"/>
          <w:sz w:val="24"/>
          <w:szCs w:val="24"/>
          <w:shd w:val="clear" w:color="auto" w:fill="FFFFFF"/>
        </w:rPr>
        <w:t xml:space="preserve"> II)</w:t>
      </w:r>
    </w:p>
    <w:p w14:paraId="5E382CE7" w14:textId="62852B22" w:rsidR="00590ECE" w:rsidRPr="00590ECE" w:rsidRDefault="00590ECE" w:rsidP="00590ECE">
      <w:pPr>
        <w:pStyle w:val="ListParagraph"/>
        <w:numPr>
          <w:ilvl w:val="1"/>
          <w:numId w:val="6"/>
        </w:numPr>
        <w:rPr>
          <w:rStyle w:val="Strong"/>
          <w:b w:val="0"/>
          <w:bCs w:val="0"/>
          <w:color w:val="000000" w:themeColor="text1"/>
          <w:sz w:val="24"/>
          <w:szCs w:val="24"/>
          <w:shd w:val="clear" w:color="auto" w:fill="FFFFFF"/>
        </w:rPr>
      </w:pPr>
      <w:r w:rsidRPr="00590ECE">
        <w:rPr>
          <w:color w:val="000000" w:themeColor="text1"/>
          <w:sz w:val="24"/>
          <w:szCs w:val="24"/>
          <w:shd w:val="clear" w:color="auto" w:fill="FFFFFF"/>
        </w:rPr>
        <w:t>Cases</w:t>
      </w:r>
    </w:p>
    <w:p w14:paraId="4C681451" w14:textId="11E84CD2" w:rsidR="0019667A" w:rsidRDefault="0019667A" w:rsidP="004009CD">
      <w:pPr>
        <w:pStyle w:val="ListParagraph"/>
        <w:numPr>
          <w:ilvl w:val="2"/>
          <w:numId w:val="6"/>
        </w:numPr>
        <w:tabs>
          <w:tab w:val="left" w:pos="1440"/>
        </w:tabs>
        <w:ind w:left="1440"/>
        <w:rPr>
          <w:color w:val="000000" w:themeColor="text1"/>
          <w:sz w:val="24"/>
          <w:szCs w:val="24"/>
          <w:shd w:val="clear" w:color="auto" w:fill="FFFFFF"/>
        </w:rPr>
      </w:pPr>
      <w:proofErr w:type="spellStart"/>
      <w:r w:rsidRPr="00DA007B">
        <w:rPr>
          <w:rStyle w:val="Strong"/>
          <w:b w:val="0"/>
          <w:bCs w:val="0"/>
          <w:i/>
          <w:iCs/>
          <w:color w:val="000000" w:themeColor="text1"/>
          <w:sz w:val="24"/>
          <w:szCs w:val="24"/>
          <w:shd w:val="clear" w:color="auto" w:fill="FFFFFF"/>
        </w:rPr>
        <w:t>Centocor</w:t>
      </w:r>
      <w:proofErr w:type="spellEnd"/>
      <w:r w:rsidRPr="00DA007B">
        <w:rPr>
          <w:rStyle w:val="Strong"/>
          <w:b w:val="0"/>
          <w:bCs w:val="0"/>
          <w:i/>
          <w:iCs/>
          <w:color w:val="000000" w:themeColor="text1"/>
          <w:sz w:val="24"/>
          <w:szCs w:val="24"/>
          <w:shd w:val="clear" w:color="auto" w:fill="FFFFFF"/>
        </w:rPr>
        <w:t xml:space="preserve"> Ortho Biotech, Inc. v. Abbott Labs</w:t>
      </w:r>
      <w:r w:rsidRPr="00DA007B">
        <w:rPr>
          <w:rStyle w:val="Strong"/>
          <w:b w:val="0"/>
          <w:bCs w:val="0"/>
          <w:color w:val="000000" w:themeColor="text1"/>
          <w:sz w:val="24"/>
          <w:szCs w:val="24"/>
          <w:shd w:val="clear" w:color="auto" w:fill="FFFFFF"/>
        </w:rPr>
        <w:t xml:space="preserve">., </w:t>
      </w:r>
      <w:r w:rsidRPr="00DA007B">
        <w:rPr>
          <w:color w:val="000000" w:themeColor="text1"/>
          <w:sz w:val="24"/>
          <w:szCs w:val="24"/>
          <w:shd w:val="clear" w:color="auto" w:fill="FFFFFF"/>
        </w:rPr>
        <w:t>636 F.3d 1341 (Fed. Cir. 2011)</w:t>
      </w:r>
    </w:p>
    <w:p w14:paraId="17D7BCD4" w14:textId="3FF4289C" w:rsidR="004009CD" w:rsidRDefault="004009CD" w:rsidP="004009CD">
      <w:pPr>
        <w:pStyle w:val="ListParagraph"/>
        <w:numPr>
          <w:ilvl w:val="2"/>
          <w:numId w:val="6"/>
        </w:numPr>
        <w:tabs>
          <w:tab w:val="left" w:pos="1440"/>
        </w:tabs>
        <w:ind w:left="1440"/>
        <w:rPr>
          <w:color w:val="000000" w:themeColor="text1"/>
          <w:sz w:val="24"/>
          <w:szCs w:val="24"/>
          <w:shd w:val="clear" w:color="auto" w:fill="FFFFFF"/>
        </w:rPr>
      </w:pPr>
      <w:r w:rsidRPr="004009CD">
        <w:rPr>
          <w:i/>
          <w:iCs/>
          <w:color w:val="000000" w:themeColor="text1"/>
          <w:sz w:val="24"/>
          <w:szCs w:val="24"/>
          <w:shd w:val="clear" w:color="auto" w:fill="FFFFFF"/>
        </w:rPr>
        <w:t>AbbVie Deutschland GmbH &amp; Co. v. Janssen Biotech, Inc.</w:t>
      </w:r>
      <w:r>
        <w:rPr>
          <w:color w:val="000000" w:themeColor="text1"/>
          <w:sz w:val="24"/>
          <w:szCs w:val="24"/>
          <w:shd w:val="clear" w:color="auto" w:fill="FFFFFF"/>
        </w:rPr>
        <w:t>, 759 F.3d 1285 (Fed. Cir. 2014)</w:t>
      </w:r>
    </w:p>
    <w:p w14:paraId="14C6B6E6" w14:textId="19486899" w:rsidR="004009CD" w:rsidRDefault="004009CD" w:rsidP="004009CD">
      <w:pPr>
        <w:pStyle w:val="ListParagraph"/>
        <w:numPr>
          <w:ilvl w:val="2"/>
          <w:numId w:val="6"/>
        </w:numPr>
        <w:tabs>
          <w:tab w:val="left" w:pos="1440"/>
        </w:tabs>
        <w:ind w:left="1440"/>
        <w:rPr>
          <w:color w:val="000000" w:themeColor="text1"/>
          <w:sz w:val="24"/>
          <w:szCs w:val="24"/>
          <w:shd w:val="clear" w:color="auto" w:fill="FFFFFF"/>
        </w:rPr>
      </w:pPr>
      <w:r w:rsidRPr="004009CD">
        <w:rPr>
          <w:i/>
          <w:iCs/>
          <w:color w:val="000000" w:themeColor="text1"/>
          <w:sz w:val="24"/>
          <w:szCs w:val="24"/>
          <w:shd w:val="clear" w:color="auto" w:fill="FFFFFF"/>
        </w:rPr>
        <w:t>Amgen Inc. v. Sanofi</w:t>
      </w:r>
      <w:r>
        <w:rPr>
          <w:color w:val="000000" w:themeColor="text1"/>
          <w:sz w:val="24"/>
          <w:szCs w:val="24"/>
          <w:shd w:val="clear" w:color="auto" w:fill="FFFFFF"/>
        </w:rPr>
        <w:t>, 872 F. 3d 1367 (Fed. Cir. 2017)</w:t>
      </w:r>
    </w:p>
    <w:p w14:paraId="09E17965" w14:textId="0CF5E07E" w:rsidR="004009CD" w:rsidRDefault="004009CD" w:rsidP="004009CD">
      <w:pPr>
        <w:pStyle w:val="ListParagraph"/>
        <w:numPr>
          <w:ilvl w:val="2"/>
          <w:numId w:val="6"/>
        </w:numPr>
        <w:tabs>
          <w:tab w:val="left" w:pos="1440"/>
        </w:tabs>
        <w:ind w:left="1440"/>
        <w:rPr>
          <w:color w:val="000000" w:themeColor="text1"/>
          <w:sz w:val="24"/>
          <w:szCs w:val="24"/>
          <w:shd w:val="clear" w:color="auto" w:fill="FFFFFF"/>
        </w:rPr>
      </w:pPr>
      <w:r w:rsidRPr="004009CD">
        <w:rPr>
          <w:i/>
          <w:iCs/>
          <w:color w:val="000000" w:themeColor="text1"/>
          <w:sz w:val="24"/>
          <w:szCs w:val="24"/>
          <w:shd w:val="clear" w:color="auto" w:fill="FFFFFF"/>
        </w:rPr>
        <w:t>Amgen Inc. v. Sanofi</w:t>
      </w:r>
      <w:r>
        <w:rPr>
          <w:color w:val="000000" w:themeColor="text1"/>
          <w:sz w:val="24"/>
          <w:szCs w:val="24"/>
          <w:shd w:val="clear" w:color="auto" w:fill="FFFFFF"/>
        </w:rPr>
        <w:t xml:space="preserve">, </w:t>
      </w:r>
    </w:p>
    <w:p w14:paraId="6C011221" w14:textId="77777777" w:rsidR="00982783" w:rsidRPr="006E2626" w:rsidRDefault="00982783" w:rsidP="006E2626">
      <w:pPr>
        <w:ind w:firstLine="720"/>
        <w:rPr>
          <w:sz w:val="24"/>
          <w:szCs w:val="24"/>
        </w:rPr>
      </w:pPr>
    </w:p>
    <w:p w14:paraId="215940D9" w14:textId="77777777" w:rsidR="00590ECE" w:rsidRDefault="00A22027" w:rsidP="00590ECE">
      <w:pPr>
        <w:pStyle w:val="ListParagraph"/>
        <w:keepNext/>
        <w:numPr>
          <w:ilvl w:val="0"/>
          <w:numId w:val="6"/>
        </w:numPr>
        <w:rPr>
          <w:b/>
          <w:bCs/>
          <w:sz w:val="24"/>
          <w:szCs w:val="24"/>
        </w:rPr>
      </w:pPr>
      <w:r w:rsidRPr="008334A7">
        <w:rPr>
          <w:b/>
          <w:bCs/>
          <w:sz w:val="24"/>
          <w:szCs w:val="24"/>
        </w:rPr>
        <w:t>CRISPR</w:t>
      </w:r>
    </w:p>
    <w:p w14:paraId="134635A6" w14:textId="2CCB4650" w:rsidR="00590ECE" w:rsidRDefault="00590ECE" w:rsidP="00590ECE">
      <w:pPr>
        <w:pStyle w:val="ListParagraph"/>
        <w:keepNext/>
        <w:numPr>
          <w:ilvl w:val="1"/>
          <w:numId w:val="6"/>
        </w:numPr>
        <w:rPr>
          <w:sz w:val="24"/>
          <w:szCs w:val="24"/>
        </w:rPr>
      </w:pPr>
      <w:bookmarkStart w:id="1" w:name="_Hlk77154220"/>
      <w:r w:rsidRPr="00590ECE">
        <w:rPr>
          <w:sz w:val="24"/>
          <w:szCs w:val="24"/>
        </w:rPr>
        <w:t>Background Reading</w:t>
      </w:r>
      <w:r>
        <w:rPr>
          <w:sz w:val="24"/>
          <w:szCs w:val="24"/>
        </w:rPr>
        <w:t xml:space="preserve"> on the CRISPR Technology</w:t>
      </w:r>
    </w:p>
    <w:p w14:paraId="33691374" w14:textId="77777777" w:rsidR="00590ECE" w:rsidRPr="00590ECE" w:rsidRDefault="00590ECE" w:rsidP="00590ECE">
      <w:pPr>
        <w:pStyle w:val="ListParagraph"/>
        <w:keepNext/>
        <w:ind w:left="1080"/>
        <w:rPr>
          <w:bCs/>
          <w:sz w:val="24"/>
          <w:szCs w:val="24"/>
        </w:rPr>
      </w:pPr>
      <w:r w:rsidRPr="00590ECE">
        <w:rPr>
          <w:bCs/>
          <w:sz w:val="24"/>
          <w:szCs w:val="24"/>
        </w:rPr>
        <w:t xml:space="preserve">Adli, M., The CRISPR tool kit for genome editing and beyond, </w:t>
      </w:r>
      <w:r w:rsidRPr="00590ECE">
        <w:rPr>
          <w:bCs/>
          <w:i/>
          <w:iCs/>
          <w:sz w:val="24"/>
          <w:szCs w:val="24"/>
        </w:rPr>
        <w:t>Nature Communications</w:t>
      </w:r>
      <w:r w:rsidRPr="00590ECE">
        <w:rPr>
          <w:bCs/>
          <w:sz w:val="24"/>
          <w:szCs w:val="24"/>
        </w:rPr>
        <w:t xml:space="preserve"> 9, 1911 (2018). </w:t>
      </w:r>
      <w:hyperlink r:id="rId38" w:history="1">
        <w:r w:rsidRPr="00590ECE">
          <w:rPr>
            <w:rStyle w:val="Hyperlink"/>
            <w:sz w:val="24"/>
            <w:szCs w:val="24"/>
            <w:shd w:val="clear" w:color="auto" w:fill="FFFFFF"/>
          </w:rPr>
          <w:t>https://doi.org/10.1038/s41467-018-04252-2</w:t>
        </w:r>
      </w:hyperlink>
      <w:r w:rsidRPr="00590ECE">
        <w:rPr>
          <w:rFonts w:ascii="Segoe UI" w:hAnsi="Segoe UI" w:cs="Segoe UI"/>
          <w:color w:val="222222"/>
          <w:shd w:val="clear" w:color="auto" w:fill="FFFFFF"/>
        </w:rPr>
        <w:t xml:space="preserve"> </w:t>
      </w:r>
    </w:p>
    <w:p w14:paraId="3D82F530" w14:textId="77777777" w:rsidR="00590ECE" w:rsidRPr="00590ECE" w:rsidRDefault="00590ECE" w:rsidP="00590ECE">
      <w:pPr>
        <w:pStyle w:val="ListParagraph"/>
        <w:keepNext/>
        <w:numPr>
          <w:ilvl w:val="1"/>
          <w:numId w:val="6"/>
        </w:numPr>
        <w:rPr>
          <w:sz w:val="24"/>
          <w:szCs w:val="24"/>
        </w:rPr>
      </w:pPr>
      <w:r w:rsidRPr="00590ECE">
        <w:rPr>
          <w:sz w:val="24"/>
          <w:szCs w:val="24"/>
        </w:rPr>
        <w:t>Cases</w:t>
      </w:r>
    </w:p>
    <w:p w14:paraId="677427CF" w14:textId="13F51DBF" w:rsidR="0092763E" w:rsidRPr="00590ECE" w:rsidRDefault="005F7400" w:rsidP="00590ECE">
      <w:pPr>
        <w:pStyle w:val="ListParagraph"/>
        <w:keepNext/>
        <w:ind w:left="1080"/>
        <w:rPr>
          <w:b/>
          <w:bCs/>
          <w:sz w:val="24"/>
          <w:szCs w:val="24"/>
        </w:rPr>
      </w:pPr>
      <w:r w:rsidRPr="00590ECE">
        <w:rPr>
          <w:bCs/>
          <w:i/>
          <w:iCs/>
          <w:sz w:val="24"/>
          <w:szCs w:val="24"/>
        </w:rPr>
        <w:t xml:space="preserve">Regents of the Univ. of Cal. </w:t>
      </w:r>
      <w:r w:rsidR="005235EF" w:rsidRPr="00590ECE">
        <w:rPr>
          <w:bCs/>
          <w:i/>
          <w:iCs/>
          <w:sz w:val="24"/>
          <w:szCs w:val="24"/>
        </w:rPr>
        <w:t>v</w:t>
      </w:r>
      <w:r w:rsidRPr="00590ECE">
        <w:rPr>
          <w:bCs/>
          <w:i/>
          <w:iCs/>
          <w:sz w:val="24"/>
          <w:szCs w:val="24"/>
        </w:rPr>
        <w:t>. Broad Inst., Inc.</w:t>
      </w:r>
      <w:r w:rsidRPr="00590ECE">
        <w:rPr>
          <w:bCs/>
          <w:sz w:val="24"/>
          <w:szCs w:val="24"/>
        </w:rPr>
        <w:t>, 903 F.3d 1286 (Fed. Cir. 2018)</w:t>
      </w:r>
    </w:p>
    <w:p w14:paraId="30B80FA7" w14:textId="2875B93C" w:rsidR="006C39B0" w:rsidRDefault="005235EF" w:rsidP="00590ECE">
      <w:pPr>
        <w:keepNext/>
        <w:ind w:left="720" w:firstLine="360"/>
        <w:rPr>
          <w:bCs/>
          <w:sz w:val="24"/>
          <w:szCs w:val="24"/>
        </w:rPr>
      </w:pPr>
      <w:r w:rsidRPr="005F7400">
        <w:rPr>
          <w:bCs/>
          <w:i/>
          <w:iCs/>
          <w:sz w:val="24"/>
          <w:szCs w:val="24"/>
        </w:rPr>
        <w:t xml:space="preserve">Regents of the Univ. of Cal. </w:t>
      </w:r>
      <w:r>
        <w:rPr>
          <w:bCs/>
          <w:i/>
          <w:iCs/>
          <w:sz w:val="24"/>
          <w:szCs w:val="24"/>
        </w:rPr>
        <w:t>v</w:t>
      </w:r>
      <w:r w:rsidRPr="005F7400">
        <w:rPr>
          <w:bCs/>
          <w:i/>
          <w:iCs/>
          <w:sz w:val="24"/>
          <w:szCs w:val="24"/>
        </w:rPr>
        <w:t>. Broad Inst., Inc.</w:t>
      </w:r>
      <w:r>
        <w:rPr>
          <w:bCs/>
          <w:sz w:val="24"/>
          <w:szCs w:val="24"/>
        </w:rPr>
        <w:t>, Patent Interference No. 106,115</w:t>
      </w:r>
    </w:p>
    <w:bookmarkEnd w:id="1"/>
    <w:p w14:paraId="1CF0D52E" w14:textId="77777777" w:rsidR="00382883" w:rsidRDefault="00382883" w:rsidP="00382883">
      <w:pPr>
        <w:rPr>
          <w:bCs/>
          <w:sz w:val="24"/>
          <w:szCs w:val="24"/>
        </w:rPr>
      </w:pPr>
    </w:p>
    <w:p w14:paraId="05AC606B" w14:textId="0AA2A717" w:rsidR="00AD1AD1" w:rsidRDefault="00AD1AD1" w:rsidP="00382883">
      <w:pPr>
        <w:rPr>
          <w:b/>
          <w:sz w:val="24"/>
          <w:szCs w:val="24"/>
          <w:u w:val="single"/>
        </w:rPr>
      </w:pPr>
      <w:r w:rsidRPr="00AD1AD1">
        <w:rPr>
          <w:b/>
          <w:sz w:val="24"/>
          <w:szCs w:val="24"/>
          <w:u w:val="single"/>
        </w:rPr>
        <w:t>GUEST SPEAKERS</w:t>
      </w:r>
    </w:p>
    <w:p w14:paraId="1D5AE2DC" w14:textId="42BDD8A8" w:rsidR="00AD1AD1" w:rsidRDefault="00AD1AD1" w:rsidP="005235EF">
      <w:pPr>
        <w:ind w:left="720"/>
        <w:rPr>
          <w:bCs/>
          <w:sz w:val="24"/>
          <w:szCs w:val="24"/>
        </w:rPr>
      </w:pPr>
    </w:p>
    <w:p w14:paraId="082D6A7E" w14:textId="534749EC" w:rsidR="00AD1AD1" w:rsidRDefault="00343346" w:rsidP="00382883">
      <w:pPr>
        <w:pStyle w:val="ListParagraph"/>
        <w:numPr>
          <w:ilvl w:val="0"/>
          <w:numId w:val="7"/>
        </w:numPr>
        <w:ind w:left="720" w:hanging="270"/>
        <w:rPr>
          <w:bCs/>
          <w:sz w:val="24"/>
          <w:szCs w:val="24"/>
        </w:rPr>
      </w:pPr>
      <w:r>
        <w:rPr>
          <w:b/>
          <w:sz w:val="24"/>
          <w:szCs w:val="24"/>
        </w:rPr>
        <w:t>Richard Linn</w:t>
      </w:r>
      <w:r w:rsidR="00AD1AD1" w:rsidRPr="006E3D5E">
        <w:rPr>
          <w:b/>
          <w:sz w:val="24"/>
          <w:szCs w:val="24"/>
        </w:rPr>
        <w:t>, Circuit Judge, United States Court of Appeals for the Federal Circuit</w:t>
      </w:r>
      <w:r w:rsidR="00AD1AD1">
        <w:rPr>
          <w:bCs/>
          <w:sz w:val="24"/>
          <w:szCs w:val="24"/>
        </w:rPr>
        <w:t>, has agreed to join the class for an afternoon to discuss the state of patent</w:t>
      </w:r>
      <w:r w:rsidR="003F2F00">
        <w:rPr>
          <w:bCs/>
          <w:sz w:val="24"/>
          <w:szCs w:val="24"/>
        </w:rPr>
        <w:t xml:space="preserve"> subject</w:t>
      </w:r>
      <w:r w:rsidR="00AD1AD1">
        <w:rPr>
          <w:bCs/>
          <w:sz w:val="24"/>
          <w:szCs w:val="24"/>
        </w:rPr>
        <w:t xml:space="preserve"> matter eligibility. </w:t>
      </w:r>
      <w:hyperlink r:id="rId39" w:history="1">
        <w:r w:rsidRPr="00343346">
          <w:rPr>
            <w:rStyle w:val="Hyperlink"/>
            <w:sz w:val="24"/>
            <w:szCs w:val="24"/>
          </w:rPr>
          <w:t>http://www.cafc.uscourts.gov/judges/richard-linn-circuit-judge</w:t>
        </w:r>
      </w:hyperlink>
    </w:p>
    <w:p w14:paraId="50EFBEA2" w14:textId="77777777" w:rsidR="00AD1AD1" w:rsidRPr="00AD1AD1" w:rsidRDefault="00AD1AD1" w:rsidP="00382883">
      <w:pPr>
        <w:ind w:left="720" w:hanging="270"/>
        <w:rPr>
          <w:bCs/>
          <w:sz w:val="24"/>
          <w:szCs w:val="24"/>
        </w:rPr>
      </w:pPr>
    </w:p>
    <w:p w14:paraId="7726FEE0" w14:textId="17000FBD" w:rsidR="00AD1AD1" w:rsidRPr="00343346" w:rsidRDefault="00AD1AD1" w:rsidP="00343346">
      <w:pPr>
        <w:pStyle w:val="ListParagraph"/>
        <w:numPr>
          <w:ilvl w:val="0"/>
          <w:numId w:val="7"/>
        </w:numPr>
        <w:ind w:left="720" w:hanging="270"/>
        <w:rPr>
          <w:bCs/>
          <w:sz w:val="24"/>
          <w:szCs w:val="24"/>
        </w:rPr>
      </w:pPr>
      <w:r w:rsidRPr="006E3D5E">
        <w:rPr>
          <w:b/>
          <w:i/>
          <w:iCs/>
          <w:sz w:val="24"/>
          <w:szCs w:val="24"/>
        </w:rPr>
        <w:t>Rachel Herder,</w:t>
      </w:r>
      <w:r w:rsidR="00CF3153" w:rsidRPr="006E3D5E">
        <w:rPr>
          <w:b/>
          <w:i/>
          <w:iCs/>
          <w:sz w:val="24"/>
          <w:szCs w:val="24"/>
        </w:rPr>
        <w:t xml:space="preserve"> </w:t>
      </w:r>
      <w:r w:rsidR="006E3D5E" w:rsidRPr="006E3D5E">
        <w:rPr>
          <w:b/>
          <w:i/>
          <w:iCs/>
          <w:sz w:val="24"/>
          <w:szCs w:val="24"/>
        </w:rPr>
        <w:t xml:space="preserve">J.D., </w:t>
      </w:r>
      <w:r w:rsidR="00CF3153" w:rsidRPr="006E3D5E">
        <w:rPr>
          <w:b/>
          <w:i/>
          <w:iCs/>
          <w:sz w:val="24"/>
          <w:szCs w:val="24"/>
        </w:rPr>
        <w:t>Ph.D.,</w:t>
      </w:r>
      <w:r w:rsidRPr="006E3D5E">
        <w:rPr>
          <w:b/>
          <w:sz w:val="24"/>
          <w:szCs w:val="24"/>
        </w:rPr>
        <w:t xml:space="preserve"> Vice President of Intellectual Property, Mammoth Biosciences</w:t>
      </w:r>
      <w:r w:rsidR="00CF3153">
        <w:rPr>
          <w:bCs/>
          <w:sz w:val="24"/>
          <w:szCs w:val="24"/>
        </w:rPr>
        <w:t>, will join the class to discuss the state of CRISPR patents</w:t>
      </w:r>
      <w:r>
        <w:rPr>
          <w:bCs/>
          <w:sz w:val="24"/>
          <w:szCs w:val="24"/>
        </w:rPr>
        <w:t>.</w:t>
      </w:r>
      <w:r w:rsidR="00CF3153">
        <w:rPr>
          <w:bCs/>
          <w:sz w:val="24"/>
          <w:szCs w:val="24"/>
        </w:rPr>
        <w:t xml:space="preserve"> Dr. Herder is the </w:t>
      </w:r>
      <w:r w:rsidR="00CF3153">
        <w:rPr>
          <w:bCs/>
          <w:sz w:val="24"/>
          <w:szCs w:val="24"/>
        </w:rPr>
        <w:lastRenderedPageBreak/>
        <w:t xml:space="preserve">sole in-house attorney for Mammoth Biosciences, which is an early stage company co-founded by Nobel laureate Jennifer </w:t>
      </w:r>
      <w:proofErr w:type="spellStart"/>
      <w:r w:rsidR="00CF3153">
        <w:rPr>
          <w:bCs/>
          <w:sz w:val="24"/>
          <w:szCs w:val="24"/>
        </w:rPr>
        <w:t>Doudna</w:t>
      </w:r>
      <w:proofErr w:type="spellEnd"/>
      <w:r w:rsidR="00CF3153">
        <w:rPr>
          <w:bCs/>
          <w:sz w:val="24"/>
          <w:szCs w:val="24"/>
        </w:rPr>
        <w:t xml:space="preserve"> and is developing products based on the CRISPR platform.</w:t>
      </w:r>
    </w:p>
    <w:sectPr w:rsidR="00AD1AD1" w:rsidRPr="0034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3AC0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C64FA"/>
    <w:multiLevelType w:val="hybridMultilevel"/>
    <w:tmpl w:val="CE0C3574"/>
    <w:lvl w:ilvl="0" w:tplc="FCB44E9E">
      <w:start w:val="2"/>
      <w:numFmt w:val="decimal"/>
      <w:lvlText w:val="%1."/>
      <w:lvlJc w:val="left"/>
      <w:pPr>
        <w:ind w:left="1440" w:hanging="360"/>
      </w:pPr>
      <w:rPr>
        <w:strike w:val="0"/>
        <w:dstrike w:val="0"/>
        <w:u w:val="none" w:color="000000"/>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F625023"/>
    <w:multiLevelType w:val="hybridMultilevel"/>
    <w:tmpl w:val="284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C0E34"/>
    <w:multiLevelType w:val="hybridMultilevel"/>
    <w:tmpl w:val="10D2CE3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72312C"/>
    <w:multiLevelType w:val="hybridMultilevel"/>
    <w:tmpl w:val="29AE752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54907C20">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04727"/>
    <w:multiLevelType w:val="hybridMultilevel"/>
    <w:tmpl w:val="14E87AF8"/>
    <w:lvl w:ilvl="0" w:tplc="AFE8F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E341B"/>
    <w:multiLevelType w:val="hybridMultilevel"/>
    <w:tmpl w:val="B5AE8BE8"/>
    <w:lvl w:ilvl="0" w:tplc="B48832E4">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83103"/>
    <w:multiLevelType w:val="hybridMultilevel"/>
    <w:tmpl w:val="1068E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8FA5B0B"/>
    <w:multiLevelType w:val="hybridMultilevel"/>
    <w:tmpl w:val="5FD267C6"/>
    <w:lvl w:ilvl="0" w:tplc="1690D12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4"/>
  </w:num>
  <w:num w:numId="7">
    <w:abstractNumId w:val="5"/>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64"/>
    <w:rsid w:val="000104C2"/>
    <w:rsid w:val="00013256"/>
    <w:rsid w:val="00046389"/>
    <w:rsid w:val="00053AAA"/>
    <w:rsid w:val="000657CC"/>
    <w:rsid w:val="00076702"/>
    <w:rsid w:val="000828B0"/>
    <w:rsid w:val="0008439B"/>
    <w:rsid w:val="000975BE"/>
    <w:rsid w:val="000A148B"/>
    <w:rsid w:val="000B5CEE"/>
    <w:rsid w:val="000C0E32"/>
    <w:rsid w:val="000D6937"/>
    <w:rsid w:val="000D76C6"/>
    <w:rsid w:val="000F64DC"/>
    <w:rsid w:val="0013098C"/>
    <w:rsid w:val="00130EF1"/>
    <w:rsid w:val="00145994"/>
    <w:rsid w:val="001579D4"/>
    <w:rsid w:val="0016419F"/>
    <w:rsid w:val="001666D8"/>
    <w:rsid w:val="0016679E"/>
    <w:rsid w:val="001874FF"/>
    <w:rsid w:val="00192A30"/>
    <w:rsid w:val="0019667A"/>
    <w:rsid w:val="001A41C4"/>
    <w:rsid w:val="001A4642"/>
    <w:rsid w:val="001D1CCF"/>
    <w:rsid w:val="001E0536"/>
    <w:rsid w:val="001E32B6"/>
    <w:rsid w:val="001F3786"/>
    <w:rsid w:val="001F7680"/>
    <w:rsid w:val="0021683B"/>
    <w:rsid w:val="00217283"/>
    <w:rsid w:val="00226D00"/>
    <w:rsid w:val="00236A4C"/>
    <w:rsid w:val="00237CEC"/>
    <w:rsid w:val="00247C96"/>
    <w:rsid w:val="002556C6"/>
    <w:rsid w:val="00265FA3"/>
    <w:rsid w:val="00273279"/>
    <w:rsid w:val="00282228"/>
    <w:rsid w:val="00284AD6"/>
    <w:rsid w:val="002949EF"/>
    <w:rsid w:val="00297F01"/>
    <w:rsid w:val="002A4EFF"/>
    <w:rsid w:val="002B0B52"/>
    <w:rsid w:val="002E7680"/>
    <w:rsid w:val="002F787E"/>
    <w:rsid w:val="00310F74"/>
    <w:rsid w:val="0033327B"/>
    <w:rsid w:val="00343346"/>
    <w:rsid w:val="0035091F"/>
    <w:rsid w:val="0035366B"/>
    <w:rsid w:val="00372C26"/>
    <w:rsid w:val="003746B0"/>
    <w:rsid w:val="00382883"/>
    <w:rsid w:val="003858D3"/>
    <w:rsid w:val="003962CB"/>
    <w:rsid w:val="003C4F47"/>
    <w:rsid w:val="003C61FA"/>
    <w:rsid w:val="003D32F7"/>
    <w:rsid w:val="003E19B7"/>
    <w:rsid w:val="003F2F00"/>
    <w:rsid w:val="004009CD"/>
    <w:rsid w:val="00400C25"/>
    <w:rsid w:val="0040548E"/>
    <w:rsid w:val="00430645"/>
    <w:rsid w:val="00435C58"/>
    <w:rsid w:val="0044753E"/>
    <w:rsid w:val="00456E81"/>
    <w:rsid w:val="00463F74"/>
    <w:rsid w:val="00475C0D"/>
    <w:rsid w:val="00494688"/>
    <w:rsid w:val="00496E32"/>
    <w:rsid w:val="004A5E9A"/>
    <w:rsid w:val="004C0B78"/>
    <w:rsid w:val="004C4027"/>
    <w:rsid w:val="004F3EBB"/>
    <w:rsid w:val="00502515"/>
    <w:rsid w:val="005029B9"/>
    <w:rsid w:val="00511D56"/>
    <w:rsid w:val="005235EF"/>
    <w:rsid w:val="00537CAE"/>
    <w:rsid w:val="00567FB8"/>
    <w:rsid w:val="00570E47"/>
    <w:rsid w:val="00574D60"/>
    <w:rsid w:val="005756C0"/>
    <w:rsid w:val="005834A6"/>
    <w:rsid w:val="00590ECE"/>
    <w:rsid w:val="005B0681"/>
    <w:rsid w:val="005C37B3"/>
    <w:rsid w:val="005F4587"/>
    <w:rsid w:val="005F7400"/>
    <w:rsid w:val="00616714"/>
    <w:rsid w:val="00624652"/>
    <w:rsid w:val="0062586E"/>
    <w:rsid w:val="00663932"/>
    <w:rsid w:val="006B38D4"/>
    <w:rsid w:val="006B3CB3"/>
    <w:rsid w:val="006C39B0"/>
    <w:rsid w:val="006E1F00"/>
    <w:rsid w:val="006E2626"/>
    <w:rsid w:val="006E3D5E"/>
    <w:rsid w:val="00720F95"/>
    <w:rsid w:val="00730832"/>
    <w:rsid w:val="00745A80"/>
    <w:rsid w:val="00751ED4"/>
    <w:rsid w:val="00775639"/>
    <w:rsid w:val="0078654E"/>
    <w:rsid w:val="007B7E17"/>
    <w:rsid w:val="007D7A1A"/>
    <w:rsid w:val="007E0406"/>
    <w:rsid w:val="007E63E0"/>
    <w:rsid w:val="007F769E"/>
    <w:rsid w:val="00804DD4"/>
    <w:rsid w:val="008334A7"/>
    <w:rsid w:val="00840F8A"/>
    <w:rsid w:val="00856923"/>
    <w:rsid w:val="008608AD"/>
    <w:rsid w:val="00884F14"/>
    <w:rsid w:val="0089793B"/>
    <w:rsid w:val="008D3593"/>
    <w:rsid w:val="008E458F"/>
    <w:rsid w:val="008F1741"/>
    <w:rsid w:val="008F22D6"/>
    <w:rsid w:val="009109F1"/>
    <w:rsid w:val="00916FB2"/>
    <w:rsid w:val="0092763E"/>
    <w:rsid w:val="009428B7"/>
    <w:rsid w:val="009639D2"/>
    <w:rsid w:val="00966DA0"/>
    <w:rsid w:val="00982783"/>
    <w:rsid w:val="00995A29"/>
    <w:rsid w:val="009B0D05"/>
    <w:rsid w:val="009D49EC"/>
    <w:rsid w:val="009E36AB"/>
    <w:rsid w:val="00A060DC"/>
    <w:rsid w:val="00A22027"/>
    <w:rsid w:val="00A40AFF"/>
    <w:rsid w:val="00A61172"/>
    <w:rsid w:val="00A667F2"/>
    <w:rsid w:val="00A77D8E"/>
    <w:rsid w:val="00A8591B"/>
    <w:rsid w:val="00A96B29"/>
    <w:rsid w:val="00AA28B1"/>
    <w:rsid w:val="00AA480D"/>
    <w:rsid w:val="00AC299A"/>
    <w:rsid w:val="00AD1AD1"/>
    <w:rsid w:val="00AD4F66"/>
    <w:rsid w:val="00B21A6C"/>
    <w:rsid w:val="00B37B82"/>
    <w:rsid w:val="00B416EE"/>
    <w:rsid w:val="00B85D63"/>
    <w:rsid w:val="00B92C39"/>
    <w:rsid w:val="00BA02B5"/>
    <w:rsid w:val="00BB5B74"/>
    <w:rsid w:val="00BD303D"/>
    <w:rsid w:val="00BD63FF"/>
    <w:rsid w:val="00BF4B1F"/>
    <w:rsid w:val="00BF62DE"/>
    <w:rsid w:val="00BF76B0"/>
    <w:rsid w:val="00C01815"/>
    <w:rsid w:val="00C25C41"/>
    <w:rsid w:val="00C268DF"/>
    <w:rsid w:val="00C366B1"/>
    <w:rsid w:val="00C40C39"/>
    <w:rsid w:val="00C45AA5"/>
    <w:rsid w:val="00C61609"/>
    <w:rsid w:val="00C66259"/>
    <w:rsid w:val="00CB75CD"/>
    <w:rsid w:val="00CC7E7C"/>
    <w:rsid w:val="00CE58D3"/>
    <w:rsid w:val="00CF3153"/>
    <w:rsid w:val="00D222CF"/>
    <w:rsid w:val="00D673E3"/>
    <w:rsid w:val="00D86862"/>
    <w:rsid w:val="00D91A9D"/>
    <w:rsid w:val="00DA007B"/>
    <w:rsid w:val="00DB3308"/>
    <w:rsid w:val="00DC0EB7"/>
    <w:rsid w:val="00DC3C8B"/>
    <w:rsid w:val="00DC7F86"/>
    <w:rsid w:val="00DE2445"/>
    <w:rsid w:val="00DE757C"/>
    <w:rsid w:val="00DF2CF0"/>
    <w:rsid w:val="00E16C5E"/>
    <w:rsid w:val="00E205D1"/>
    <w:rsid w:val="00E76C46"/>
    <w:rsid w:val="00E871D0"/>
    <w:rsid w:val="00E927F5"/>
    <w:rsid w:val="00EB75CC"/>
    <w:rsid w:val="00EE5671"/>
    <w:rsid w:val="00F202F8"/>
    <w:rsid w:val="00F22BEB"/>
    <w:rsid w:val="00F2622E"/>
    <w:rsid w:val="00F3295B"/>
    <w:rsid w:val="00F46EB1"/>
    <w:rsid w:val="00F56467"/>
    <w:rsid w:val="00F63DD2"/>
    <w:rsid w:val="00F7634B"/>
    <w:rsid w:val="00F83240"/>
    <w:rsid w:val="00F87648"/>
    <w:rsid w:val="00F931C9"/>
    <w:rsid w:val="00FA6BB7"/>
    <w:rsid w:val="00FB1155"/>
    <w:rsid w:val="00FB2E71"/>
    <w:rsid w:val="00FC1AA5"/>
    <w:rsid w:val="00FC3564"/>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F108"/>
  <w15:chartTrackingRefBased/>
  <w15:docId w15:val="{C3FE65A3-4073-4A33-AD71-7D3E1AF2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6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semiHidden/>
    <w:unhideWhenUsed/>
    <w:qFormat/>
    <w:rsid w:val="00FC356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3564"/>
    <w:rPr>
      <w:rFonts w:ascii="Calibri" w:eastAsia="Times New Roman" w:hAnsi="Calibri" w:cs="Times New Roman"/>
      <w:b/>
      <w:bCs/>
      <w:sz w:val="28"/>
      <w:szCs w:val="28"/>
    </w:rPr>
  </w:style>
  <w:style w:type="character" w:styleId="Hyperlink">
    <w:name w:val="Hyperlink"/>
    <w:uiPriority w:val="99"/>
    <w:unhideWhenUsed/>
    <w:rsid w:val="00FC3564"/>
    <w:rPr>
      <w:color w:val="0000FF"/>
      <w:u w:val="single"/>
    </w:rPr>
  </w:style>
  <w:style w:type="paragraph" w:styleId="Header">
    <w:name w:val="header"/>
    <w:basedOn w:val="Normal"/>
    <w:link w:val="HeaderChar"/>
    <w:unhideWhenUsed/>
    <w:rsid w:val="00FC3564"/>
    <w:pPr>
      <w:tabs>
        <w:tab w:val="center" w:pos="4320"/>
        <w:tab w:val="right" w:pos="8640"/>
      </w:tabs>
    </w:pPr>
  </w:style>
  <w:style w:type="character" w:customStyle="1" w:styleId="HeaderChar">
    <w:name w:val="Header Char"/>
    <w:basedOn w:val="DefaultParagraphFont"/>
    <w:link w:val="Header"/>
    <w:rsid w:val="00FC3564"/>
    <w:rPr>
      <w:rFonts w:ascii="Times New Roman" w:eastAsia="Times New Roman" w:hAnsi="Times New Roman" w:cs="Times New Roman"/>
      <w:sz w:val="20"/>
      <w:szCs w:val="20"/>
    </w:rPr>
  </w:style>
  <w:style w:type="paragraph" w:styleId="Title">
    <w:name w:val="Title"/>
    <w:basedOn w:val="Normal"/>
    <w:link w:val="TitleChar"/>
    <w:qFormat/>
    <w:rsid w:val="00FC3564"/>
    <w:pPr>
      <w:jc w:val="center"/>
    </w:pPr>
    <w:rPr>
      <w:sz w:val="24"/>
    </w:rPr>
  </w:style>
  <w:style w:type="character" w:customStyle="1" w:styleId="TitleChar">
    <w:name w:val="Title Char"/>
    <w:basedOn w:val="DefaultParagraphFont"/>
    <w:link w:val="Title"/>
    <w:rsid w:val="00FC356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C3564"/>
    <w:pPr>
      <w:ind w:left="720"/>
    </w:pPr>
    <w:rPr>
      <w:sz w:val="24"/>
    </w:rPr>
  </w:style>
  <w:style w:type="character" w:customStyle="1" w:styleId="BodyTextIndentChar">
    <w:name w:val="Body Text Indent Char"/>
    <w:basedOn w:val="DefaultParagraphFont"/>
    <w:link w:val="BodyTextIndent"/>
    <w:rsid w:val="00FC356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B0D05"/>
    <w:rPr>
      <w:color w:val="954F72" w:themeColor="followedHyperlink"/>
      <w:u w:val="single"/>
    </w:rPr>
  </w:style>
  <w:style w:type="paragraph" w:styleId="ListParagraph">
    <w:name w:val="List Paragraph"/>
    <w:basedOn w:val="Normal"/>
    <w:uiPriority w:val="34"/>
    <w:qFormat/>
    <w:rsid w:val="00A77D8E"/>
    <w:pPr>
      <w:ind w:left="720"/>
      <w:contextualSpacing/>
    </w:pPr>
  </w:style>
  <w:style w:type="paragraph" w:styleId="BalloonText">
    <w:name w:val="Balloon Text"/>
    <w:basedOn w:val="Normal"/>
    <w:link w:val="BalloonTextChar"/>
    <w:uiPriority w:val="99"/>
    <w:semiHidden/>
    <w:unhideWhenUsed/>
    <w:rsid w:val="00C66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97F01"/>
    <w:rPr>
      <w:color w:val="605E5C"/>
      <w:shd w:val="clear" w:color="auto" w:fill="E1DFDD"/>
    </w:rPr>
  </w:style>
  <w:style w:type="character" w:styleId="Strong">
    <w:name w:val="Strong"/>
    <w:basedOn w:val="DefaultParagraphFont"/>
    <w:uiPriority w:val="22"/>
    <w:qFormat/>
    <w:rsid w:val="0019667A"/>
    <w:rPr>
      <w:b/>
      <w:bCs/>
    </w:rPr>
  </w:style>
  <w:style w:type="character" w:styleId="Emphasis">
    <w:name w:val="Emphasis"/>
    <w:basedOn w:val="DefaultParagraphFont"/>
    <w:uiPriority w:val="20"/>
    <w:qFormat/>
    <w:rsid w:val="0019667A"/>
    <w:rPr>
      <w:i/>
      <w:iCs/>
    </w:rPr>
  </w:style>
  <w:style w:type="paragraph" w:styleId="ListBullet">
    <w:name w:val="List Bullet"/>
    <w:basedOn w:val="Normal"/>
    <w:uiPriority w:val="99"/>
    <w:unhideWhenUsed/>
    <w:rsid w:val="00F2622E"/>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7860">
      <w:bodyDiv w:val="1"/>
      <w:marLeft w:val="0"/>
      <w:marRight w:val="0"/>
      <w:marTop w:val="0"/>
      <w:marBottom w:val="0"/>
      <w:divBdr>
        <w:top w:val="none" w:sz="0" w:space="0" w:color="auto"/>
        <w:left w:val="none" w:sz="0" w:space="0" w:color="auto"/>
        <w:bottom w:val="none" w:sz="0" w:space="0" w:color="auto"/>
        <w:right w:val="none" w:sz="0" w:space="0" w:color="auto"/>
      </w:divBdr>
    </w:div>
    <w:div w:id="14917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www.cafc.uscourts.gov/judges/richard-linn-circuit-judge" TargetMode="External"/><Relationship Id="rId21" Type="http://schemas.openxmlformats.org/officeDocument/2006/relationships/hyperlink" Target="http://www.dso.ufl.edu/drc/" TargetMode="External"/><Relationship Id="rId34" Type="http://schemas.openxmlformats.org/officeDocument/2006/relationships/hyperlink" Target="https://ufl.bluera.com/ufl/" TargetMode="External"/><Relationship Id="rId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law.ufl.edu/student-affairs/current-students/forms-applications/exam-delays-accommodations-form" TargetMode="External"/><Relationship Id="rId29" Type="http://schemas.openxmlformats.org/officeDocument/2006/relationships/hyperlink" Target="http://www.dso.ufl.edu/dr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doi.org/10.1186/s12929-019-0592-z" TargetMode="External"/><Relationship Id="rId40" Type="http://schemas.openxmlformats.org/officeDocument/2006/relationships/fontTable" Target="fontTable.xml"/><Relationship Id="rId5" Type="http://schemas.openxmlformats.org/officeDocument/2006/relationships/hyperlink" Target="mailto:brian.dorn@arthrex.com" TargetMode="Externa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doi.org/10.1007/978-981-10-0875-7_1"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gatorevals.aa.ufl.edu/public-results/" TargetMode="External"/><Relationship Id="rId8" Type="http://schemas.openxmlformats.org/officeDocument/2006/relationships/hyperlink" Target="http://www.dso.ufl.edu/students.php" TargetMode="External"/><Relationship Id="rId3" Type="http://schemas.openxmlformats.org/officeDocument/2006/relationships/settings" Target="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doi.org/10.1038/s41467-018-042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10879</Characters>
  <Application>Microsoft Office Word</Application>
  <DocSecurity>4</DocSecurity>
  <Lines>90</Lines>
  <Paragraphs>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Patents &amp; Biotechnology</vt:lpstr>
      <vt:lpstr>Law 6930</vt:lpstr>
      <vt:lpstr>Course 27407</vt:lpstr>
      <vt:lpstr/>
      <vt:lpstr/>
      <vt:lpstr>Brian R. Dorn, J.D., Ph.D.</vt:lpstr>
      <vt:lpstr>brian.dorn@arthrex.com</vt:lpstr>
      <vt:lpstr/>
      <vt:lpstr>Office Hours: </vt:lpstr>
      <vt:lpstr>Wednesday 9:00-10:00</vt:lpstr>
      <vt:lpstr>Thurs 10:00-11:00 </vt:lpstr>
      <vt:lpstr>College of Law Courtyard</vt:lpstr>
      <vt:lpstr/>
    </vt:vector>
  </TitlesOfParts>
  <Company>University of Michigan</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Levitsky, Melvyn</dc:creator>
  <cp:keywords/>
  <dc:description/>
  <cp:lastModifiedBy>McIlhenny, Ruth M.</cp:lastModifiedBy>
  <cp:revision>2</cp:revision>
  <cp:lastPrinted>2017-08-30T20:15:00Z</cp:lastPrinted>
  <dcterms:created xsi:type="dcterms:W3CDTF">2021-07-29T19:51:00Z</dcterms:created>
  <dcterms:modified xsi:type="dcterms:W3CDTF">2021-07-29T19:51:00Z</dcterms:modified>
</cp:coreProperties>
</file>