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9970" w14:textId="12CCE20C" w:rsidR="00FA4540" w:rsidRPr="0043077B" w:rsidRDefault="00AC6E6E" w:rsidP="00546490">
      <w:pPr>
        <w:spacing w:after="0" w:line="276" w:lineRule="auto"/>
        <w:contextualSpacing/>
        <w:jc w:val="center"/>
        <w:rPr>
          <w:rFonts w:cs="Times New Roman"/>
          <w:b/>
          <w:caps/>
          <w:sz w:val="22"/>
          <w:szCs w:val="22"/>
        </w:rPr>
      </w:pPr>
      <w:r w:rsidRPr="0043077B">
        <w:rPr>
          <w:rFonts w:cs="Times New Roman"/>
          <w:b/>
          <w:caps/>
          <w:sz w:val="22"/>
          <w:szCs w:val="22"/>
        </w:rPr>
        <w:t>Emerging Issu</w:t>
      </w:r>
      <w:r w:rsidR="006F556E" w:rsidRPr="0043077B">
        <w:rPr>
          <w:rFonts w:cs="Times New Roman"/>
          <w:b/>
          <w:caps/>
          <w:sz w:val="22"/>
          <w:szCs w:val="22"/>
        </w:rPr>
        <w:t xml:space="preserve">es in Financial </w:t>
      </w:r>
      <w:r w:rsidR="003D7B2A" w:rsidRPr="0043077B">
        <w:rPr>
          <w:rFonts w:cs="Times New Roman"/>
          <w:b/>
          <w:caps/>
          <w:sz w:val="22"/>
          <w:szCs w:val="22"/>
        </w:rPr>
        <w:t>Regulation</w:t>
      </w:r>
      <w:r w:rsidR="006F556E" w:rsidRPr="0043077B">
        <w:rPr>
          <w:rFonts w:cs="Times New Roman"/>
          <w:b/>
          <w:caps/>
          <w:sz w:val="22"/>
          <w:szCs w:val="22"/>
        </w:rPr>
        <w:t xml:space="preserve">: Climate, Crypto, Cyber, and Consumer </w:t>
      </w:r>
      <w:r w:rsidR="002A45D8">
        <w:rPr>
          <w:rFonts w:cs="Times New Roman"/>
          <w:b/>
          <w:caps/>
          <w:sz w:val="22"/>
          <w:szCs w:val="22"/>
        </w:rPr>
        <w:t>Protection</w:t>
      </w:r>
    </w:p>
    <w:p w14:paraId="56F14743" w14:textId="77777777" w:rsidR="005A534B" w:rsidRPr="0043077B" w:rsidRDefault="005A534B" w:rsidP="004F110E">
      <w:pPr>
        <w:spacing w:after="0" w:line="276" w:lineRule="auto"/>
        <w:contextualSpacing/>
        <w:rPr>
          <w:rFonts w:cs="Times New Roman"/>
          <w:sz w:val="22"/>
          <w:szCs w:val="22"/>
        </w:rPr>
      </w:pPr>
    </w:p>
    <w:p w14:paraId="0147AC8F" w14:textId="77777777" w:rsidR="00FA4540" w:rsidRPr="004F110E" w:rsidRDefault="00A63BFB" w:rsidP="004F110E">
      <w:pPr>
        <w:spacing w:after="0" w:line="276" w:lineRule="auto"/>
        <w:contextualSpacing/>
        <w:jc w:val="center"/>
        <w:rPr>
          <w:rFonts w:cs="Times New Roman"/>
          <w:sz w:val="22"/>
          <w:szCs w:val="22"/>
        </w:rPr>
      </w:pPr>
      <w:r w:rsidRPr="004F110E">
        <w:rPr>
          <w:rFonts w:cs="Times New Roman"/>
          <w:sz w:val="22"/>
          <w:szCs w:val="22"/>
        </w:rPr>
        <w:t>Compressed Course</w:t>
      </w:r>
    </w:p>
    <w:p w14:paraId="35B3ADE9" w14:textId="77777777" w:rsidR="00FA4540" w:rsidRPr="004F110E" w:rsidRDefault="006F556E" w:rsidP="004F110E">
      <w:pPr>
        <w:spacing w:after="0" w:line="276" w:lineRule="auto"/>
        <w:contextualSpacing/>
        <w:jc w:val="center"/>
        <w:rPr>
          <w:rFonts w:cs="Times New Roman"/>
          <w:sz w:val="22"/>
          <w:szCs w:val="22"/>
        </w:rPr>
      </w:pPr>
      <w:r w:rsidRPr="004F110E">
        <w:rPr>
          <w:rFonts w:cs="Times New Roman"/>
          <w:sz w:val="22"/>
          <w:szCs w:val="22"/>
        </w:rPr>
        <w:t>University of Florida</w:t>
      </w:r>
      <w:r w:rsidR="00A63BFB" w:rsidRPr="004F110E">
        <w:rPr>
          <w:rFonts w:cs="Times New Roman"/>
          <w:sz w:val="22"/>
          <w:szCs w:val="22"/>
        </w:rPr>
        <w:t>,</w:t>
      </w:r>
      <w:r w:rsidRPr="004F110E">
        <w:rPr>
          <w:rFonts w:cs="Times New Roman"/>
          <w:sz w:val="22"/>
          <w:szCs w:val="22"/>
        </w:rPr>
        <w:t xml:space="preserve"> Levin College of Law</w:t>
      </w:r>
    </w:p>
    <w:p w14:paraId="492393D2" w14:textId="66844077" w:rsidR="00A63BFB" w:rsidRPr="004F110E" w:rsidRDefault="005F546B" w:rsidP="004F110E">
      <w:pPr>
        <w:spacing w:after="0" w:line="276" w:lineRule="auto"/>
        <w:contextualSpacing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January 9-13, </w:t>
      </w:r>
      <w:r w:rsidR="00A63BFB" w:rsidRPr="004F110E">
        <w:rPr>
          <w:rFonts w:cs="Times New Roman"/>
          <w:sz w:val="22"/>
          <w:szCs w:val="22"/>
        </w:rPr>
        <w:t>2023</w:t>
      </w:r>
    </w:p>
    <w:p w14:paraId="74EAABDD" w14:textId="77777777" w:rsidR="00FA4540" w:rsidRPr="0043077B" w:rsidRDefault="00FA4540" w:rsidP="004F110E">
      <w:pPr>
        <w:spacing w:after="0" w:line="276" w:lineRule="auto"/>
        <w:contextualSpacing/>
        <w:rPr>
          <w:rFonts w:cs="Times New Roman"/>
          <w:sz w:val="22"/>
          <w:szCs w:val="22"/>
        </w:rPr>
      </w:pPr>
    </w:p>
    <w:p w14:paraId="69D02F8C" w14:textId="77777777" w:rsidR="005A534B" w:rsidRPr="0043077B" w:rsidRDefault="005A534B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Your</w:t>
      </w:r>
      <w:r w:rsidR="006041BC" w:rsidRPr="0043077B">
        <w:rPr>
          <w:rFonts w:cs="Times New Roman"/>
          <w:b/>
          <w:sz w:val="22"/>
          <w:szCs w:val="22"/>
        </w:rPr>
        <w:t xml:space="preserve"> adjunct professors</w:t>
      </w:r>
      <w:r w:rsidRPr="0043077B">
        <w:rPr>
          <w:rFonts w:cs="Times New Roman"/>
          <w:b/>
          <w:sz w:val="22"/>
          <w:szCs w:val="22"/>
        </w:rPr>
        <w:t xml:space="preserve"> for the course </w:t>
      </w:r>
    </w:p>
    <w:p w14:paraId="72BD0E35" w14:textId="77777777" w:rsidR="005A534B" w:rsidRPr="0043077B" w:rsidRDefault="005A534B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59D70D39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Stephen Liverpool</w:t>
      </w:r>
    </w:p>
    <w:p w14:paraId="2A233B38" w14:textId="4D3B31AF" w:rsidR="005A534B" w:rsidRPr="004F110E" w:rsidRDefault="002A45D8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Senior Vice President </w:t>
      </w:r>
      <w:r w:rsidR="00546490">
        <w:rPr>
          <w:rFonts w:cs="Times New Roman"/>
          <w:sz w:val="22"/>
          <w:szCs w:val="22"/>
        </w:rPr>
        <w:t xml:space="preserve">and </w:t>
      </w:r>
      <w:r w:rsidR="005A534B" w:rsidRPr="004F110E">
        <w:rPr>
          <w:rFonts w:cs="Times New Roman"/>
          <w:sz w:val="22"/>
          <w:szCs w:val="22"/>
        </w:rPr>
        <w:t>Gene</w:t>
      </w:r>
      <w:r w:rsidR="00F4102E" w:rsidRPr="004F110E">
        <w:rPr>
          <w:rFonts w:cs="Times New Roman"/>
          <w:sz w:val="22"/>
          <w:szCs w:val="22"/>
        </w:rPr>
        <w:t>ral Counsel, Raymond James Bank</w:t>
      </w:r>
    </w:p>
    <w:p w14:paraId="24A3A252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Telephone number: (727) 567-4098</w:t>
      </w:r>
    </w:p>
    <w:p w14:paraId="3496E880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Email address: Stephen.Liverpool@RaymondJames.com</w:t>
      </w:r>
    </w:p>
    <w:p w14:paraId="1C623FA2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</w:p>
    <w:p w14:paraId="002FE81F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Gareth McKibben</w:t>
      </w:r>
    </w:p>
    <w:p w14:paraId="48E89E90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Assistant General Counsel, Bank Regulatory, Raymond James Financial, Inc.</w:t>
      </w:r>
    </w:p>
    <w:p w14:paraId="1F17E816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Telephone number: (727) 567-4842</w:t>
      </w:r>
    </w:p>
    <w:p w14:paraId="732F59D3" w14:textId="77777777" w:rsidR="005A534B" w:rsidRPr="0043077B" w:rsidRDefault="005A534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Email address: Gareth.McKibben@RaymondJames.com</w:t>
      </w:r>
    </w:p>
    <w:p w14:paraId="7A95D894" w14:textId="77777777" w:rsidR="005A534B" w:rsidRPr="0043077B" w:rsidRDefault="005A534B" w:rsidP="00546490">
      <w:pPr>
        <w:pStyle w:val="ListParagraph"/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</w:p>
    <w:p w14:paraId="61A29961" w14:textId="77777777" w:rsidR="00E451DF" w:rsidRPr="0043077B" w:rsidRDefault="00E451DF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Class time</w:t>
      </w:r>
    </w:p>
    <w:p w14:paraId="35E30291" w14:textId="77777777" w:rsidR="00E451DF" w:rsidRPr="0043077B" w:rsidRDefault="00E451DF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60E656D5" w14:textId="2FEC65FA" w:rsidR="00E451DF" w:rsidRPr="0043077B" w:rsidRDefault="00E451DF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January 9-12, 2023, 9:30 am-12:</w:t>
      </w:r>
      <w:r w:rsidR="00095540">
        <w:rPr>
          <w:rFonts w:cs="Times New Roman"/>
          <w:sz w:val="22"/>
          <w:szCs w:val="22"/>
        </w:rPr>
        <w:t xml:space="preserve">20 </w:t>
      </w:r>
      <w:r w:rsidRPr="0043077B">
        <w:rPr>
          <w:rFonts w:cs="Times New Roman"/>
          <w:sz w:val="22"/>
          <w:szCs w:val="22"/>
        </w:rPr>
        <w:t xml:space="preserve">pm </w:t>
      </w:r>
    </w:p>
    <w:p w14:paraId="7F9E0144" w14:textId="468DCA97" w:rsidR="00E451DF" w:rsidRPr="0043077B" w:rsidRDefault="00E451DF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January 13, 2023, 9:30 am-11:</w:t>
      </w:r>
      <w:r w:rsidR="00095540">
        <w:rPr>
          <w:rFonts w:cs="Times New Roman"/>
          <w:sz w:val="22"/>
          <w:szCs w:val="22"/>
        </w:rPr>
        <w:t>20</w:t>
      </w:r>
      <w:r w:rsidRPr="0043077B">
        <w:rPr>
          <w:rFonts w:cs="Times New Roman"/>
          <w:sz w:val="22"/>
          <w:szCs w:val="22"/>
        </w:rPr>
        <w:t xml:space="preserve"> am</w:t>
      </w:r>
    </w:p>
    <w:p w14:paraId="6BA39060" w14:textId="77777777" w:rsidR="00E451DF" w:rsidRPr="0043077B" w:rsidRDefault="00E451DF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7CE6AAAF" w14:textId="77777777" w:rsidR="006041BC" w:rsidRPr="0043077B" w:rsidRDefault="00E451DF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O</w:t>
      </w:r>
      <w:r w:rsidR="00ED15A8" w:rsidRPr="0043077B">
        <w:rPr>
          <w:rFonts w:cs="Times New Roman"/>
          <w:b/>
          <w:sz w:val="22"/>
          <w:szCs w:val="22"/>
        </w:rPr>
        <w:t xml:space="preserve">ffice hours </w:t>
      </w:r>
    </w:p>
    <w:p w14:paraId="382EE67F" w14:textId="77777777" w:rsidR="005A534B" w:rsidRPr="0043077B" w:rsidRDefault="005A534B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7A4D77C4" w14:textId="36DC14EF" w:rsidR="005A534B" w:rsidRPr="0043077B" w:rsidRDefault="00ED15A8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 xml:space="preserve">We will be </w:t>
      </w:r>
      <w:r w:rsidR="004F110E" w:rsidRPr="004F110E">
        <w:rPr>
          <w:rFonts w:cs="Times New Roman"/>
          <w:sz w:val="22"/>
          <w:szCs w:val="22"/>
        </w:rPr>
        <w:t>available</w:t>
      </w:r>
      <w:r w:rsidRPr="004F110E">
        <w:rPr>
          <w:rFonts w:cs="Times New Roman"/>
          <w:sz w:val="22"/>
          <w:szCs w:val="22"/>
        </w:rPr>
        <w:t xml:space="preserve"> </w:t>
      </w:r>
      <w:r w:rsidRPr="0043077B">
        <w:rPr>
          <w:rFonts w:cs="Times New Roman"/>
          <w:sz w:val="22"/>
          <w:szCs w:val="22"/>
        </w:rPr>
        <w:t>by appointment.  We will also remain in the classroo</w:t>
      </w:r>
      <w:r w:rsidR="00E451DF" w:rsidRPr="0043077B">
        <w:rPr>
          <w:rFonts w:cs="Times New Roman"/>
          <w:sz w:val="22"/>
          <w:szCs w:val="22"/>
        </w:rPr>
        <w:t>m for in-</w:t>
      </w:r>
      <w:r w:rsidRPr="0043077B">
        <w:rPr>
          <w:rFonts w:cs="Times New Roman"/>
          <w:sz w:val="22"/>
          <w:szCs w:val="22"/>
        </w:rPr>
        <w:t xml:space="preserve">person office hours from </w:t>
      </w:r>
      <w:r w:rsidR="00E451DF" w:rsidRPr="0043077B">
        <w:rPr>
          <w:rFonts w:cs="Times New Roman"/>
          <w:sz w:val="22"/>
          <w:szCs w:val="22"/>
        </w:rPr>
        <w:t>1</w:t>
      </w:r>
      <w:r w:rsidRPr="0043077B">
        <w:rPr>
          <w:rFonts w:cs="Times New Roman"/>
          <w:sz w:val="22"/>
          <w:szCs w:val="22"/>
        </w:rPr>
        <w:t xml:space="preserve">2:30 to </w:t>
      </w:r>
      <w:r w:rsidR="00E451DF" w:rsidRPr="0043077B">
        <w:rPr>
          <w:rFonts w:cs="Times New Roman"/>
          <w:sz w:val="22"/>
          <w:szCs w:val="22"/>
        </w:rPr>
        <w:t>1</w:t>
      </w:r>
      <w:r w:rsidRPr="0043077B">
        <w:rPr>
          <w:rFonts w:cs="Times New Roman"/>
          <w:sz w:val="22"/>
          <w:szCs w:val="22"/>
        </w:rPr>
        <w:t>:30</w:t>
      </w:r>
      <w:r w:rsidR="00E451DF" w:rsidRPr="0043077B">
        <w:rPr>
          <w:rFonts w:cs="Times New Roman"/>
          <w:sz w:val="22"/>
          <w:szCs w:val="22"/>
        </w:rPr>
        <w:t xml:space="preserve"> pm</w:t>
      </w:r>
      <w:r w:rsidRPr="0043077B">
        <w:rPr>
          <w:rFonts w:cs="Times New Roman"/>
          <w:sz w:val="22"/>
          <w:szCs w:val="22"/>
        </w:rPr>
        <w:t xml:space="preserve"> on January </w:t>
      </w:r>
      <w:r w:rsidR="00E451DF" w:rsidRPr="0043077B">
        <w:rPr>
          <w:rFonts w:cs="Times New Roman"/>
          <w:sz w:val="22"/>
          <w:szCs w:val="22"/>
        </w:rPr>
        <w:t>10 and 12, 2023.</w:t>
      </w:r>
    </w:p>
    <w:p w14:paraId="08F88E0C" w14:textId="77777777" w:rsidR="00E451DF" w:rsidRPr="0043077B" w:rsidRDefault="00E451DF" w:rsidP="004F110E">
      <w:pPr>
        <w:pStyle w:val="ListParagraph"/>
        <w:spacing w:after="0" w:line="276" w:lineRule="auto"/>
        <w:rPr>
          <w:rFonts w:cs="Times New Roman"/>
          <w:sz w:val="22"/>
          <w:szCs w:val="22"/>
        </w:rPr>
      </w:pPr>
    </w:p>
    <w:p w14:paraId="426E0EF1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Course materials</w:t>
      </w:r>
    </w:p>
    <w:p w14:paraId="13401051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1BBEA1F5" w14:textId="2B7AE5A4" w:rsidR="00EB1855" w:rsidRPr="0043077B" w:rsidRDefault="00EB1855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No textbook is required for th</w:t>
      </w:r>
      <w:r w:rsidR="00675FD5" w:rsidRPr="0043077B">
        <w:rPr>
          <w:rFonts w:cs="Times New Roman"/>
          <w:sz w:val="22"/>
          <w:szCs w:val="22"/>
        </w:rPr>
        <w:t>is</w:t>
      </w:r>
      <w:r w:rsidRPr="0043077B">
        <w:rPr>
          <w:rFonts w:cs="Times New Roman"/>
          <w:sz w:val="22"/>
          <w:szCs w:val="22"/>
        </w:rPr>
        <w:t xml:space="preserve"> course.  Any materials needed are </w:t>
      </w:r>
      <w:r w:rsidR="004F110E" w:rsidRPr="004F110E">
        <w:rPr>
          <w:rFonts w:cs="Times New Roman"/>
          <w:sz w:val="22"/>
          <w:szCs w:val="22"/>
        </w:rPr>
        <w:t>available</w:t>
      </w:r>
      <w:r w:rsidR="008701E7" w:rsidRPr="004F110E">
        <w:rPr>
          <w:rFonts w:cs="Times New Roman"/>
          <w:sz w:val="22"/>
          <w:szCs w:val="22"/>
        </w:rPr>
        <w:t xml:space="preserve"> for</w:t>
      </w:r>
      <w:r w:rsidR="008701E7" w:rsidRPr="0043077B">
        <w:rPr>
          <w:rFonts w:cs="Times New Roman"/>
          <w:sz w:val="22"/>
          <w:szCs w:val="22"/>
        </w:rPr>
        <w:t xml:space="preserve"> free</w:t>
      </w:r>
      <w:r w:rsidRPr="0043077B">
        <w:rPr>
          <w:rFonts w:cs="Times New Roman"/>
          <w:sz w:val="22"/>
          <w:szCs w:val="22"/>
        </w:rPr>
        <w:t xml:space="preserve"> online.</w:t>
      </w:r>
    </w:p>
    <w:p w14:paraId="7B58061F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7AEFD675" w14:textId="77777777" w:rsidR="00E451DF" w:rsidRPr="0043077B" w:rsidRDefault="00E451DF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Course website</w:t>
      </w:r>
    </w:p>
    <w:p w14:paraId="5E0348CD" w14:textId="77777777" w:rsidR="00E451DF" w:rsidRPr="0043077B" w:rsidRDefault="00E451DF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3F0CDBE1" w14:textId="77777777" w:rsidR="006041BC" w:rsidRPr="0043077B" w:rsidRDefault="00BE7F44" w:rsidP="00546490">
      <w:pPr>
        <w:pStyle w:val="ListParagraph"/>
        <w:spacing w:after="0" w:line="276" w:lineRule="auto"/>
        <w:jc w:val="both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sz w:val="22"/>
          <w:szCs w:val="22"/>
        </w:rPr>
        <w:t>You are</w:t>
      </w:r>
      <w:r w:rsidR="00E451DF" w:rsidRPr="0043077B">
        <w:rPr>
          <w:rFonts w:cs="Times New Roman"/>
          <w:sz w:val="22"/>
          <w:szCs w:val="22"/>
        </w:rPr>
        <w:t xml:space="preserve"> responsible for reviewing </w:t>
      </w:r>
      <w:hyperlink r:id="rId8" w:history="1">
        <w:r w:rsidR="00E451DF" w:rsidRPr="0043077B">
          <w:rPr>
            <w:rStyle w:val="Hyperlink"/>
            <w:rFonts w:cs="Times New Roman"/>
            <w:sz w:val="22"/>
            <w:szCs w:val="22"/>
            <w:u w:val="none"/>
          </w:rPr>
          <w:t>Canvas</w:t>
        </w:r>
      </w:hyperlink>
      <w:r w:rsidR="00E451DF" w:rsidRPr="0043077B">
        <w:rPr>
          <w:rFonts w:cs="Times New Roman"/>
          <w:sz w:val="22"/>
          <w:szCs w:val="22"/>
        </w:rPr>
        <w:t xml:space="preserve"> for updates to </w:t>
      </w:r>
      <w:r w:rsidR="00675FD5" w:rsidRPr="0043077B">
        <w:rPr>
          <w:rFonts w:cs="Times New Roman"/>
          <w:sz w:val="22"/>
          <w:szCs w:val="22"/>
        </w:rPr>
        <w:t>this</w:t>
      </w:r>
      <w:r w:rsidR="00E451DF" w:rsidRPr="0043077B">
        <w:rPr>
          <w:rFonts w:cs="Times New Roman"/>
          <w:sz w:val="22"/>
          <w:szCs w:val="22"/>
        </w:rPr>
        <w:t xml:space="preserve"> course.</w:t>
      </w:r>
    </w:p>
    <w:p w14:paraId="6B5C26CB" w14:textId="4075D9A7" w:rsidR="00EB1855" w:rsidRDefault="00EB1855" w:rsidP="004F110E">
      <w:pPr>
        <w:pStyle w:val="ListParagraph"/>
        <w:spacing w:after="0" w:line="276" w:lineRule="auto"/>
        <w:rPr>
          <w:rFonts w:cs="Times New Roman"/>
          <w:b/>
          <w:sz w:val="22"/>
          <w:szCs w:val="22"/>
        </w:rPr>
      </w:pPr>
    </w:p>
    <w:p w14:paraId="042BA6E6" w14:textId="723345FB" w:rsidR="002A45D8" w:rsidRDefault="002A45D8" w:rsidP="004F110E">
      <w:pPr>
        <w:pStyle w:val="ListParagraph"/>
        <w:spacing w:after="0" w:line="276" w:lineRule="auto"/>
        <w:rPr>
          <w:rFonts w:cs="Times New Roman"/>
          <w:b/>
          <w:sz w:val="22"/>
          <w:szCs w:val="22"/>
        </w:rPr>
      </w:pPr>
    </w:p>
    <w:p w14:paraId="3410A9BE" w14:textId="2204DC85" w:rsidR="002A45D8" w:rsidRDefault="002A45D8" w:rsidP="004F110E">
      <w:pPr>
        <w:pStyle w:val="ListParagraph"/>
        <w:spacing w:after="0" w:line="276" w:lineRule="auto"/>
        <w:rPr>
          <w:rFonts w:cs="Times New Roman"/>
          <w:b/>
          <w:sz w:val="22"/>
          <w:szCs w:val="22"/>
        </w:rPr>
      </w:pPr>
    </w:p>
    <w:p w14:paraId="2F8CB030" w14:textId="5A0C3E8F" w:rsidR="002A45D8" w:rsidRDefault="002A45D8" w:rsidP="004F110E">
      <w:pPr>
        <w:pStyle w:val="ListParagraph"/>
        <w:spacing w:after="0" w:line="276" w:lineRule="auto"/>
        <w:rPr>
          <w:rFonts w:cs="Times New Roman"/>
          <w:b/>
          <w:sz w:val="22"/>
          <w:szCs w:val="22"/>
        </w:rPr>
      </w:pPr>
    </w:p>
    <w:p w14:paraId="22C8E8EA" w14:textId="77777777" w:rsidR="002A45D8" w:rsidRPr="0043077B" w:rsidRDefault="002A45D8" w:rsidP="004F110E">
      <w:pPr>
        <w:pStyle w:val="ListParagraph"/>
        <w:spacing w:after="0" w:line="276" w:lineRule="auto"/>
        <w:rPr>
          <w:rFonts w:cs="Times New Roman"/>
          <w:b/>
          <w:sz w:val="22"/>
          <w:szCs w:val="22"/>
        </w:rPr>
      </w:pPr>
    </w:p>
    <w:p w14:paraId="494934B4" w14:textId="495396BC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lastRenderedPageBreak/>
        <w:t xml:space="preserve">Course </w:t>
      </w:r>
      <w:r w:rsidR="006B1002">
        <w:rPr>
          <w:rFonts w:cs="Times New Roman"/>
          <w:b/>
          <w:sz w:val="22"/>
          <w:szCs w:val="22"/>
        </w:rPr>
        <w:t>description</w:t>
      </w:r>
    </w:p>
    <w:p w14:paraId="1877BA14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38D301F5" w14:textId="04FF79C1" w:rsidR="006B1002" w:rsidRPr="006B1002" w:rsidRDefault="006B1002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6B1002">
        <w:rPr>
          <w:rFonts w:cs="Times New Roman"/>
          <w:sz w:val="22"/>
          <w:szCs w:val="22"/>
        </w:rPr>
        <w:t xml:space="preserve">In this </w:t>
      </w:r>
      <w:r w:rsidR="002A45D8" w:rsidRPr="006B1002">
        <w:rPr>
          <w:rFonts w:cs="Times New Roman"/>
          <w:sz w:val="22"/>
          <w:szCs w:val="22"/>
        </w:rPr>
        <w:t>course,</w:t>
      </w:r>
      <w:r w:rsidRPr="006B1002">
        <w:rPr>
          <w:rFonts w:cs="Times New Roman"/>
          <w:sz w:val="22"/>
          <w:szCs w:val="22"/>
        </w:rPr>
        <w:t xml:space="preserve"> you will study </w:t>
      </w:r>
      <w:r>
        <w:rPr>
          <w:rFonts w:cs="Times New Roman"/>
          <w:sz w:val="22"/>
          <w:szCs w:val="22"/>
        </w:rPr>
        <w:t xml:space="preserve">financial regulation in the United States and some of the emerging issues that are likely to dominate the field of financial regulation </w:t>
      </w:r>
      <w:r w:rsidR="00546490">
        <w:rPr>
          <w:rFonts w:cs="Times New Roman"/>
          <w:sz w:val="22"/>
          <w:szCs w:val="22"/>
        </w:rPr>
        <w:t xml:space="preserve">in </w:t>
      </w:r>
      <w:r w:rsidR="002A45D8">
        <w:rPr>
          <w:rFonts w:cs="Times New Roman"/>
          <w:sz w:val="22"/>
          <w:szCs w:val="22"/>
        </w:rPr>
        <w:t>the near future</w:t>
      </w:r>
      <w:r>
        <w:rPr>
          <w:rFonts w:cs="Times New Roman"/>
          <w:sz w:val="22"/>
          <w:szCs w:val="22"/>
        </w:rPr>
        <w:t xml:space="preserve">.  We will begin with an introduction to financial services and regulation in the United States.  Following that, we will </w:t>
      </w:r>
      <w:r w:rsidR="00F536DC">
        <w:rPr>
          <w:rFonts w:cs="Times New Roman"/>
          <w:sz w:val="22"/>
          <w:szCs w:val="22"/>
        </w:rPr>
        <w:t>review and analyze</w:t>
      </w:r>
      <w:r>
        <w:rPr>
          <w:rFonts w:cs="Times New Roman"/>
          <w:sz w:val="22"/>
          <w:szCs w:val="22"/>
        </w:rPr>
        <w:t xml:space="preserve"> recent governmental efforts to </w:t>
      </w:r>
      <w:r w:rsidRPr="006B1002">
        <w:rPr>
          <w:rFonts w:cs="Times New Roman"/>
          <w:sz w:val="22"/>
          <w:szCs w:val="22"/>
        </w:rPr>
        <w:t xml:space="preserve">supervise and regulate climate-related financial risks, </w:t>
      </w:r>
      <w:r>
        <w:rPr>
          <w:rFonts w:cs="Times New Roman"/>
          <w:sz w:val="22"/>
          <w:szCs w:val="22"/>
        </w:rPr>
        <w:t>cr</w:t>
      </w:r>
      <w:r w:rsidR="00EC5F8B">
        <w:rPr>
          <w:rFonts w:cs="Times New Roman"/>
          <w:sz w:val="22"/>
          <w:szCs w:val="22"/>
        </w:rPr>
        <w:t xml:space="preserve">yptoassets, and cybersecurity.  </w:t>
      </w:r>
      <w:r>
        <w:rPr>
          <w:rFonts w:cs="Times New Roman"/>
          <w:sz w:val="22"/>
          <w:szCs w:val="22"/>
        </w:rPr>
        <w:t xml:space="preserve">We will </w:t>
      </w:r>
      <w:r w:rsidR="00DC7429">
        <w:rPr>
          <w:rFonts w:cs="Times New Roman"/>
          <w:sz w:val="22"/>
          <w:szCs w:val="22"/>
        </w:rPr>
        <w:t xml:space="preserve">then </w:t>
      </w:r>
      <w:r w:rsidR="001A26E7">
        <w:rPr>
          <w:rFonts w:cs="Times New Roman"/>
          <w:sz w:val="22"/>
          <w:szCs w:val="22"/>
        </w:rPr>
        <w:t xml:space="preserve">examine </w:t>
      </w:r>
      <w:r>
        <w:rPr>
          <w:rFonts w:cs="Times New Roman"/>
          <w:sz w:val="22"/>
          <w:szCs w:val="22"/>
        </w:rPr>
        <w:t xml:space="preserve">central bank </w:t>
      </w:r>
      <w:r w:rsidR="00EC5F8B">
        <w:rPr>
          <w:rFonts w:cs="Times New Roman"/>
          <w:sz w:val="22"/>
          <w:szCs w:val="22"/>
        </w:rPr>
        <w:t xml:space="preserve">and state </w:t>
      </w:r>
      <w:r>
        <w:rPr>
          <w:rFonts w:cs="Times New Roman"/>
          <w:sz w:val="22"/>
          <w:szCs w:val="22"/>
        </w:rPr>
        <w:t>digital currencies</w:t>
      </w:r>
      <w:r w:rsidR="00EC5F8B">
        <w:rPr>
          <w:rFonts w:cs="Times New Roman"/>
          <w:sz w:val="22"/>
          <w:szCs w:val="22"/>
        </w:rPr>
        <w:t xml:space="preserve"> as well as the</w:t>
      </w:r>
      <w:r w:rsidR="00F536D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Consumer Financial Protection Bureau</w:t>
      </w:r>
      <w:r w:rsidR="00F536DC">
        <w:rPr>
          <w:rFonts w:cs="Times New Roman"/>
          <w:sz w:val="22"/>
          <w:szCs w:val="22"/>
        </w:rPr>
        <w:t xml:space="preserve"> and its recent activities.</w:t>
      </w:r>
    </w:p>
    <w:p w14:paraId="2892B10C" w14:textId="20761878" w:rsidR="00EB1855" w:rsidRPr="0043077B" w:rsidRDefault="00EB1855" w:rsidP="00546490">
      <w:pPr>
        <w:pStyle w:val="ListParagraph"/>
        <w:spacing w:after="0" w:line="276" w:lineRule="auto"/>
        <w:ind w:left="0"/>
        <w:jc w:val="both"/>
        <w:rPr>
          <w:rFonts w:cs="Times New Roman"/>
          <w:b/>
          <w:sz w:val="22"/>
          <w:szCs w:val="22"/>
        </w:rPr>
      </w:pPr>
    </w:p>
    <w:p w14:paraId="1E9ECF76" w14:textId="226665B7" w:rsidR="0020213A" w:rsidRPr="0043077B" w:rsidRDefault="00197094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 xml:space="preserve">The schedule of topics and reading assignments can be found in the table on pages </w:t>
      </w:r>
      <w:r w:rsidR="002F59CF">
        <w:rPr>
          <w:rFonts w:cs="Times New Roman"/>
          <w:sz w:val="22"/>
          <w:szCs w:val="22"/>
        </w:rPr>
        <w:t>5-9</w:t>
      </w:r>
      <w:r w:rsidRPr="0043077B">
        <w:rPr>
          <w:rFonts w:cs="Times New Roman"/>
          <w:sz w:val="22"/>
          <w:szCs w:val="22"/>
        </w:rPr>
        <w:t xml:space="preserve"> below.</w:t>
      </w:r>
      <w:r w:rsidR="004F110E">
        <w:rPr>
          <w:rFonts w:cs="Times New Roman"/>
          <w:sz w:val="22"/>
          <w:szCs w:val="22"/>
        </w:rPr>
        <w:t xml:space="preserve">  Please note that the schedule of topics and reading assignments are subject to change.</w:t>
      </w:r>
    </w:p>
    <w:p w14:paraId="4D899AE3" w14:textId="77777777" w:rsidR="00197094" w:rsidRPr="0043077B" w:rsidRDefault="00197094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3307D912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Student learning outcomes</w:t>
      </w:r>
    </w:p>
    <w:p w14:paraId="4F1F62E0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1F22DC19" w14:textId="77777777" w:rsidR="00EE61B9" w:rsidRDefault="0034065B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Upon completion of this course, you should be able to</w:t>
      </w:r>
      <w:r w:rsidR="00E32665">
        <w:rPr>
          <w:rFonts w:cs="Times New Roman"/>
          <w:sz w:val="22"/>
          <w:szCs w:val="22"/>
        </w:rPr>
        <w:t xml:space="preserve"> demonstrate an understanding of and critically evaluate:</w:t>
      </w:r>
    </w:p>
    <w:p w14:paraId="11520298" w14:textId="77777777" w:rsidR="00EE61B9" w:rsidRDefault="00EE61B9" w:rsidP="00546490">
      <w:pPr>
        <w:pStyle w:val="ListParagraph"/>
        <w:spacing w:after="0" w:line="276" w:lineRule="auto"/>
        <w:ind w:left="1080"/>
        <w:jc w:val="both"/>
        <w:rPr>
          <w:rFonts w:cs="Times New Roman"/>
          <w:sz w:val="22"/>
          <w:szCs w:val="22"/>
        </w:rPr>
      </w:pPr>
    </w:p>
    <w:p w14:paraId="6DC83180" w14:textId="77777777" w:rsidR="00EE61B9" w:rsidRDefault="00E32665" w:rsidP="00546490">
      <w:pPr>
        <w:pStyle w:val="ListParagraph"/>
        <w:numPr>
          <w:ilvl w:val="0"/>
          <w:numId w:val="33"/>
        </w:numPr>
        <w:spacing w:after="0" w:line="276" w:lineRule="auto"/>
        <w:ind w:left="18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goals</w:t>
      </w:r>
      <w:r w:rsidR="0034065B">
        <w:rPr>
          <w:rFonts w:cs="Times New Roman"/>
          <w:sz w:val="22"/>
          <w:szCs w:val="22"/>
        </w:rPr>
        <w:t xml:space="preserve"> and structure of financial regulation in the United States.</w:t>
      </w:r>
    </w:p>
    <w:p w14:paraId="67877FAB" w14:textId="77777777" w:rsidR="00EE61B9" w:rsidRDefault="00EE61B9" w:rsidP="00546490">
      <w:pPr>
        <w:pStyle w:val="ListParagraph"/>
        <w:spacing w:after="0" w:line="276" w:lineRule="auto"/>
        <w:ind w:left="1800"/>
        <w:jc w:val="both"/>
        <w:rPr>
          <w:rFonts w:cs="Times New Roman"/>
          <w:sz w:val="22"/>
          <w:szCs w:val="22"/>
        </w:rPr>
      </w:pPr>
    </w:p>
    <w:p w14:paraId="6F3B8629" w14:textId="77777777" w:rsidR="00EE61B9" w:rsidRDefault="00EE61B9" w:rsidP="00546490">
      <w:pPr>
        <w:pStyle w:val="ListParagraph"/>
        <w:numPr>
          <w:ilvl w:val="0"/>
          <w:numId w:val="33"/>
        </w:numPr>
        <w:spacing w:after="0" w:line="276" w:lineRule="auto"/>
        <w:ind w:left="1800"/>
        <w:jc w:val="both"/>
        <w:rPr>
          <w:rFonts w:cs="Times New Roman"/>
          <w:sz w:val="22"/>
          <w:szCs w:val="22"/>
        </w:rPr>
      </w:pPr>
      <w:r w:rsidRPr="00EE61B9">
        <w:rPr>
          <w:rFonts w:cs="Times New Roman"/>
          <w:sz w:val="22"/>
          <w:szCs w:val="22"/>
        </w:rPr>
        <w:t xml:space="preserve">Recent governmental </w:t>
      </w:r>
      <w:r w:rsidR="0034065B" w:rsidRPr="00EE61B9">
        <w:rPr>
          <w:rFonts w:cs="Times New Roman"/>
          <w:sz w:val="22"/>
          <w:szCs w:val="22"/>
        </w:rPr>
        <w:t xml:space="preserve">efforts to supervise and regulate </w:t>
      </w:r>
      <w:r w:rsidRPr="00EE61B9">
        <w:rPr>
          <w:rFonts w:cs="Times New Roman"/>
          <w:sz w:val="22"/>
          <w:szCs w:val="22"/>
        </w:rPr>
        <w:t>climate-related financial risks, cryptoassets, and cybersecurity</w:t>
      </w:r>
      <w:r>
        <w:rPr>
          <w:rFonts w:cs="Times New Roman"/>
          <w:sz w:val="22"/>
          <w:szCs w:val="22"/>
        </w:rPr>
        <w:t>.</w:t>
      </w:r>
    </w:p>
    <w:p w14:paraId="2F591BC1" w14:textId="77777777" w:rsidR="00EE61B9" w:rsidRPr="00EE61B9" w:rsidRDefault="00EE61B9" w:rsidP="00546490">
      <w:pPr>
        <w:pStyle w:val="ListParagraph"/>
        <w:ind w:left="1080"/>
        <w:jc w:val="both"/>
        <w:rPr>
          <w:rFonts w:cs="Times New Roman"/>
          <w:sz w:val="22"/>
          <w:szCs w:val="22"/>
        </w:rPr>
      </w:pPr>
    </w:p>
    <w:p w14:paraId="0A04F313" w14:textId="3C42F038" w:rsidR="00EE61B9" w:rsidRDefault="00E32665" w:rsidP="00546490">
      <w:pPr>
        <w:pStyle w:val="ListParagraph"/>
        <w:numPr>
          <w:ilvl w:val="0"/>
          <w:numId w:val="33"/>
        </w:numPr>
        <w:spacing w:after="0" w:line="276" w:lineRule="auto"/>
        <w:ind w:left="1800"/>
        <w:jc w:val="both"/>
        <w:rPr>
          <w:rFonts w:cs="Times New Roman"/>
          <w:sz w:val="22"/>
          <w:szCs w:val="22"/>
        </w:rPr>
      </w:pPr>
      <w:r w:rsidRPr="00EE61B9">
        <w:rPr>
          <w:rFonts w:cs="Times New Roman"/>
          <w:sz w:val="22"/>
          <w:szCs w:val="22"/>
        </w:rPr>
        <w:t>Central bank</w:t>
      </w:r>
      <w:r w:rsidR="000F698C">
        <w:rPr>
          <w:rFonts w:cs="Times New Roman"/>
          <w:sz w:val="22"/>
          <w:szCs w:val="22"/>
        </w:rPr>
        <w:t xml:space="preserve"> and state</w:t>
      </w:r>
      <w:r w:rsidRPr="00EE61B9">
        <w:rPr>
          <w:rFonts w:cs="Times New Roman"/>
          <w:sz w:val="22"/>
          <w:szCs w:val="22"/>
        </w:rPr>
        <w:t xml:space="preserve"> digital currencies and if they should be created. </w:t>
      </w:r>
    </w:p>
    <w:p w14:paraId="02D31178" w14:textId="77777777" w:rsidR="00EE61B9" w:rsidRPr="00EE61B9" w:rsidRDefault="00EE61B9" w:rsidP="00546490">
      <w:pPr>
        <w:pStyle w:val="ListParagraph"/>
        <w:ind w:left="1080"/>
        <w:jc w:val="both"/>
        <w:rPr>
          <w:rFonts w:cs="Times New Roman"/>
          <w:sz w:val="22"/>
          <w:szCs w:val="22"/>
        </w:rPr>
      </w:pPr>
    </w:p>
    <w:p w14:paraId="7E2D60DF" w14:textId="6E730719" w:rsidR="00E32665" w:rsidRPr="00EE61B9" w:rsidRDefault="00E32665" w:rsidP="00546490">
      <w:pPr>
        <w:pStyle w:val="ListParagraph"/>
        <w:numPr>
          <w:ilvl w:val="0"/>
          <w:numId w:val="33"/>
        </w:numPr>
        <w:spacing w:after="0" w:line="276" w:lineRule="auto"/>
        <w:ind w:left="1800"/>
        <w:jc w:val="both"/>
        <w:rPr>
          <w:rFonts w:cs="Times New Roman"/>
          <w:sz w:val="22"/>
          <w:szCs w:val="22"/>
        </w:rPr>
      </w:pPr>
      <w:r w:rsidRPr="00EE61B9">
        <w:rPr>
          <w:rFonts w:cs="Times New Roman"/>
          <w:sz w:val="22"/>
          <w:szCs w:val="22"/>
        </w:rPr>
        <w:t xml:space="preserve">The structure and powers of the Consumer Financial Protection Bureau and the </w:t>
      </w:r>
      <w:r w:rsidR="001A26E7">
        <w:rPr>
          <w:rFonts w:cs="Times New Roman"/>
          <w:sz w:val="22"/>
          <w:szCs w:val="22"/>
        </w:rPr>
        <w:t xml:space="preserve">bureau’s </w:t>
      </w:r>
      <w:r w:rsidRPr="00EE61B9">
        <w:rPr>
          <w:rFonts w:cs="Times New Roman"/>
          <w:sz w:val="22"/>
          <w:szCs w:val="22"/>
        </w:rPr>
        <w:t xml:space="preserve">recent efforts to promote consumer protection.  </w:t>
      </w:r>
    </w:p>
    <w:p w14:paraId="4A3BE4D9" w14:textId="77777777" w:rsidR="0020213A" w:rsidRPr="0043077B" w:rsidRDefault="0020213A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76C72E8D" w14:textId="77777777" w:rsidR="00EB1855" w:rsidRPr="0043077B" w:rsidRDefault="00BE7F44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Grading</w:t>
      </w:r>
    </w:p>
    <w:p w14:paraId="5251C045" w14:textId="77777777" w:rsidR="00EB1855" w:rsidRPr="0043077B" w:rsidRDefault="00EB1855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254A0A62" w14:textId="2E793F4E" w:rsidR="00BE7F44" w:rsidRPr="0043077B" w:rsidRDefault="00F4102E" w:rsidP="00546490">
      <w:pPr>
        <w:pStyle w:val="ListParagraph"/>
        <w:tabs>
          <w:tab w:val="left" w:pos="720"/>
        </w:tabs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You will be graded on </w:t>
      </w:r>
      <w:r w:rsidR="00A869D2">
        <w:rPr>
          <w:rFonts w:cs="Times New Roman"/>
          <w:sz w:val="22"/>
          <w:szCs w:val="22"/>
        </w:rPr>
        <w:t>the</w:t>
      </w:r>
      <w:r>
        <w:rPr>
          <w:rFonts w:cs="Times New Roman"/>
          <w:sz w:val="22"/>
          <w:szCs w:val="22"/>
        </w:rPr>
        <w:t xml:space="preserve"> basis of </w:t>
      </w:r>
      <w:r w:rsidR="00A869D2">
        <w:rPr>
          <w:rFonts w:cs="Times New Roman"/>
          <w:sz w:val="22"/>
          <w:szCs w:val="22"/>
        </w:rPr>
        <w:t xml:space="preserve">a </w:t>
      </w:r>
      <w:r w:rsidR="002F59CF">
        <w:rPr>
          <w:rFonts w:cs="Times New Roman"/>
          <w:sz w:val="22"/>
          <w:szCs w:val="22"/>
        </w:rPr>
        <w:t>final exam to be administered two weeks after the last day of class</w:t>
      </w:r>
      <w:r w:rsidR="00A869D2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 </w:t>
      </w:r>
      <w:r w:rsidR="002F59CF">
        <w:rPr>
          <w:rFonts w:cs="Times New Roman"/>
          <w:sz w:val="22"/>
          <w:szCs w:val="22"/>
        </w:rPr>
        <w:t xml:space="preserve"> </w:t>
      </w:r>
    </w:p>
    <w:p w14:paraId="247D19FC" w14:textId="77777777" w:rsidR="00BE7F44" w:rsidRPr="0043077B" w:rsidRDefault="00BE7F44" w:rsidP="00546490">
      <w:pPr>
        <w:pStyle w:val="ListParagraph"/>
        <w:tabs>
          <w:tab w:val="left" w:pos="720"/>
        </w:tabs>
        <w:spacing w:after="0" w:line="276" w:lineRule="auto"/>
        <w:jc w:val="both"/>
        <w:rPr>
          <w:rFonts w:cs="Times New Roman"/>
          <w:sz w:val="22"/>
          <w:szCs w:val="22"/>
        </w:rPr>
      </w:pPr>
    </w:p>
    <w:p w14:paraId="6E5A9DDA" w14:textId="77777777" w:rsidR="00BE7F44" w:rsidRPr="0043077B" w:rsidRDefault="00675FD5" w:rsidP="00546490">
      <w:pPr>
        <w:pStyle w:val="ListParagraph"/>
        <w:tabs>
          <w:tab w:val="left" w:pos="720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 xml:space="preserve">This course follows the Levin College of Law’s </w:t>
      </w:r>
      <w:r w:rsidR="00BE7F44" w:rsidRPr="0043077B">
        <w:rPr>
          <w:rFonts w:cs="Times New Roman"/>
          <w:sz w:val="22"/>
          <w:szCs w:val="22"/>
        </w:rPr>
        <w:t>policy on grading, which may be</w:t>
      </w:r>
      <w:r w:rsidRPr="0043077B">
        <w:rPr>
          <w:rFonts w:cs="Times New Roman"/>
          <w:sz w:val="22"/>
          <w:szCs w:val="22"/>
        </w:rPr>
        <w:t xml:space="preserve"> found </w:t>
      </w:r>
      <w:hyperlink r:id="rId9" w:history="1">
        <w:r w:rsidRPr="0043077B">
          <w:rPr>
            <w:rStyle w:val="Hyperlink"/>
            <w:rFonts w:cs="Times New Roman"/>
            <w:sz w:val="22"/>
            <w:szCs w:val="22"/>
            <w:u w:val="none"/>
          </w:rPr>
          <w:t>here</w:t>
        </w:r>
      </w:hyperlink>
      <w:r w:rsidRPr="0043077B">
        <w:rPr>
          <w:rFonts w:cs="Times New Roman"/>
          <w:sz w:val="22"/>
          <w:szCs w:val="22"/>
        </w:rPr>
        <w:t>.</w:t>
      </w:r>
      <w:r w:rsidR="00BE7F44" w:rsidRPr="0043077B">
        <w:rPr>
          <w:rFonts w:cs="Times New Roman"/>
          <w:sz w:val="22"/>
          <w:szCs w:val="22"/>
        </w:rPr>
        <w:t xml:space="preserve">  The below chart describes the policy’s specific letter grade and point equivalent: </w:t>
      </w:r>
    </w:p>
    <w:p w14:paraId="2566B513" w14:textId="77777777" w:rsidR="00BE7F44" w:rsidRPr="0043077B" w:rsidRDefault="00BE7F44" w:rsidP="004F110E">
      <w:pPr>
        <w:pStyle w:val="ListParagraph"/>
        <w:tabs>
          <w:tab w:val="left" w:pos="720"/>
        </w:tabs>
        <w:spacing w:after="0" w:line="276" w:lineRule="auto"/>
        <w:rPr>
          <w:rFonts w:cs="Times New Roman"/>
          <w:sz w:val="22"/>
          <w:szCs w:val="22"/>
        </w:rPr>
      </w:pPr>
    </w:p>
    <w:tbl>
      <w:tblPr>
        <w:tblStyle w:val="GridTable2-Accent6"/>
        <w:tblW w:w="0" w:type="auto"/>
        <w:tblInd w:w="612" w:type="dxa"/>
        <w:tblLook w:val="04A0" w:firstRow="1" w:lastRow="0" w:firstColumn="1" w:lastColumn="0" w:noHBand="0" w:noVBand="1"/>
      </w:tblPr>
      <w:tblGrid>
        <w:gridCol w:w="1395"/>
        <w:gridCol w:w="1750"/>
      </w:tblGrid>
      <w:tr w:rsidR="00BE7F44" w:rsidRPr="0043077B" w14:paraId="072FF21D" w14:textId="77777777" w:rsidTr="00BE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3D5D8F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Letter grade</w:t>
            </w:r>
          </w:p>
        </w:tc>
        <w:tc>
          <w:tcPr>
            <w:tcW w:w="0" w:type="auto"/>
          </w:tcPr>
          <w:p w14:paraId="7D3B37F9" w14:textId="77777777" w:rsidR="00BE7F44" w:rsidRPr="0043077B" w:rsidRDefault="00BE7F44" w:rsidP="004F110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Point equivalent</w:t>
            </w:r>
          </w:p>
          <w:p w14:paraId="63DF4391" w14:textId="77777777" w:rsidR="00BE7F44" w:rsidRPr="0043077B" w:rsidRDefault="00BE7F44" w:rsidP="004F110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BE7F44" w:rsidRPr="0043077B" w14:paraId="1FFFB9F0" w14:textId="77777777" w:rsidTr="00B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67ED3E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 xml:space="preserve">A </w:t>
            </w:r>
          </w:p>
          <w:p w14:paraId="0F0551E5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A238705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4.0</w:t>
            </w:r>
          </w:p>
        </w:tc>
      </w:tr>
      <w:tr w:rsidR="00BE7F44" w:rsidRPr="0043077B" w14:paraId="1EB840A7" w14:textId="77777777" w:rsidTr="00BE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8CEDFA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A-</w:t>
            </w:r>
          </w:p>
          <w:p w14:paraId="299255BB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6DEFAC77" w14:textId="77777777" w:rsidR="00BE7F44" w:rsidRPr="0043077B" w:rsidRDefault="00BE7F44" w:rsidP="004F11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3.67</w:t>
            </w:r>
          </w:p>
        </w:tc>
      </w:tr>
      <w:tr w:rsidR="00BE7F44" w:rsidRPr="0043077B" w14:paraId="618250F1" w14:textId="77777777" w:rsidTr="00B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94FE0B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B+</w:t>
            </w:r>
          </w:p>
          <w:p w14:paraId="77E2A863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D62C73D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3.33</w:t>
            </w:r>
          </w:p>
        </w:tc>
      </w:tr>
      <w:tr w:rsidR="00BE7F44" w:rsidRPr="0043077B" w14:paraId="05AA14D1" w14:textId="77777777" w:rsidTr="00BE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6808F6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B</w:t>
            </w:r>
          </w:p>
          <w:p w14:paraId="352CB649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F59DE19" w14:textId="77777777" w:rsidR="00BE7F44" w:rsidRPr="0043077B" w:rsidRDefault="00BE7F44" w:rsidP="004F11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3.0</w:t>
            </w:r>
          </w:p>
        </w:tc>
      </w:tr>
      <w:tr w:rsidR="00BE7F44" w:rsidRPr="0043077B" w14:paraId="2609D425" w14:textId="77777777" w:rsidTr="00B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D3E16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B-</w:t>
            </w:r>
          </w:p>
          <w:p w14:paraId="7073B99E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22A4C442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2.67</w:t>
            </w:r>
          </w:p>
        </w:tc>
      </w:tr>
      <w:tr w:rsidR="00BE7F44" w:rsidRPr="0043077B" w14:paraId="2890AB35" w14:textId="77777777" w:rsidTr="00BE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1C63CF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C+</w:t>
            </w:r>
          </w:p>
          <w:p w14:paraId="762DEA44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A812C63" w14:textId="77777777" w:rsidR="00BE7F44" w:rsidRPr="0043077B" w:rsidRDefault="00BE7F44" w:rsidP="004F11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2.33</w:t>
            </w:r>
          </w:p>
        </w:tc>
      </w:tr>
      <w:tr w:rsidR="00BE7F44" w:rsidRPr="0043077B" w14:paraId="6F49B8EC" w14:textId="77777777" w:rsidTr="00B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04D08B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 xml:space="preserve">C </w:t>
            </w:r>
          </w:p>
          <w:p w14:paraId="40C1387E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FA10500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2.0</w:t>
            </w:r>
          </w:p>
        </w:tc>
      </w:tr>
      <w:tr w:rsidR="00BE7F44" w:rsidRPr="0043077B" w14:paraId="48432640" w14:textId="77777777" w:rsidTr="00BE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483376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C-</w:t>
            </w:r>
          </w:p>
          <w:p w14:paraId="3EEB2E47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F5B2FBC" w14:textId="77777777" w:rsidR="00BE7F44" w:rsidRPr="0043077B" w:rsidRDefault="00BE7F44" w:rsidP="004F11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1.67</w:t>
            </w:r>
          </w:p>
        </w:tc>
      </w:tr>
      <w:tr w:rsidR="00BE7F44" w:rsidRPr="0043077B" w14:paraId="240C22EC" w14:textId="77777777" w:rsidTr="00B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1F2EC1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D+</w:t>
            </w:r>
          </w:p>
          <w:p w14:paraId="6E518338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823E4C5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1.33</w:t>
            </w:r>
          </w:p>
        </w:tc>
      </w:tr>
      <w:tr w:rsidR="00BE7F44" w:rsidRPr="0043077B" w14:paraId="25C014E4" w14:textId="77777777" w:rsidTr="00BE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A48AE9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D-</w:t>
            </w:r>
          </w:p>
        </w:tc>
        <w:tc>
          <w:tcPr>
            <w:tcW w:w="0" w:type="auto"/>
          </w:tcPr>
          <w:p w14:paraId="4371B196" w14:textId="77777777" w:rsidR="00BE7F44" w:rsidRPr="0043077B" w:rsidRDefault="00BE7F44" w:rsidP="004F11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0.67</w:t>
            </w:r>
          </w:p>
          <w:p w14:paraId="7BB69005" w14:textId="77777777" w:rsidR="00BE7F44" w:rsidRPr="0043077B" w:rsidRDefault="00BE7F44" w:rsidP="004F11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BE7F44" w:rsidRPr="0043077B" w14:paraId="628A14C3" w14:textId="77777777" w:rsidTr="00B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EE3915" w14:textId="77777777" w:rsidR="00BE7F44" w:rsidRPr="0043077B" w:rsidRDefault="00BE7F44" w:rsidP="004F110E">
            <w:p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E (failure)</w:t>
            </w:r>
          </w:p>
        </w:tc>
        <w:tc>
          <w:tcPr>
            <w:tcW w:w="0" w:type="auto"/>
          </w:tcPr>
          <w:p w14:paraId="5210B4B1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0.0</w:t>
            </w:r>
          </w:p>
          <w:p w14:paraId="65F0D0E0" w14:textId="77777777" w:rsidR="00BE7F44" w:rsidRPr="0043077B" w:rsidRDefault="00BE7F44" w:rsidP="004F11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</w:tbl>
    <w:p w14:paraId="664B728D" w14:textId="77777777" w:rsidR="0020213A" w:rsidRPr="0043077B" w:rsidRDefault="0020213A" w:rsidP="004F110E">
      <w:pPr>
        <w:pStyle w:val="ListParagraph"/>
        <w:spacing w:after="0" w:line="276" w:lineRule="auto"/>
        <w:rPr>
          <w:rFonts w:cs="Times New Roman"/>
          <w:sz w:val="22"/>
          <w:szCs w:val="22"/>
        </w:rPr>
      </w:pPr>
    </w:p>
    <w:p w14:paraId="777672C5" w14:textId="77777777" w:rsidR="0020213A" w:rsidRPr="0043077B" w:rsidRDefault="0020213A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 xml:space="preserve">The Levin College of Law’s policy on exam delays and accommodations may be found </w:t>
      </w:r>
      <w:hyperlink r:id="rId10" w:history="1">
        <w:r w:rsidRPr="0043077B">
          <w:rPr>
            <w:rStyle w:val="Hyperlink"/>
            <w:rFonts w:cs="Times New Roman"/>
            <w:sz w:val="22"/>
            <w:szCs w:val="22"/>
            <w:u w:val="none"/>
          </w:rPr>
          <w:t>here</w:t>
        </w:r>
      </w:hyperlink>
      <w:r w:rsidRPr="0043077B">
        <w:rPr>
          <w:rFonts w:cs="Times New Roman"/>
          <w:sz w:val="22"/>
          <w:szCs w:val="22"/>
        </w:rPr>
        <w:t>.</w:t>
      </w:r>
    </w:p>
    <w:p w14:paraId="161DF0D2" w14:textId="77777777" w:rsidR="0020213A" w:rsidRPr="0043077B" w:rsidRDefault="0020213A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15AC6881" w14:textId="77777777" w:rsidR="005A534B" w:rsidRPr="0043077B" w:rsidRDefault="005A534B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 xml:space="preserve">Class attendance </w:t>
      </w:r>
      <w:r w:rsidR="008701E7" w:rsidRPr="0043077B">
        <w:rPr>
          <w:rFonts w:cs="Times New Roman"/>
          <w:b/>
          <w:sz w:val="22"/>
          <w:szCs w:val="22"/>
        </w:rPr>
        <w:t>and preparation</w:t>
      </w:r>
    </w:p>
    <w:p w14:paraId="1231E9E5" w14:textId="77777777" w:rsidR="008701E7" w:rsidRPr="0043077B" w:rsidRDefault="008701E7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60439402" w14:textId="1EBB6783" w:rsidR="00826B00" w:rsidRDefault="00826B00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826B00">
        <w:rPr>
          <w:rFonts w:cs="Times New Roman"/>
          <w:sz w:val="22"/>
          <w:szCs w:val="22"/>
        </w:rPr>
        <w:t xml:space="preserve">This is a compressed course and daily attendance is mandatory.  Missing more than </w:t>
      </w:r>
      <w:r w:rsidR="00F30FCA">
        <w:rPr>
          <w:rFonts w:cs="Times New Roman"/>
          <w:sz w:val="22"/>
          <w:szCs w:val="22"/>
        </w:rPr>
        <w:t>one</w:t>
      </w:r>
      <w:r w:rsidRPr="00826B00">
        <w:rPr>
          <w:rFonts w:cs="Times New Roman"/>
          <w:sz w:val="22"/>
          <w:szCs w:val="22"/>
        </w:rPr>
        <w:t xml:space="preserve"> </w:t>
      </w:r>
      <w:r w:rsidR="00307F85">
        <w:rPr>
          <w:rFonts w:cs="Times New Roman"/>
          <w:sz w:val="22"/>
          <w:szCs w:val="22"/>
        </w:rPr>
        <w:t xml:space="preserve">class </w:t>
      </w:r>
      <w:r w:rsidRPr="00826B00">
        <w:rPr>
          <w:rFonts w:cs="Times New Roman"/>
          <w:sz w:val="22"/>
          <w:szCs w:val="22"/>
        </w:rPr>
        <w:t xml:space="preserve">hour may result in a reduction of your final grade.  Missing more than two class hours may result in a failing grade </w:t>
      </w:r>
      <w:r>
        <w:rPr>
          <w:rFonts w:cs="Times New Roman"/>
          <w:sz w:val="22"/>
          <w:szCs w:val="22"/>
        </w:rPr>
        <w:t>or no credit for the course.  E</w:t>
      </w:r>
      <w:r w:rsidRPr="00826B00">
        <w:rPr>
          <w:rFonts w:cs="Times New Roman"/>
          <w:sz w:val="22"/>
          <w:szCs w:val="22"/>
        </w:rPr>
        <w:t>xcessive lateness may also result in a grade penalty.</w:t>
      </w:r>
      <w:r>
        <w:rPr>
          <w:rFonts w:cs="Times New Roman"/>
          <w:sz w:val="22"/>
          <w:szCs w:val="22"/>
        </w:rPr>
        <w:t xml:space="preserve">  </w:t>
      </w:r>
    </w:p>
    <w:p w14:paraId="0B62C2B7" w14:textId="77777777" w:rsidR="00826B00" w:rsidRDefault="00826B00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</w:p>
    <w:p w14:paraId="1FE69F2E" w14:textId="2C065E77" w:rsidR="00675FD5" w:rsidRDefault="008701E7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 xml:space="preserve">The Levin College of Law’s policy on attendance may be found </w:t>
      </w:r>
      <w:hyperlink r:id="rId11" w:anchor=":~:text=co%2Dcurricular%20activities.-,Attendance,regular%20and%20punctual%20class%20attendance.&amp;text=UF%20Law%20policy%20permits%20dismissal,of%2012%20credits%20per%20semester." w:history="1">
        <w:r w:rsidRPr="0043077B">
          <w:rPr>
            <w:rStyle w:val="Hyperlink"/>
            <w:rFonts w:cs="Times New Roman"/>
            <w:sz w:val="22"/>
            <w:szCs w:val="22"/>
            <w:u w:val="none"/>
          </w:rPr>
          <w:t>here</w:t>
        </w:r>
      </w:hyperlink>
      <w:r w:rsidRPr="0043077B">
        <w:rPr>
          <w:rFonts w:cs="Times New Roman"/>
          <w:sz w:val="22"/>
          <w:szCs w:val="22"/>
        </w:rPr>
        <w:t>.</w:t>
      </w:r>
      <w:r w:rsidR="00675FD5" w:rsidRPr="0043077B">
        <w:rPr>
          <w:rFonts w:cs="Times New Roman"/>
          <w:sz w:val="22"/>
          <w:szCs w:val="22"/>
        </w:rPr>
        <w:t xml:space="preserve">  </w:t>
      </w:r>
    </w:p>
    <w:p w14:paraId="6D7568E5" w14:textId="44AA1369" w:rsidR="00675FD5" w:rsidRPr="0043077B" w:rsidRDefault="00675FD5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</w:p>
    <w:p w14:paraId="4C461A71" w14:textId="2FD735E6" w:rsidR="0020213A" w:rsidRPr="0043077B" w:rsidRDefault="00675FD5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>You should</w:t>
      </w:r>
      <w:r w:rsidR="008701E7" w:rsidRPr="0043077B">
        <w:rPr>
          <w:rFonts w:cs="Times New Roman"/>
          <w:sz w:val="22"/>
          <w:szCs w:val="22"/>
        </w:rPr>
        <w:t xml:space="preserve"> spend at least </w:t>
      </w:r>
      <w:r w:rsidR="00307F85">
        <w:rPr>
          <w:rFonts w:cs="Times New Roman"/>
          <w:sz w:val="22"/>
          <w:szCs w:val="22"/>
        </w:rPr>
        <w:t>two</w:t>
      </w:r>
      <w:r w:rsidR="008701E7" w:rsidRPr="0043077B">
        <w:rPr>
          <w:rFonts w:cs="Times New Roman"/>
          <w:sz w:val="22"/>
          <w:szCs w:val="22"/>
        </w:rPr>
        <w:t xml:space="preserve"> hours outside of class reading and preparing for every hour of class.</w:t>
      </w:r>
    </w:p>
    <w:p w14:paraId="387147A1" w14:textId="174C99F0" w:rsidR="00BE7F44" w:rsidRDefault="00BE7F44" w:rsidP="004F110E">
      <w:pPr>
        <w:pStyle w:val="ListParagraph"/>
        <w:spacing w:after="0" w:line="276" w:lineRule="auto"/>
        <w:rPr>
          <w:rFonts w:cs="Times New Roman"/>
          <w:sz w:val="22"/>
          <w:szCs w:val="22"/>
        </w:rPr>
      </w:pPr>
    </w:p>
    <w:p w14:paraId="70BA4162" w14:textId="5EA3911B" w:rsidR="00F4102E" w:rsidRDefault="00F4102E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F4102E">
        <w:rPr>
          <w:rFonts w:cs="Times New Roman"/>
          <w:b/>
          <w:sz w:val="22"/>
          <w:szCs w:val="22"/>
        </w:rPr>
        <w:t xml:space="preserve">Students with disabilities </w:t>
      </w:r>
    </w:p>
    <w:p w14:paraId="4402B0FE" w14:textId="157D81AF" w:rsidR="00F4102E" w:rsidRDefault="00F4102E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0AE4DB83" w14:textId="3DB91789" w:rsidR="00F4102E" w:rsidRPr="00F4102E" w:rsidRDefault="00F4102E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F4102E">
        <w:rPr>
          <w:rFonts w:cs="Times New Roman"/>
          <w:sz w:val="22"/>
          <w:szCs w:val="22"/>
        </w:rPr>
        <w:t>Students with disabilities who experience learning barriers and would like to request academic accommodations should connect with t</w:t>
      </w:r>
      <w:r>
        <w:rPr>
          <w:rFonts w:cs="Times New Roman"/>
          <w:sz w:val="22"/>
          <w:szCs w:val="22"/>
        </w:rPr>
        <w:t xml:space="preserve">he Disability Resource </w:t>
      </w:r>
      <w:r w:rsidRPr="00F4102E">
        <w:rPr>
          <w:rFonts w:cs="Times New Roman"/>
          <w:sz w:val="22"/>
          <w:szCs w:val="22"/>
        </w:rPr>
        <w:t xml:space="preserve">Center.  Click </w:t>
      </w:r>
      <w:hyperlink r:id="rId12" w:history="1">
        <w:r w:rsidRPr="00F4102E">
          <w:rPr>
            <w:rStyle w:val="Hyperlink"/>
            <w:rFonts w:cs="Times New Roman"/>
            <w:sz w:val="22"/>
            <w:szCs w:val="22"/>
            <w:u w:val="none"/>
          </w:rPr>
          <w:t>here</w:t>
        </w:r>
      </w:hyperlink>
      <w:r w:rsidRPr="00F4102E">
        <w:rPr>
          <w:rFonts w:cs="Times New Roman"/>
          <w:sz w:val="22"/>
          <w:szCs w:val="22"/>
        </w:rPr>
        <w:t xml:space="preserve"> to get started with t</w:t>
      </w:r>
      <w:r>
        <w:rPr>
          <w:rFonts w:cs="Times New Roman"/>
          <w:sz w:val="22"/>
          <w:szCs w:val="22"/>
        </w:rPr>
        <w:t xml:space="preserve">he Disability Resource Center.  </w:t>
      </w:r>
      <w:r w:rsidRPr="00F4102E">
        <w:rPr>
          <w:rFonts w:cs="Times New Roman"/>
          <w:sz w:val="22"/>
          <w:szCs w:val="22"/>
        </w:rPr>
        <w:t>It is important for students to share their accommodation letter with their instructor and discuss their access needs as early as possible in the semester</w:t>
      </w:r>
      <w:r>
        <w:rPr>
          <w:rFonts w:cs="Times New Roman"/>
          <w:sz w:val="22"/>
          <w:szCs w:val="22"/>
        </w:rPr>
        <w:t>.</w:t>
      </w:r>
    </w:p>
    <w:p w14:paraId="31747405" w14:textId="77777777" w:rsidR="00F4102E" w:rsidRPr="0043077B" w:rsidRDefault="00F4102E" w:rsidP="004F110E">
      <w:pPr>
        <w:pStyle w:val="ListParagraph"/>
        <w:spacing w:after="0" w:line="276" w:lineRule="auto"/>
        <w:ind w:left="0"/>
        <w:rPr>
          <w:rFonts w:cs="Times New Roman"/>
          <w:sz w:val="22"/>
          <w:szCs w:val="22"/>
        </w:rPr>
      </w:pPr>
    </w:p>
    <w:p w14:paraId="6CD5B883" w14:textId="77777777" w:rsidR="00BE7F44" w:rsidRPr="0043077B" w:rsidRDefault="00BE7F44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  <w:r w:rsidRPr="0043077B">
        <w:rPr>
          <w:rFonts w:cs="Times New Roman"/>
          <w:b/>
          <w:sz w:val="22"/>
          <w:szCs w:val="22"/>
        </w:rPr>
        <w:t>Course evaluation</w:t>
      </w:r>
    </w:p>
    <w:p w14:paraId="5E146F4D" w14:textId="77777777" w:rsidR="00BE7F44" w:rsidRPr="0043077B" w:rsidRDefault="00BE7F44" w:rsidP="004F110E">
      <w:pPr>
        <w:pStyle w:val="ListParagraph"/>
        <w:spacing w:after="0" w:line="276" w:lineRule="auto"/>
        <w:ind w:left="0"/>
        <w:rPr>
          <w:rFonts w:cs="Times New Roman"/>
          <w:b/>
          <w:sz w:val="22"/>
          <w:szCs w:val="22"/>
        </w:rPr>
      </w:pPr>
    </w:p>
    <w:p w14:paraId="50FEC499" w14:textId="3FD3FC25" w:rsidR="0020213A" w:rsidRPr="0043077B" w:rsidRDefault="00091C23" w:rsidP="00546490">
      <w:pPr>
        <w:pStyle w:val="ListParagraph"/>
        <w:spacing w:after="0" w:line="276" w:lineRule="auto"/>
        <w:jc w:val="both"/>
        <w:rPr>
          <w:rFonts w:cs="Times New Roman"/>
          <w:sz w:val="22"/>
          <w:szCs w:val="22"/>
        </w:rPr>
      </w:pPr>
      <w:r w:rsidRPr="0043077B">
        <w:rPr>
          <w:rFonts w:cs="Times New Roman"/>
          <w:sz w:val="22"/>
          <w:szCs w:val="22"/>
        </w:rPr>
        <w:t xml:space="preserve">You are expected to provide feedback on the quality of instruction in this course by completing an online course evaluation.  Click </w:t>
      </w:r>
      <w:hyperlink r:id="rId13" w:history="1">
        <w:r w:rsidRPr="0043077B">
          <w:rPr>
            <w:rStyle w:val="Hyperlink"/>
            <w:rFonts w:cs="Times New Roman"/>
            <w:sz w:val="22"/>
            <w:szCs w:val="22"/>
            <w:u w:val="none"/>
          </w:rPr>
          <w:t>here</w:t>
        </w:r>
      </w:hyperlink>
      <w:r w:rsidRPr="0043077B">
        <w:rPr>
          <w:rFonts w:cs="Times New Roman"/>
          <w:sz w:val="22"/>
          <w:szCs w:val="22"/>
        </w:rPr>
        <w:t xml:space="preserve"> for guidance on providing feedback.  You will be notified when the evaluation period opens and </w:t>
      </w:r>
      <w:r w:rsidR="0020213A" w:rsidRPr="0043077B">
        <w:rPr>
          <w:rFonts w:cs="Times New Roman"/>
          <w:sz w:val="22"/>
          <w:szCs w:val="22"/>
        </w:rPr>
        <w:t xml:space="preserve">you </w:t>
      </w:r>
      <w:r w:rsidRPr="0043077B">
        <w:rPr>
          <w:rFonts w:cs="Times New Roman"/>
          <w:sz w:val="22"/>
          <w:szCs w:val="22"/>
        </w:rPr>
        <w:t xml:space="preserve">may complete the evaluation through the email you receive from GatorEvals, in your Canvas course menu under GatorEvals, or via </w:t>
      </w:r>
      <w:hyperlink r:id="rId14" w:history="1">
        <w:r w:rsidR="00F4102E" w:rsidRPr="00F4102E">
          <w:rPr>
            <w:rStyle w:val="Hyperlink"/>
            <w:rFonts w:cs="Times New Roman"/>
            <w:sz w:val="22"/>
            <w:szCs w:val="22"/>
            <w:u w:val="none"/>
          </w:rPr>
          <w:t>https://ufl.bluera.com/ufl/</w:t>
        </w:r>
      </w:hyperlink>
      <w:r w:rsidR="00F4102E" w:rsidRPr="00F4102E">
        <w:rPr>
          <w:rFonts w:cs="Times New Roman"/>
          <w:sz w:val="22"/>
          <w:szCs w:val="22"/>
        </w:rPr>
        <w:t>.</w:t>
      </w:r>
      <w:r w:rsidR="00F4102E">
        <w:rPr>
          <w:rFonts w:cs="Times New Roman"/>
          <w:sz w:val="22"/>
          <w:szCs w:val="22"/>
        </w:rPr>
        <w:t xml:space="preserve">  </w:t>
      </w:r>
      <w:r w:rsidRPr="0043077B">
        <w:rPr>
          <w:rFonts w:cs="Times New Roman"/>
          <w:sz w:val="22"/>
          <w:szCs w:val="22"/>
        </w:rPr>
        <w:t xml:space="preserve">Summaries of course evaluation results </w:t>
      </w:r>
      <w:r w:rsidRPr="004F110E">
        <w:rPr>
          <w:rFonts w:cs="Times New Roman"/>
          <w:sz w:val="22"/>
          <w:szCs w:val="22"/>
        </w:rPr>
        <w:t xml:space="preserve">are </w:t>
      </w:r>
      <w:r w:rsidR="004F110E" w:rsidRPr="004F110E">
        <w:rPr>
          <w:rFonts w:cs="Times New Roman"/>
          <w:sz w:val="22"/>
          <w:szCs w:val="22"/>
        </w:rPr>
        <w:t>available</w:t>
      </w:r>
      <w:r w:rsidRPr="0043077B">
        <w:rPr>
          <w:rFonts w:cs="Times New Roman"/>
          <w:sz w:val="22"/>
          <w:szCs w:val="22"/>
        </w:rPr>
        <w:t xml:space="preserve"> </w:t>
      </w:r>
      <w:hyperlink r:id="rId15" w:history="1">
        <w:r w:rsidRPr="0043077B">
          <w:rPr>
            <w:rStyle w:val="Hyperlink"/>
            <w:rFonts w:cs="Times New Roman"/>
            <w:sz w:val="22"/>
            <w:szCs w:val="22"/>
            <w:u w:val="none"/>
          </w:rPr>
          <w:t>here</w:t>
        </w:r>
      </w:hyperlink>
      <w:r w:rsidRPr="0043077B">
        <w:rPr>
          <w:rFonts w:cs="Times New Roman"/>
          <w:sz w:val="22"/>
          <w:szCs w:val="22"/>
        </w:rPr>
        <w:t>.</w:t>
      </w:r>
    </w:p>
    <w:p w14:paraId="58C90370" w14:textId="77777777" w:rsidR="0020213A" w:rsidRPr="0043077B" w:rsidRDefault="0020213A" w:rsidP="004F110E">
      <w:pPr>
        <w:pStyle w:val="ListParagraph"/>
        <w:spacing w:after="0" w:line="276" w:lineRule="auto"/>
        <w:rPr>
          <w:rFonts w:cs="Times New Roman"/>
          <w:sz w:val="22"/>
          <w:szCs w:val="22"/>
        </w:rPr>
        <w:sectPr w:rsidR="0020213A" w:rsidRPr="0043077B" w:rsidSect="00DA5ED3">
          <w:headerReference w:type="default" r:id="rId16"/>
          <w:footerReference w:type="default" r:id="rId17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2-Accent6"/>
        <w:tblW w:w="12960" w:type="dxa"/>
        <w:tblLook w:val="04A0" w:firstRow="1" w:lastRow="0" w:firstColumn="1" w:lastColumn="0" w:noHBand="0" w:noVBand="1"/>
      </w:tblPr>
      <w:tblGrid>
        <w:gridCol w:w="1856"/>
        <w:gridCol w:w="1733"/>
        <w:gridCol w:w="1848"/>
        <w:gridCol w:w="7523"/>
      </w:tblGrid>
      <w:tr w:rsidR="002554D6" w:rsidRPr="0043077B" w14:paraId="4483A652" w14:textId="77777777" w:rsidTr="006F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3295C212" w14:textId="77777777" w:rsidR="00914FD7" w:rsidRPr="0043077B" w:rsidRDefault="00914FD7" w:rsidP="004F110E">
            <w:pPr>
              <w:spacing w:line="276" w:lineRule="auto"/>
              <w:contextualSpacing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Session</w:t>
            </w:r>
          </w:p>
        </w:tc>
        <w:tc>
          <w:tcPr>
            <w:tcW w:w="2426" w:type="dxa"/>
          </w:tcPr>
          <w:p w14:paraId="3642F2F9" w14:textId="77777777" w:rsidR="00914FD7" w:rsidRPr="0043077B" w:rsidRDefault="00914FD7" w:rsidP="004F110E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Topic</w:t>
            </w:r>
          </w:p>
        </w:tc>
        <w:tc>
          <w:tcPr>
            <w:tcW w:w="0" w:type="auto"/>
          </w:tcPr>
          <w:p w14:paraId="41700A68" w14:textId="77777777" w:rsidR="00914FD7" w:rsidRPr="0043077B" w:rsidRDefault="00914FD7" w:rsidP="004F110E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Sub-topics</w:t>
            </w:r>
          </w:p>
          <w:p w14:paraId="024C0A5B" w14:textId="77777777" w:rsidR="00914FD7" w:rsidRPr="0043077B" w:rsidRDefault="00914FD7" w:rsidP="004F110E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A35FEFB" w14:textId="77777777" w:rsidR="00914FD7" w:rsidRPr="0043077B" w:rsidRDefault="00914FD7" w:rsidP="004F110E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Reading</w:t>
            </w:r>
            <w:r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2554D6" w:rsidRPr="0043077B" w14:paraId="4B5017D9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907F0B" w14:textId="2A2B9962" w:rsidR="00914FD7" w:rsidRPr="0043077B" w:rsidRDefault="009C76FA" w:rsidP="004F110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Monday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>, January 9, 2023, 9:30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 xml:space="preserve"> am-10:20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am</w:t>
            </w:r>
            <w:r w:rsidR="008A5BF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  <w:p w14:paraId="07668804" w14:textId="77777777" w:rsidR="00914FD7" w:rsidRPr="0043077B" w:rsidRDefault="00914FD7" w:rsidP="004F110E">
            <w:pPr>
              <w:spacing w:line="276" w:lineRule="auto"/>
              <w:contextualSpacing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37CABB7" w14:textId="6647B542" w:rsidR="00914FD7" w:rsidRPr="0043077B" w:rsidRDefault="00914FD7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Introduction to financial services and financial regulation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0D4500A" w14:textId="77777777" w:rsidR="00914FD7" w:rsidRPr="0043077B" w:rsidRDefault="00914FD7" w:rsidP="004F110E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The functions of finance</w:t>
            </w:r>
          </w:p>
          <w:p w14:paraId="4C0F7130" w14:textId="77777777" w:rsidR="00914FD7" w:rsidRPr="0043077B" w:rsidRDefault="00914FD7" w:rsidP="004F110E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Financial services in the United States </w:t>
            </w:r>
          </w:p>
          <w:p w14:paraId="07762B50" w14:textId="77777777" w:rsidR="00914FD7" w:rsidRPr="0043077B" w:rsidRDefault="00914FD7" w:rsidP="004F110E">
            <w:pPr>
              <w:pStyle w:val="ListParagraph"/>
              <w:spacing w:line="276" w:lineRule="auto"/>
              <w:ind w:lef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B684C9D" w14:textId="7168EED2" w:rsidR="00914FD7" w:rsidRPr="0043077B" w:rsidRDefault="00400B22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Michael S. Barr, Howell E. Jackson, and Margaret E. Tahyar, </w:t>
            </w:r>
            <w:r w:rsidRPr="0043077B">
              <w:rPr>
                <w:rFonts w:cs="Times New Roman"/>
                <w:i/>
                <w:sz w:val="22"/>
                <w:szCs w:val="22"/>
              </w:rPr>
              <w:t>Financial Regulation: Law and Policy</w:t>
            </w:r>
            <w:r w:rsidRPr="0043077B">
              <w:rPr>
                <w:rFonts w:cs="Times New Roman"/>
                <w:sz w:val="22"/>
                <w:szCs w:val="22"/>
              </w:rPr>
              <w:t xml:space="preserve">, </w:t>
            </w:r>
            <w:r w:rsidR="00437619" w:rsidRPr="0043077B">
              <w:rPr>
                <w:rFonts w:cs="Times New Roman"/>
                <w:sz w:val="22"/>
                <w:szCs w:val="22"/>
              </w:rPr>
              <w:t>First Edition</w:t>
            </w:r>
            <w:r w:rsidRPr="0043077B">
              <w:rPr>
                <w:rFonts w:cs="Times New Roman"/>
                <w:sz w:val="22"/>
                <w:szCs w:val="22"/>
              </w:rPr>
              <w:t xml:space="preserve">, Foundation Press, </w:t>
            </w:r>
            <w:r w:rsidR="00437619" w:rsidRPr="0043077B">
              <w:rPr>
                <w:rFonts w:cs="Times New Roman"/>
                <w:sz w:val="22"/>
                <w:szCs w:val="22"/>
              </w:rPr>
              <w:t>May 3, 2016</w:t>
            </w:r>
            <w:r w:rsidRPr="0043077B">
              <w:rPr>
                <w:rFonts w:cs="Times New Roman"/>
                <w:sz w:val="22"/>
                <w:szCs w:val="22"/>
              </w:rPr>
              <w:t xml:space="preserve">, </w:t>
            </w:r>
            <w:r w:rsidR="00F536DC">
              <w:rPr>
                <w:rFonts w:cs="Times New Roman"/>
                <w:sz w:val="22"/>
                <w:szCs w:val="22"/>
              </w:rPr>
              <w:t>chapter 1.1,</w:t>
            </w:r>
            <w:r w:rsidR="00437619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437619" w:rsidRPr="0043077B">
              <w:rPr>
                <w:rFonts w:cs="Times New Roman"/>
                <w:sz w:val="22"/>
                <w:szCs w:val="22"/>
              </w:rPr>
              <w:t>at https://papers.ssrn.com/sol3/papers.cfm?abstract_id=2778111</w:t>
            </w:r>
            <w:r w:rsidR="00A91B87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437619" w:rsidRPr="0043077B">
              <w:rPr>
                <w:rFonts w:cs="Times New Roman"/>
                <w:sz w:val="22"/>
                <w:szCs w:val="22"/>
              </w:rPr>
              <w:t>[</w:t>
            </w:r>
            <w:r w:rsidR="00F536DC">
              <w:rPr>
                <w:rFonts w:cs="Times New Roman"/>
                <w:sz w:val="22"/>
                <w:szCs w:val="22"/>
              </w:rPr>
              <w:t xml:space="preserve">30 </w:t>
            </w:r>
            <w:r w:rsidR="00437619" w:rsidRPr="0043077B">
              <w:rPr>
                <w:rFonts w:cs="Times New Roman"/>
                <w:sz w:val="22"/>
                <w:szCs w:val="22"/>
              </w:rPr>
              <w:t xml:space="preserve">pages] </w:t>
            </w:r>
          </w:p>
        </w:tc>
      </w:tr>
      <w:tr w:rsidR="002554D6" w:rsidRPr="0043077B" w14:paraId="1494381A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6F45156D" w14:textId="1693E760" w:rsidR="005F78CE" w:rsidRDefault="005F78CE" w:rsidP="009E226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Monday</w:t>
            </w:r>
            <w:r>
              <w:rPr>
                <w:rFonts w:cs="Times New Roman"/>
                <w:b w:val="0"/>
                <w:sz w:val="22"/>
                <w:szCs w:val="22"/>
              </w:rPr>
              <w:t>, January 9, 2023, 10:30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 xml:space="preserve"> am-11:20 am</w:t>
            </w:r>
            <w:r w:rsidR="000742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  <w:p w14:paraId="5AAFC07D" w14:textId="28B628B9" w:rsidR="00914FD7" w:rsidRPr="0043077B" w:rsidRDefault="000E77B9" w:rsidP="005F78CE">
            <w:pPr>
              <w:pStyle w:val="ListParagraph"/>
              <w:spacing w:line="276" w:lineRule="auto"/>
              <w:ind w:left="360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3786164" w14:textId="7976A7A7" w:rsidR="00914FD7" w:rsidRPr="0043077B" w:rsidRDefault="00914FD7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Introduction to financial services and financial regulation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C3CF4F8" w14:textId="77777777" w:rsidR="00914FD7" w:rsidRPr="0043077B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The history of U.S. financial regulation</w:t>
            </w:r>
          </w:p>
          <w:p w14:paraId="298EBE6A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42BA6B2" w14:textId="26504AA1" w:rsidR="00437619" w:rsidRPr="0043077B" w:rsidRDefault="00437619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Alejandro Komani and Gary Richardson, </w:t>
            </w:r>
            <w:r w:rsidRPr="0043077B">
              <w:rPr>
                <w:rFonts w:cs="Times New Roman"/>
                <w:i/>
                <w:sz w:val="22"/>
                <w:szCs w:val="22"/>
              </w:rPr>
              <w:t>A Brief History of Regulations Regarding Financial Markets in the United States: 1789 to 2009</w:t>
            </w:r>
            <w:r w:rsidRPr="0043077B">
              <w:rPr>
                <w:rFonts w:cs="Times New Roman"/>
                <w:sz w:val="22"/>
                <w:szCs w:val="22"/>
              </w:rPr>
              <w:t xml:space="preserve">, Working Paper, National Bureau of Economic Research,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>at https://www.nber.org/system/files/working_papers/w17443/w17443.pdf [3</w:t>
            </w:r>
            <w:r w:rsidR="00F536DC">
              <w:rPr>
                <w:rFonts w:cs="Times New Roman"/>
                <w:sz w:val="22"/>
                <w:szCs w:val="22"/>
              </w:rPr>
              <w:t>9</w:t>
            </w:r>
            <w:r w:rsidRPr="0043077B">
              <w:rPr>
                <w:rFonts w:cs="Times New Roman"/>
                <w:sz w:val="22"/>
                <w:szCs w:val="22"/>
              </w:rPr>
              <w:t xml:space="preserve"> pages] </w:t>
            </w:r>
          </w:p>
          <w:p w14:paraId="79A6F1B9" w14:textId="77777777" w:rsidR="00A91B87" w:rsidRPr="0043077B" w:rsidRDefault="00A91B87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50A53694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38F485" w14:textId="2CF412AE" w:rsidR="00914FD7" w:rsidRPr="0043077B" w:rsidRDefault="005F78CE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Monday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, January 9, 2023, 11:30 am-12:20 pm</w:t>
            </w:r>
            <w:r w:rsidR="000742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5095933" w14:textId="065C91DA" w:rsidR="00914FD7" w:rsidRPr="0043077B" w:rsidRDefault="00914FD7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Introduction to financial services and financial regulation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D5559F0" w14:textId="59F594FE" w:rsidR="00914FD7" w:rsidRPr="0043077B" w:rsidRDefault="00914FD7" w:rsidP="005F546B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The goals </w:t>
            </w:r>
            <w:r w:rsidR="005F546B">
              <w:rPr>
                <w:rFonts w:cs="Times New Roman"/>
                <w:sz w:val="22"/>
                <w:szCs w:val="22"/>
              </w:rPr>
              <w:t>and</w:t>
            </w:r>
            <w:r w:rsidRPr="0043077B">
              <w:rPr>
                <w:rFonts w:cs="Times New Roman"/>
                <w:sz w:val="22"/>
                <w:szCs w:val="22"/>
              </w:rPr>
              <w:t xml:space="preserve"> structure of </w:t>
            </w:r>
            <w:r w:rsidR="00B25C46">
              <w:rPr>
                <w:rFonts w:cs="Times New Roman"/>
                <w:sz w:val="22"/>
                <w:szCs w:val="22"/>
              </w:rPr>
              <w:t xml:space="preserve">U.S. </w:t>
            </w:r>
            <w:r w:rsidRPr="0043077B">
              <w:rPr>
                <w:rFonts w:cs="Times New Roman"/>
                <w:sz w:val="22"/>
                <w:szCs w:val="22"/>
              </w:rPr>
              <w:t>financial regulation</w:t>
            </w:r>
          </w:p>
          <w:p w14:paraId="4E685515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EBE6E42" w14:textId="77777777" w:rsidR="00914FD7" w:rsidRDefault="00754175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Congressional Research Service, </w:t>
            </w:r>
            <w:r w:rsidRPr="0043077B">
              <w:rPr>
                <w:rFonts w:cs="Times New Roman"/>
                <w:i/>
                <w:sz w:val="22"/>
                <w:szCs w:val="22"/>
              </w:rPr>
              <w:t>Who Regulates Whom? An Overview of the U.S. Financial Regulatory Framework</w:t>
            </w:r>
            <w:r w:rsidR="00550E1E">
              <w:rPr>
                <w:rFonts w:cs="Times New Roman"/>
                <w:sz w:val="22"/>
                <w:szCs w:val="22"/>
              </w:rPr>
              <w:t xml:space="preserve">, March 10, 2020,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 xml:space="preserve">at </w:t>
            </w:r>
            <w:r w:rsidR="00091B71" w:rsidRPr="0043077B">
              <w:rPr>
                <w:rFonts w:cs="Times New Roman"/>
                <w:sz w:val="22"/>
                <w:szCs w:val="22"/>
              </w:rPr>
              <w:t>https://</w:t>
            </w:r>
            <w:r w:rsidR="00550E1E">
              <w:rPr>
                <w:rFonts w:cs="Times New Roman"/>
                <w:sz w:val="22"/>
                <w:szCs w:val="22"/>
              </w:rPr>
              <w:t xml:space="preserve">sgp.fas.org/crs/misc/R44918.pdf </w:t>
            </w:r>
            <w:r w:rsidR="00091B71" w:rsidRPr="0043077B">
              <w:rPr>
                <w:rFonts w:cs="Times New Roman"/>
                <w:sz w:val="22"/>
                <w:szCs w:val="22"/>
              </w:rPr>
              <w:t>[</w:t>
            </w:r>
            <w:r w:rsidR="00550E1E">
              <w:rPr>
                <w:rFonts w:cs="Times New Roman"/>
                <w:sz w:val="22"/>
                <w:szCs w:val="22"/>
              </w:rPr>
              <w:t>34</w:t>
            </w:r>
            <w:r w:rsidR="00091B71" w:rsidRPr="0043077B">
              <w:rPr>
                <w:rFonts w:cs="Times New Roman"/>
                <w:sz w:val="22"/>
                <w:szCs w:val="22"/>
              </w:rPr>
              <w:t xml:space="preserve"> pages] </w:t>
            </w:r>
          </w:p>
          <w:p w14:paraId="4CF14FC6" w14:textId="77777777" w:rsidR="00F37E34" w:rsidRDefault="00F37E34" w:rsidP="00412423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Elizabeth F. Brown, </w:t>
            </w:r>
            <w:r w:rsidRPr="00DC0C4C">
              <w:rPr>
                <w:rFonts w:cs="Times New Roman"/>
                <w:i/>
                <w:sz w:val="22"/>
                <w:szCs w:val="22"/>
              </w:rPr>
              <w:t>E Pluribus Unum – Out of Many, One: Why the United States Needs a Single Financial Services Agency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F37E34">
              <w:rPr>
                <w:rFonts w:cs="Times New Roman"/>
                <w:sz w:val="22"/>
                <w:szCs w:val="22"/>
              </w:rPr>
              <w:t xml:space="preserve"> University of Miami Business Law Review</w:t>
            </w:r>
            <w:r>
              <w:rPr>
                <w:rFonts w:cs="Times New Roman"/>
                <w:sz w:val="22"/>
                <w:szCs w:val="22"/>
              </w:rPr>
              <w:t xml:space="preserve"> (2005), pp 4-10 and 74-100 </w:t>
            </w:r>
            <w:r w:rsidRPr="00DC0C4C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="00412423" w:rsidRPr="00412423">
              <w:rPr>
                <w:rFonts w:cs="Times New Roman"/>
                <w:sz w:val="22"/>
                <w:szCs w:val="22"/>
              </w:rPr>
              <w:t>https://papers.ssrn.com/sol3/papers.cfm?abstract_id=757010</w:t>
            </w:r>
            <w:r w:rsidR="00412423">
              <w:rPr>
                <w:rFonts w:cs="Times New Roman"/>
                <w:sz w:val="22"/>
                <w:szCs w:val="22"/>
              </w:rPr>
              <w:t xml:space="preserve"> [34</w:t>
            </w:r>
            <w:r w:rsidR="00412F77">
              <w:rPr>
                <w:rFonts w:cs="Times New Roman"/>
                <w:sz w:val="22"/>
                <w:szCs w:val="22"/>
              </w:rPr>
              <w:t xml:space="preserve"> pages]</w:t>
            </w:r>
          </w:p>
          <w:p w14:paraId="1394DB13" w14:textId="0F691257" w:rsidR="00074223" w:rsidRPr="0043077B" w:rsidRDefault="00074223" w:rsidP="00074223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32B416EF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2B9AF6" w14:textId="1143DB35" w:rsidR="00914FD7" w:rsidRPr="0043077B" w:rsidRDefault="009C76FA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Tuesday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 January 10,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9:30 am-10:20 am</w:t>
            </w:r>
            <w:r w:rsidR="008A5BF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CE4CF58" w14:textId="4D6A5F5B" w:rsidR="00914FD7" w:rsidRPr="0043077B" w:rsidRDefault="00914FD7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Climate-related financial risk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0F3461A" w14:textId="3FA58B72" w:rsidR="00914FD7" w:rsidRPr="0043077B" w:rsidRDefault="00BC5E9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What is climate-related financial risk? </w:t>
            </w:r>
          </w:p>
          <w:p w14:paraId="7FD512D5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7AF93AF" w14:textId="2CA816D8" w:rsidR="00550E1E" w:rsidRDefault="00550E1E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Financial Stability Oversight Counsel, </w:t>
            </w:r>
            <w:r w:rsidRPr="00550E1E">
              <w:rPr>
                <w:rFonts w:cs="Times New Roman"/>
                <w:i/>
                <w:sz w:val="22"/>
                <w:szCs w:val="22"/>
              </w:rPr>
              <w:t>Report on Climate-Related Financial Risk</w:t>
            </w:r>
            <w:r>
              <w:rPr>
                <w:rFonts w:cs="Times New Roman"/>
                <w:sz w:val="22"/>
                <w:szCs w:val="22"/>
              </w:rPr>
              <w:t xml:space="preserve">, October 21, 2021, pp 1-25,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Pr="00550E1E">
              <w:rPr>
                <w:rFonts w:cs="Times New Roman"/>
                <w:sz w:val="22"/>
                <w:szCs w:val="22"/>
              </w:rPr>
              <w:t>https://home.treasury.gov/system/files/261/FSOC-Climate-Report.pdf</w:t>
            </w:r>
            <w:r>
              <w:rPr>
                <w:rFonts w:cs="Times New Roman"/>
                <w:sz w:val="22"/>
                <w:szCs w:val="22"/>
              </w:rPr>
              <w:t xml:space="preserve"> [25 pages]</w:t>
            </w:r>
          </w:p>
          <w:p w14:paraId="2BEAE3DF" w14:textId="4346C3C9" w:rsidR="00550E1E" w:rsidRDefault="00550E1E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Financial Stability Oversight Counsel, </w:t>
            </w:r>
            <w:r w:rsidR="00BC5E97" w:rsidRPr="00BC5E97">
              <w:rPr>
                <w:rFonts w:cs="Times New Roman"/>
                <w:i/>
                <w:sz w:val="22"/>
                <w:szCs w:val="22"/>
              </w:rPr>
              <w:t>The Financial Stability Oversight Council’s Response to Climate-Related Financial Risk</w:t>
            </w:r>
            <w:r w:rsidR="00BC5E97">
              <w:rPr>
                <w:rFonts w:cs="Times New Roman"/>
                <w:sz w:val="22"/>
                <w:szCs w:val="22"/>
              </w:rPr>
              <w:t xml:space="preserve">, Fact Sheet, October 21, 2021,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BC5E97">
              <w:rPr>
                <w:rFonts w:cs="Times New Roman"/>
                <w:sz w:val="22"/>
                <w:szCs w:val="22"/>
              </w:rPr>
              <w:t xml:space="preserve"> at </w:t>
            </w:r>
            <w:r w:rsidR="00BC5E97" w:rsidRPr="00BC5E97">
              <w:rPr>
                <w:rFonts w:cs="Times New Roman"/>
                <w:sz w:val="22"/>
                <w:szCs w:val="22"/>
              </w:rPr>
              <w:t>https://home.treasury.gov/system/files/136/FACT-SHEET-The-Financial-Stability-Oversight-Councils-Response-to-Climate-Related-Financial-Risk.pdf</w:t>
            </w:r>
            <w:r w:rsidR="00BC5E97">
              <w:rPr>
                <w:rFonts w:cs="Times New Roman"/>
                <w:sz w:val="22"/>
                <w:szCs w:val="22"/>
              </w:rPr>
              <w:t xml:space="preserve"> [4 pages]</w:t>
            </w:r>
          </w:p>
          <w:p w14:paraId="17D0263C" w14:textId="67344732" w:rsidR="00387B10" w:rsidRPr="00387B10" w:rsidRDefault="00387B10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White House, </w:t>
            </w:r>
            <w:r w:rsidRPr="00550E1E">
              <w:rPr>
                <w:rFonts w:cs="Times New Roman"/>
                <w:i/>
                <w:sz w:val="22"/>
                <w:szCs w:val="22"/>
              </w:rPr>
              <w:t>Climate-Related Financial Risk</w:t>
            </w:r>
            <w:r>
              <w:rPr>
                <w:rFonts w:cs="Times New Roman"/>
                <w:sz w:val="22"/>
                <w:szCs w:val="22"/>
              </w:rPr>
              <w:t xml:space="preserve">, Executive Order,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Pr="00550E1E">
              <w:rPr>
                <w:rFonts w:cs="Times New Roman"/>
                <w:sz w:val="22"/>
                <w:szCs w:val="22"/>
              </w:rPr>
              <w:t>https://www.whitehouse.gov/briefing-room/presidential-actions/2021/05/20/executive-order-on-climate-related-financial-risk/</w:t>
            </w:r>
            <w:r>
              <w:rPr>
                <w:rFonts w:cs="Times New Roman"/>
                <w:sz w:val="22"/>
                <w:szCs w:val="22"/>
              </w:rPr>
              <w:t xml:space="preserve"> [6 pages] </w:t>
            </w:r>
          </w:p>
          <w:p w14:paraId="13AB6E53" w14:textId="77777777" w:rsidR="00154223" w:rsidRPr="0043077B" w:rsidRDefault="00154223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41F65368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1E08BD1" w14:textId="67386455" w:rsidR="001D6C76" w:rsidRPr="0043077B" w:rsidRDefault="005F78CE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Tuesday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January 10,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10:30 am-11:20 am</w:t>
            </w:r>
            <w:r w:rsidR="000742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60A538" w14:textId="0CA3E2D5" w:rsidR="001D6C76" w:rsidRPr="0043077B" w:rsidRDefault="001D6C76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Climate-related financial risk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AF3C72" w14:textId="64A469B6" w:rsidR="001D6C76" w:rsidRPr="0043077B" w:rsidRDefault="001D6C76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The Securities and Exchange Commission’s proposed rule on climate-related disclosures </w:t>
            </w:r>
          </w:p>
          <w:p w14:paraId="29AEB8DB" w14:textId="77777777" w:rsidR="00805BAC" w:rsidRPr="0043077B" w:rsidRDefault="00805BAC" w:rsidP="004F110E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7EEF55" w14:textId="148C7A46" w:rsidR="00387B10" w:rsidRPr="00387B10" w:rsidRDefault="00387B10" w:rsidP="004F110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BC5E97">
              <w:rPr>
                <w:rFonts w:cs="Times New Roman"/>
                <w:sz w:val="22"/>
                <w:szCs w:val="22"/>
              </w:rPr>
              <w:t xml:space="preserve">Securities and Exchange Commission, </w:t>
            </w:r>
            <w:r w:rsidRPr="00BC5E97">
              <w:rPr>
                <w:rFonts w:cs="Times New Roman"/>
                <w:i/>
                <w:sz w:val="22"/>
                <w:szCs w:val="22"/>
              </w:rPr>
              <w:t>Enhancement and Standardization of Climate-Related Disclosures</w:t>
            </w:r>
            <w:r w:rsidRPr="00BC5E97">
              <w:rPr>
                <w:rFonts w:cs="Times New Roman"/>
                <w:sz w:val="22"/>
                <w:szCs w:val="22"/>
              </w:rPr>
              <w:t xml:space="preserve">, Fact Sheet,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Pr="00BC5E97">
              <w:rPr>
                <w:rFonts w:cs="Times New Roman"/>
                <w:sz w:val="22"/>
                <w:szCs w:val="22"/>
              </w:rPr>
              <w:t xml:space="preserve"> at https://www.sec.gov/files/33-11042-fact-sheet.pdf [3 pages] </w:t>
            </w:r>
          </w:p>
          <w:p w14:paraId="056A9FB1" w14:textId="43058559" w:rsidR="00BC5E97" w:rsidRPr="00BC5E97" w:rsidRDefault="00BC5E9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BC5E97">
              <w:rPr>
                <w:rFonts w:cs="Times New Roman"/>
                <w:sz w:val="22"/>
                <w:szCs w:val="22"/>
              </w:rPr>
              <w:t xml:space="preserve">Securities and Exchange Commission, </w:t>
            </w:r>
            <w:r w:rsidRPr="00BC5E97">
              <w:rPr>
                <w:rFonts w:cs="Times New Roman"/>
                <w:i/>
                <w:sz w:val="22"/>
                <w:szCs w:val="22"/>
              </w:rPr>
              <w:t>The Enhancement and Standardization of Climate-Related Disclosures for Investors</w:t>
            </w:r>
            <w:r w:rsidRPr="00BC5E97">
              <w:rPr>
                <w:rFonts w:cs="Times New Roman"/>
                <w:sz w:val="22"/>
                <w:szCs w:val="22"/>
              </w:rPr>
              <w:t xml:space="preserve">, Proposed Rule, March 21, 2022, pp 1-46,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Pr="00BC5E97">
              <w:rPr>
                <w:rFonts w:cs="Times New Roman"/>
                <w:sz w:val="22"/>
                <w:szCs w:val="22"/>
              </w:rPr>
              <w:t xml:space="preserve"> at https://www.sec.gov/rules/proposed/2022/33-11042.pdf [46 pages] </w:t>
            </w:r>
          </w:p>
          <w:p w14:paraId="2EF6826D" w14:textId="59D7BC8A" w:rsidR="001D6C76" w:rsidRPr="0043077B" w:rsidRDefault="001D6C76" w:rsidP="004F110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43BAF4AA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AA562" w14:textId="14F1E65A" w:rsidR="00914FD7" w:rsidRPr="0043077B" w:rsidRDefault="005F78CE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Tuesday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January 10,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11:30 am-12:20 pm</w:t>
            </w:r>
            <w:r w:rsidR="000742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1D769F5" w14:textId="1887D95F" w:rsidR="00914FD7" w:rsidRPr="0043077B" w:rsidRDefault="001D6C76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Climate-related financial risk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008AF2E" w14:textId="77777777" w:rsidR="00914FD7" w:rsidRPr="0043077B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The 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federal </w:t>
            </w:r>
            <w:r w:rsidRPr="0043077B">
              <w:rPr>
                <w:rFonts w:cs="Times New Roman"/>
                <w:sz w:val="22"/>
                <w:szCs w:val="22"/>
              </w:rPr>
              <w:t>banking agencies and climate-related financial risk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8351CA6" w14:textId="4545BAC2" w:rsidR="00914FD7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Federal Deposit Insurance Corporation, </w:t>
            </w:r>
            <w:r w:rsidRPr="0043077B">
              <w:rPr>
                <w:rFonts w:cs="Times New Roman"/>
                <w:i/>
                <w:sz w:val="22"/>
                <w:szCs w:val="22"/>
              </w:rPr>
              <w:t>Statement of Principles for Climate-Related Financial Risk Management for Large Financial Institutions</w:t>
            </w:r>
            <w:r w:rsidRPr="0043077B">
              <w:rPr>
                <w:rFonts w:cs="Times New Roman"/>
                <w:sz w:val="22"/>
                <w:szCs w:val="22"/>
              </w:rPr>
              <w:t>, Notice of Proposed Policy Statement, April 4, 2022,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Pr="0043077B">
              <w:rPr>
                <w:rFonts w:cs="Times New Roman"/>
                <w:sz w:val="22"/>
                <w:szCs w:val="22"/>
              </w:rPr>
              <w:t xml:space="preserve"> at https://www.fdic.gov/news/board-matters/2022/2022-03-29-notational-fr.pdf </w:t>
            </w:r>
            <w:r w:rsidR="00091B71" w:rsidRPr="0043077B">
              <w:rPr>
                <w:rFonts w:cs="Times New Roman"/>
                <w:sz w:val="22"/>
                <w:szCs w:val="22"/>
              </w:rPr>
              <w:t xml:space="preserve">[6 pages] </w:t>
            </w:r>
          </w:p>
          <w:p w14:paraId="762EB3A6" w14:textId="4DBEA643" w:rsidR="00F37E34" w:rsidRPr="00F37E34" w:rsidRDefault="00F37E34" w:rsidP="00DC0C4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37E34">
              <w:rPr>
                <w:rFonts w:cs="Times New Roman"/>
                <w:sz w:val="22"/>
                <w:szCs w:val="22"/>
              </w:rPr>
              <w:t xml:space="preserve">Federal Reserve, </w:t>
            </w:r>
            <w:r w:rsidRPr="00DC0C4C">
              <w:rPr>
                <w:rFonts w:cs="Times New Roman"/>
                <w:i/>
                <w:sz w:val="22"/>
                <w:szCs w:val="22"/>
              </w:rPr>
              <w:t>Federal Reserve Board Announces that Six of the Nation’s Largest Banks will Participate in a Pilot Climate Scenario Analysis Exercise Designed to Enhance the Ability of Supervisors and Firms to Measure and Manage Climate-Related Financial Risks</w:t>
            </w:r>
            <w:r w:rsidRPr="00F37E34">
              <w:rPr>
                <w:rFonts w:cs="Times New Roman"/>
                <w:sz w:val="22"/>
                <w:szCs w:val="22"/>
              </w:rPr>
              <w:t>, Press release, September 29, 2022, available at https://www.federalreserve.gov/newsevents/pressreleases/other20220929a.htm [1 page]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62A6A8E" w14:textId="70C950D3" w:rsidR="00387B10" w:rsidRPr="00387B10" w:rsidRDefault="00387B10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Office of the Comptroller of the Currency, </w:t>
            </w:r>
            <w:r w:rsidRPr="0043077B">
              <w:rPr>
                <w:rFonts w:cs="Times New Roman"/>
                <w:i/>
                <w:sz w:val="22"/>
                <w:szCs w:val="22"/>
              </w:rPr>
              <w:t>Principle for Climate-Related Financial Risk Management for Large Banks</w:t>
            </w:r>
            <w:r w:rsidRPr="0043077B">
              <w:rPr>
                <w:rFonts w:cs="Times New Roman"/>
                <w:sz w:val="22"/>
                <w:szCs w:val="22"/>
              </w:rPr>
              <w:t xml:space="preserve">, Request for Feedback, December 16, 2021,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Pr="0043077B">
              <w:rPr>
                <w:rFonts w:cs="Times New Roman"/>
                <w:sz w:val="22"/>
                <w:szCs w:val="22"/>
              </w:rPr>
              <w:t xml:space="preserve"> at https://www.occ.treas.gov/news-issuances/bulletins/2021/bulletin-2021-62.html [7 pages]</w:t>
            </w:r>
          </w:p>
          <w:p w14:paraId="7FE9B468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05336614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48F366" w14:textId="62EF7CA1" w:rsidR="00914FD7" w:rsidRPr="0043077B" w:rsidRDefault="00805BAC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Wednesday</w:t>
            </w:r>
            <w:r w:rsidR="005F78CE"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January 11,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9:30 am-10:20 am</w:t>
            </w:r>
          </w:p>
        </w:tc>
        <w:tc>
          <w:tcPr>
            <w:tcW w:w="0" w:type="auto"/>
          </w:tcPr>
          <w:p w14:paraId="67AE817E" w14:textId="6A9BE170" w:rsidR="00914FD7" w:rsidRPr="0043077B" w:rsidRDefault="00914FD7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Cryptoassets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CAABF47" w14:textId="77777777" w:rsidR="00914FD7" w:rsidRPr="0043077B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What are cryptoassets?</w:t>
            </w:r>
          </w:p>
          <w:p w14:paraId="2D78CDFA" w14:textId="77777777" w:rsidR="00914FD7" w:rsidRPr="0043077B" w:rsidRDefault="00914FD7" w:rsidP="004F110E">
            <w:pPr>
              <w:pStyle w:val="ListParagraph"/>
              <w:spacing w:line="276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87725EA" w14:textId="244E57E7" w:rsidR="00387B10" w:rsidRDefault="00387B10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Bank of England, </w:t>
            </w:r>
            <w:r w:rsidRPr="0043077B">
              <w:rPr>
                <w:rFonts w:cs="Times New Roman"/>
                <w:i/>
                <w:sz w:val="22"/>
                <w:szCs w:val="22"/>
              </w:rPr>
              <w:t>What are Cryptoassets (Cryptocurrencies)?</w:t>
            </w:r>
            <w:r w:rsidRPr="0043077B">
              <w:rPr>
                <w:rFonts w:cs="Times New Roman"/>
                <w:sz w:val="22"/>
                <w:szCs w:val="22"/>
              </w:rPr>
              <w:t xml:space="preserve">, </w:t>
            </w:r>
            <w:r w:rsidR="005F546B">
              <w:rPr>
                <w:rFonts w:cs="Times New Roman"/>
                <w:sz w:val="22"/>
                <w:szCs w:val="22"/>
              </w:rPr>
              <w:t xml:space="preserve">2022,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Pr="0043077B">
              <w:rPr>
                <w:rFonts w:cs="Times New Roman"/>
                <w:sz w:val="22"/>
                <w:szCs w:val="22"/>
              </w:rPr>
              <w:t xml:space="preserve"> at https://www.bankofengland.co.uk/knowledgebank/what-are-cryptocurrencies [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43077B">
              <w:rPr>
                <w:rFonts w:cs="Times New Roman"/>
                <w:sz w:val="22"/>
                <w:szCs w:val="22"/>
              </w:rPr>
              <w:t xml:space="preserve"> pages] </w:t>
            </w:r>
          </w:p>
          <w:p w14:paraId="6C8EEE1D" w14:textId="6EA91DA6" w:rsidR="0065321E" w:rsidRPr="00387B10" w:rsidRDefault="0065321E" w:rsidP="0065321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Kiana Danial, </w:t>
            </w:r>
            <w:r w:rsidRPr="0065321E">
              <w:rPr>
                <w:rFonts w:cs="Times New Roman"/>
                <w:i/>
                <w:sz w:val="22"/>
                <w:szCs w:val="22"/>
              </w:rPr>
              <w:t>What Is Cryptocurrency?</w:t>
            </w:r>
            <w:r>
              <w:rPr>
                <w:rFonts w:cs="Times New Roman"/>
                <w:sz w:val="22"/>
                <w:szCs w:val="22"/>
              </w:rPr>
              <w:t xml:space="preserve">, December 14, 2022, </w:t>
            </w:r>
            <w:r w:rsidRPr="0065321E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Pr="0065321E">
              <w:rPr>
                <w:rFonts w:cs="Times New Roman"/>
                <w:sz w:val="22"/>
                <w:szCs w:val="22"/>
              </w:rPr>
              <w:t>https://www.dummies.com/article/business-careers-money/personal-finance/cryptocurrency/what-is-cryptocurrency-237561/</w:t>
            </w:r>
            <w:r>
              <w:rPr>
                <w:rFonts w:cs="Times New Roman"/>
                <w:sz w:val="22"/>
                <w:szCs w:val="22"/>
              </w:rPr>
              <w:t xml:space="preserve"> [8 pages]</w:t>
            </w:r>
          </w:p>
          <w:p w14:paraId="47F5874B" w14:textId="685406EC" w:rsidR="00AC18B8" w:rsidRDefault="00FF4A9F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Robby Houben and </w:t>
            </w:r>
            <w:r w:rsidR="002E7572" w:rsidRPr="0043077B">
              <w:rPr>
                <w:rFonts w:cs="Times New Roman"/>
                <w:sz w:val="22"/>
                <w:szCs w:val="22"/>
              </w:rPr>
              <w:t xml:space="preserve">Alexander </w:t>
            </w:r>
            <w:r w:rsidRPr="0043077B">
              <w:rPr>
                <w:rFonts w:cs="Times New Roman"/>
                <w:sz w:val="22"/>
                <w:szCs w:val="22"/>
              </w:rPr>
              <w:t xml:space="preserve">Snyers, </w:t>
            </w:r>
            <w:r w:rsidR="002E7572" w:rsidRPr="0043077B">
              <w:rPr>
                <w:rFonts w:cs="Times New Roman"/>
                <w:i/>
                <w:sz w:val="22"/>
                <w:szCs w:val="22"/>
              </w:rPr>
              <w:t>Crypto-Assets: Key Developments, Regulatory Concerns, and Responses</w:t>
            </w:r>
            <w:r w:rsidR="002E7572" w:rsidRPr="0043077B">
              <w:rPr>
                <w:rFonts w:cs="Times New Roman"/>
                <w:sz w:val="22"/>
                <w:szCs w:val="22"/>
              </w:rPr>
              <w:t xml:space="preserve">, Policy Department for Economic, Scientific and Quality of Life Policies, European Parliament, </w:t>
            </w:r>
            <w:r w:rsidR="005F546B">
              <w:rPr>
                <w:rFonts w:cs="Times New Roman"/>
                <w:sz w:val="22"/>
                <w:szCs w:val="22"/>
              </w:rPr>
              <w:t xml:space="preserve">April 2020, </w:t>
            </w:r>
            <w:r w:rsidRPr="0043077B">
              <w:rPr>
                <w:rFonts w:cs="Times New Roman"/>
                <w:sz w:val="22"/>
                <w:szCs w:val="22"/>
              </w:rPr>
              <w:t xml:space="preserve">pp </w:t>
            </w:r>
            <w:r w:rsidR="00817E7E">
              <w:rPr>
                <w:rFonts w:cs="Times New Roman"/>
                <w:sz w:val="22"/>
                <w:szCs w:val="22"/>
              </w:rPr>
              <w:t>1-41</w:t>
            </w:r>
            <w:r w:rsidRPr="0043077B">
              <w:rPr>
                <w:rFonts w:cs="Times New Roman"/>
                <w:sz w:val="22"/>
                <w:szCs w:val="22"/>
              </w:rPr>
              <w:t xml:space="preserve">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 xml:space="preserve">at </w:t>
            </w:r>
            <w:r w:rsidR="002E7572" w:rsidRPr="0043077B">
              <w:rPr>
                <w:rFonts w:cs="Times New Roman"/>
                <w:sz w:val="22"/>
                <w:szCs w:val="22"/>
              </w:rPr>
              <w:t>https://amlbot.com/wp-content/uploads/2020/05/IPOL_STU2020648779_EN.pdf [</w:t>
            </w:r>
            <w:r w:rsidR="00817E7E">
              <w:rPr>
                <w:rFonts w:cs="Times New Roman"/>
                <w:sz w:val="22"/>
                <w:szCs w:val="22"/>
              </w:rPr>
              <w:t>41</w:t>
            </w:r>
            <w:r w:rsidR="002E7572" w:rsidRPr="0043077B">
              <w:rPr>
                <w:rFonts w:cs="Times New Roman"/>
                <w:sz w:val="22"/>
                <w:szCs w:val="22"/>
              </w:rPr>
              <w:t xml:space="preserve"> pages]</w:t>
            </w:r>
          </w:p>
          <w:p w14:paraId="31542C47" w14:textId="77777777" w:rsidR="00FF4A9F" w:rsidRPr="0043077B" w:rsidRDefault="00FF4A9F" w:rsidP="004F110E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4DAFA0C1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1FDFCF48" w14:textId="30292E6F" w:rsidR="00914FD7" w:rsidRPr="0043077B" w:rsidRDefault="00805BAC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Wednesday</w:t>
            </w:r>
            <w:r w:rsidR="005F78CE"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January 11,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10:30 am-11:20 am</w:t>
            </w:r>
            <w:r w:rsidR="0095090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81FB19B" w14:textId="7F610DC4" w:rsidR="00914FD7" w:rsidRPr="0043077B" w:rsidRDefault="00914FD7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Cryptoassets</w:t>
            </w:r>
            <w:r w:rsidR="009C76FA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2ED66D8" w14:textId="77777777" w:rsidR="00914FD7" w:rsidRPr="0043077B" w:rsidRDefault="00805BAC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The regulation of cryptoassets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88F36A7" w14:textId="0AE602E7" w:rsidR="00914FD7" w:rsidRPr="0043077B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White House, </w:t>
            </w:r>
            <w:r w:rsidRPr="0043077B">
              <w:rPr>
                <w:rFonts w:cs="Times New Roman"/>
                <w:i/>
                <w:sz w:val="22"/>
                <w:szCs w:val="22"/>
              </w:rPr>
              <w:t>Executive Order on Ensuring Responsible Development of Digital Assets</w:t>
            </w:r>
            <w:r w:rsidRPr="0043077B">
              <w:rPr>
                <w:rFonts w:cs="Times New Roman"/>
                <w:sz w:val="22"/>
                <w:szCs w:val="22"/>
              </w:rPr>
              <w:t xml:space="preserve">, March 9, 2022,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 xml:space="preserve">at </w:t>
            </w:r>
            <w:r w:rsidR="003B2325" w:rsidRPr="0043077B">
              <w:rPr>
                <w:rFonts w:cs="Times New Roman"/>
                <w:sz w:val="22"/>
                <w:szCs w:val="22"/>
              </w:rPr>
              <w:t>https://www.whitehouse.gov/briefing-room/presidential-actions/2022/03/09/executive-order-on-ensuring-responsible-development-of-digital-assets/ [1</w:t>
            </w:r>
            <w:r w:rsidR="00817E7E">
              <w:rPr>
                <w:rFonts w:cs="Times New Roman"/>
                <w:sz w:val="22"/>
                <w:szCs w:val="22"/>
              </w:rPr>
              <w:t>3</w:t>
            </w:r>
            <w:r w:rsidR="003B2325" w:rsidRPr="0043077B">
              <w:rPr>
                <w:rFonts w:cs="Times New Roman"/>
                <w:sz w:val="22"/>
                <w:szCs w:val="22"/>
              </w:rPr>
              <w:t xml:space="preserve"> pages] </w:t>
            </w:r>
          </w:p>
          <w:p w14:paraId="79305166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7F05A1E3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B6D8C3" w14:textId="511B28A3" w:rsidR="00914FD7" w:rsidRPr="0043077B" w:rsidRDefault="00805BAC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Wednesday</w:t>
            </w:r>
            <w:r w:rsidR="005F78CE"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January 11,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11:30 am-12:20 pm</w:t>
            </w:r>
            <w:r w:rsidR="0095090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2A6AA13" w14:textId="495A20F2" w:rsidR="00914FD7" w:rsidRPr="0043077B" w:rsidRDefault="001D6C76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Cryptoassets </w:t>
            </w:r>
          </w:p>
        </w:tc>
        <w:tc>
          <w:tcPr>
            <w:tcW w:w="0" w:type="auto"/>
          </w:tcPr>
          <w:p w14:paraId="3ED770B2" w14:textId="54F3CC7F" w:rsidR="00914FD7" w:rsidRPr="0043077B" w:rsidRDefault="00914FD7" w:rsidP="004F110E">
            <w:pPr>
              <w:pStyle w:val="ListParagraph"/>
              <w:numPr>
                <w:ilvl w:val="0"/>
                <w:numId w:val="2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Central </w:t>
            </w:r>
            <w:r w:rsidR="000F698C">
              <w:rPr>
                <w:rFonts w:cs="Times New Roman"/>
                <w:sz w:val="22"/>
                <w:szCs w:val="22"/>
              </w:rPr>
              <w:t xml:space="preserve">bank and state </w:t>
            </w:r>
            <w:r w:rsidRPr="0043077B">
              <w:rPr>
                <w:rFonts w:cs="Times New Roman"/>
                <w:sz w:val="22"/>
                <w:szCs w:val="22"/>
              </w:rPr>
              <w:t>digital currencies</w:t>
            </w:r>
          </w:p>
          <w:p w14:paraId="6A0B35AD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B1725F5" w14:textId="0AE21413" w:rsidR="00914FD7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Federal Reserve, </w:t>
            </w:r>
            <w:r w:rsidRPr="0043077B">
              <w:rPr>
                <w:rFonts w:cs="Times New Roman"/>
                <w:i/>
                <w:sz w:val="22"/>
                <w:szCs w:val="22"/>
              </w:rPr>
              <w:t>Money and Payments: The U.S. Dollar in the Age of Digital Transformation</w:t>
            </w:r>
            <w:r w:rsidRPr="0043077B">
              <w:rPr>
                <w:rFonts w:cs="Times New Roman"/>
                <w:sz w:val="22"/>
                <w:szCs w:val="22"/>
              </w:rPr>
              <w:t xml:space="preserve">, </w:t>
            </w:r>
            <w:r w:rsidR="002B7F4E" w:rsidRPr="0043077B">
              <w:rPr>
                <w:rFonts w:cs="Times New Roman"/>
                <w:sz w:val="22"/>
                <w:szCs w:val="22"/>
              </w:rPr>
              <w:t xml:space="preserve">Discussion Paper, </w:t>
            </w:r>
            <w:r w:rsidRPr="0043077B">
              <w:rPr>
                <w:rFonts w:cs="Times New Roman"/>
                <w:sz w:val="22"/>
                <w:szCs w:val="22"/>
              </w:rPr>
              <w:t>January 2022,</w:t>
            </w:r>
            <w:r w:rsidR="00451C03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Pr="0043077B">
              <w:rPr>
                <w:rFonts w:cs="Times New Roman"/>
                <w:sz w:val="22"/>
                <w:szCs w:val="22"/>
              </w:rPr>
              <w:t xml:space="preserve"> at https://www.federalreserve.gov/publications/files/money-and-payments-20220120.pdf</w:t>
            </w:r>
            <w:r w:rsidR="003B2325" w:rsidRPr="0043077B">
              <w:rPr>
                <w:rFonts w:cs="Times New Roman"/>
                <w:sz w:val="22"/>
                <w:szCs w:val="22"/>
              </w:rPr>
              <w:t xml:space="preserve"> [</w:t>
            </w:r>
            <w:r w:rsidR="00817E7E">
              <w:rPr>
                <w:rFonts w:cs="Times New Roman"/>
                <w:sz w:val="22"/>
                <w:szCs w:val="22"/>
              </w:rPr>
              <w:t>40</w:t>
            </w:r>
            <w:r w:rsidR="003B2325" w:rsidRPr="0043077B">
              <w:rPr>
                <w:rFonts w:cs="Times New Roman"/>
                <w:sz w:val="22"/>
                <w:szCs w:val="22"/>
              </w:rPr>
              <w:t xml:space="preserve"> pages] </w:t>
            </w:r>
          </w:p>
          <w:p w14:paraId="1E28DAF2" w14:textId="00D56A01" w:rsidR="000F698C" w:rsidRPr="0043077B" w:rsidRDefault="000F698C" w:rsidP="000F698C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Wyoming Stable Token Act, </w:t>
            </w:r>
            <w:r w:rsidRPr="000F698C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Pr="000F698C">
              <w:rPr>
                <w:rFonts w:cs="Times New Roman"/>
                <w:sz w:val="22"/>
                <w:szCs w:val="22"/>
              </w:rPr>
              <w:t>https://wyoleg.gov/Legislation/2022/SF0106</w:t>
            </w:r>
            <w:r>
              <w:rPr>
                <w:rFonts w:cs="Times New Roman"/>
                <w:sz w:val="22"/>
                <w:szCs w:val="22"/>
              </w:rPr>
              <w:t xml:space="preserve"> [13 pages] </w:t>
            </w:r>
          </w:p>
          <w:p w14:paraId="5218085C" w14:textId="77777777" w:rsidR="00972680" w:rsidRPr="0043077B" w:rsidRDefault="00972680" w:rsidP="004F110E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615D7416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2073F5" w14:textId="67D7A898" w:rsidR="00914FD7" w:rsidRPr="0043077B" w:rsidRDefault="00805BAC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Thursday</w:t>
            </w:r>
            <w:r w:rsidR="005F78CE"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January 12,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9:30 am-10:20 am</w:t>
            </w:r>
            <w:r w:rsidR="008A5BF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14:paraId="760D4675" w14:textId="21AED0C9" w:rsidR="00914FD7" w:rsidRPr="0043077B" w:rsidRDefault="009C76FA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Cybersecurity </w:t>
            </w:r>
          </w:p>
        </w:tc>
        <w:tc>
          <w:tcPr>
            <w:tcW w:w="0" w:type="auto"/>
            <w:shd w:val="clear" w:color="auto" w:fill="FFFFFF" w:themeFill="background1"/>
          </w:tcPr>
          <w:p w14:paraId="7654E924" w14:textId="77777777" w:rsidR="00914FD7" w:rsidRPr="0043077B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The Securities and Exchange Commission’s proposed rule on cybersecurity  </w:t>
            </w:r>
          </w:p>
          <w:p w14:paraId="328106FC" w14:textId="77777777" w:rsidR="00914FD7" w:rsidRPr="0043077B" w:rsidRDefault="00914FD7" w:rsidP="004F110E">
            <w:pPr>
              <w:pStyle w:val="ListParagraph"/>
              <w:spacing w:line="276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AF5C399" w14:textId="7ED8AF30" w:rsidR="00914FD7" w:rsidRPr="0043077B" w:rsidRDefault="00914FD7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Securities and Exchange Commission, </w:t>
            </w:r>
            <w:r w:rsidRPr="0043077B">
              <w:rPr>
                <w:rFonts w:cs="Times New Roman"/>
                <w:i/>
                <w:sz w:val="22"/>
                <w:szCs w:val="22"/>
              </w:rPr>
              <w:t>Cybersecurity Risk Management, Strategy, Governance, and Incident Disclosure</w:t>
            </w:r>
            <w:r w:rsidRPr="0043077B">
              <w:rPr>
                <w:rFonts w:cs="Times New Roman"/>
                <w:sz w:val="22"/>
                <w:szCs w:val="22"/>
              </w:rPr>
              <w:t>, Proposed Rule, March 9, 2022, pp</w:t>
            </w:r>
            <w:r w:rsidR="00387B10">
              <w:rPr>
                <w:rFonts w:cs="Times New Roman"/>
                <w:sz w:val="22"/>
                <w:szCs w:val="22"/>
              </w:rPr>
              <w:t xml:space="preserve"> 1-20 and</w:t>
            </w:r>
            <w:r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387B10">
              <w:rPr>
                <w:rFonts w:cs="Times New Roman"/>
                <w:sz w:val="22"/>
                <w:szCs w:val="22"/>
              </w:rPr>
              <w:t>104-129</w:t>
            </w:r>
            <w:r w:rsidRPr="0043077B">
              <w:rPr>
                <w:rFonts w:cs="Times New Roman"/>
                <w:sz w:val="22"/>
                <w:szCs w:val="22"/>
              </w:rPr>
              <w:t xml:space="preserve">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9252F0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 xml:space="preserve">at </w:t>
            </w:r>
            <w:r w:rsidR="00400B22" w:rsidRPr="0043077B">
              <w:rPr>
                <w:rFonts w:cs="Times New Roman"/>
                <w:sz w:val="22"/>
                <w:szCs w:val="22"/>
              </w:rPr>
              <w:t>https://www.sec.gov/rules/proposed/2022/33-11038.pdf [</w:t>
            </w:r>
            <w:r w:rsidR="00387B10">
              <w:rPr>
                <w:rFonts w:cs="Times New Roman"/>
                <w:sz w:val="22"/>
                <w:szCs w:val="22"/>
              </w:rPr>
              <w:t>46</w:t>
            </w:r>
            <w:r w:rsidR="00400B22" w:rsidRPr="0043077B">
              <w:rPr>
                <w:rFonts w:cs="Times New Roman"/>
                <w:sz w:val="22"/>
                <w:szCs w:val="22"/>
              </w:rPr>
              <w:t xml:space="preserve"> pages] </w:t>
            </w:r>
          </w:p>
        </w:tc>
      </w:tr>
      <w:tr w:rsidR="002554D6" w:rsidRPr="0043077B" w14:paraId="12E8DAB7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100443" w14:textId="32F9023B" w:rsidR="00914FD7" w:rsidRDefault="00805BAC" w:rsidP="005F78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Thursday</w:t>
            </w:r>
            <w:r w:rsidR="005F78CE"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January 12,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10:30 am-11:20 am</w:t>
            </w:r>
            <w:r w:rsidR="008A5BF2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  <w:p w14:paraId="593B4FF9" w14:textId="7982414C" w:rsidR="00B8364E" w:rsidRPr="0043077B" w:rsidRDefault="00B8364E" w:rsidP="00B8364E">
            <w:pPr>
              <w:pStyle w:val="ListParagraph"/>
              <w:spacing w:line="276" w:lineRule="auto"/>
              <w:ind w:left="3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77F772" w14:textId="4A8C85F0" w:rsidR="00914FD7" w:rsidRPr="0043077B" w:rsidRDefault="009C76FA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Cybersecurity </w:t>
            </w:r>
          </w:p>
        </w:tc>
        <w:tc>
          <w:tcPr>
            <w:tcW w:w="0" w:type="auto"/>
            <w:shd w:val="clear" w:color="auto" w:fill="auto"/>
          </w:tcPr>
          <w:p w14:paraId="3C5CB126" w14:textId="77777777" w:rsidR="00914FD7" w:rsidRPr="0043077B" w:rsidRDefault="009C76FA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The federal banking agencies and cybersecurity </w:t>
            </w:r>
          </w:p>
          <w:p w14:paraId="4B04C563" w14:textId="77777777" w:rsidR="00914FD7" w:rsidRPr="0043077B" w:rsidRDefault="00914FD7" w:rsidP="004F110E">
            <w:pPr>
              <w:pStyle w:val="ListParagraph"/>
              <w:spacing w:line="276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1544DA" w14:textId="5C4F5E99" w:rsidR="00914FD7" w:rsidRPr="0043077B" w:rsidRDefault="009C76FA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Federal Deposit Insurance Corporation, Federal Reserve, and Office of the Comptroller of the Currency, </w:t>
            </w:r>
            <w:r w:rsidRPr="0043077B">
              <w:rPr>
                <w:rFonts w:cs="Times New Roman"/>
                <w:i/>
                <w:sz w:val="22"/>
                <w:szCs w:val="22"/>
              </w:rPr>
              <w:t>Computer-Security Incident Notification Requirements for Banking Organizations and their Bank Service Providers</w:t>
            </w:r>
            <w:r w:rsidRPr="0043077B">
              <w:rPr>
                <w:rFonts w:cs="Times New Roman"/>
                <w:sz w:val="22"/>
                <w:szCs w:val="22"/>
              </w:rPr>
              <w:t xml:space="preserve">, Final Rule, November 17, 2021, </w:t>
            </w:r>
            <w:r w:rsidR="003B2325" w:rsidRPr="0043077B">
              <w:rPr>
                <w:rFonts w:cs="Times New Roman"/>
                <w:sz w:val="22"/>
                <w:szCs w:val="22"/>
              </w:rPr>
              <w:t xml:space="preserve">pp </w:t>
            </w:r>
            <w:r w:rsidR="00817E7E">
              <w:rPr>
                <w:rFonts w:cs="Times New Roman"/>
                <w:sz w:val="22"/>
                <w:szCs w:val="22"/>
              </w:rPr>
              <w:t xml:space="preserve">1-44 and </w:t>
            </w:r>
            <w:r w:rsidR="005A128C">
              <w:rPr>
                <w:rFonts w:cs="Times New Roman"/>
                <w:sz w:val="22"/>
                <w:szCs w:val="22"/>
              </w:rPr>
              <w:t>68-71</w:t>
            </w:r>
            <w:r w:rsidR="00817E7E">
              <w:rPr>
                <w:rFonts w:cs="Times New Roman"/>
                <w:sz w:val="22"/>
                <w:szCs w:val="22"/>
              </w:rPr>
              <w:t xml:space="preserve">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A77A12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>at https://www.occ.treas.gov/news-issuances/news-releases/2021/2021-119a.pdf</w:t>
            </w:r>
            <w:r w:rsidR="003B2325" w:rsidRPr="0043077B">
              <w:rPr>
                <w:rFonts w:cs="Times New Roman"/>
                <w:sz w:val="22"/>
                <w:szCs w:val="22"/>
              </w:rPr>
              <w:t xml:space="preserve"> [</w:t>
            </w:r>
            <w:r w:rsidR="005A128C">
              <w:rPr>
                <w:rFonts w:cs="Times New Roman"/>
                <w:sz w:val="22"/>
                <w:szCs w:val="22"/>
              </w:rPr>
              <w:t>48</w:t>
            </w:r>
            <w:r w:rsidR="00154223"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3B2325" w:rsidRPr="0043077B">
              <w:rPr>
                <w:rFonts w:cs="Times New Roman"/>
                <w:sz w:val="22"/>
                <w:szCs w:val="22"/>
              </w:rPr>
              <w:t>pages]</w:t>
            </w:r>
          </w:p>
          <w:p w14:paraId="77FF2985" w14:textId="77777777" w:rsidR="00805BAC" w:rsidRPr="0043077B" w:rsidRDefault="00805BAC" w:rsidP="004F110E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70C52B16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0A1B5AA7" w14:textId="53D13D87" w:rsidR="00914FD7" w:rsidRPr="0043077B" w:rsidRDefault="00805BAC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43077B">
              <w:rPr>
                <w:rFonts w:cs="Times New Roman"/>
                <w:b w:val="0"/>
                <w:sz w:val="22"/>
                <w:szCs w:val="22"/>
              </w:rPr>
              <w:t>Thursday</w:t>
            </w:r>
            <w:r w:rsidR="005F78CE" w:rsidRPr="0043077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5F78CE">
              <w:rPr>
                <w:rFonts w:cs="Times New Roman"/>
                <w:b w:val="0"/>
                <w:sz w:val="22"/>
                <w:szCs w:val="22"/>
              </w:rPr>
              <w:t xml:space="preserve">January 12,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11:30 am-12:20 pm</w:t>
            </w:r>
            <w:r w:rsidR="0095090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67166AC" w14:textId="0BFB16A4" w:rsidR="00914FD7" w:rsidRPr="0043077B" w:rsidRDefault="009C76FA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Consumer</w:t>
            </w:r>
            <w:r w:rsidR="00EE61B9">
              <w:rPr>
                <w:rFonts w:cs="Times New Roman"/>
                <w:sz w:val="22"/>
                <w:szCs w:val="22"/>
              </w:rPr>
              <w:t xml:space="preserve"> protection</w:t>
            </w:r>
            <w:r w:rsidR="00805BAC" w:rsidRPr="0043077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77CC28E" w14:textId="77777777" w:rsidR="00805BAC" w:rsidRPr="0043077B" w:rsidRDefault="00805BAC" w:rsidP="004F110E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>The</w:t>
            </w:r>
            <w:r w:rsidR="002E7572" w:rsidRPr="0043077B">
              <w:rPr>
                <w:rFonts w:cs="Times New Roman"/>
                <w:sz w:val="22"/>
                <w:szCs w:val="22"/>
              </w:rPr>
              <w:t xml:space="preserve"> history,</w:t>
            </w:r>
            <w:r w:rsidRPr="0043077B">
              <w:rPr>
                <w:rFonts w:cs="Times New Roman"/>
                <w:sz w:val="22"/>
                <w:szCs w:val="22"/>
              </w:rPr>
              <w:t xml:space="preserve"> </w:t>
            </w:r>
            <w:r w:rsidR="006B6A80" w:rsidRPr="0043077B">
              <w:rPr>
                <w:rFonts w:cs="Times New Roman"/>
                <w:sz w:val="22"/>
                <w:szCs w:val="22"/>
              </w:rPr>
              <w:t>structure</w:t>
            </w:r>
            <w:r w:rsidR="002E7572" w:rsidRPr="0043077B">
              <w:rPr>
                <w:rFonts w:cs="Times New Roman"/>
                <w:sz w:val="22"/>
                <w:szCs w:val="22"/>
              </w:rPr>
              <w:t>,</w:t>
            </w:r>
            <w:r w:rsidR="006B6A80" w:rsidRPr="0043077B">
              <w:rPr>
                <w:rFonts w:cs="Times New Roman"/>
                <w:sz w:val="22"/>
                <w:szCs w:val="22"/>
              </w:rPr>
              <w:t xml:space="preserve"> and</w:t>
            </w:r>
            <w:r w:rsidRPr="0043077B">
              <w:rPr>
                <w:rFonts w:cs="Times New Roman"/>
                <w:sz w:val="22"/>
                <w:szCs w:val="22"/>
              </w:rPr>
              <w:t xml:space="preserve"> powers of the Consumer Financial Protection Bureau</w:t>
            </w:r>
          </w:p>
          <w:p w14:paraId="684094E7" w14:textId="77777777" w:rsidR="00914FD7" w:rsidRPr="0043077B" w:rsidRDefault="00914FD7" w:rsidP="004F110E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09D6186" w14:textId="6A475EEE" w:rsidR="00CD5E9B" w:rsidRPr="0043077B" w:rsidRDefault="00CD5E9B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Adam J. Levitin, </w:t>
            </w:r>
            <w:r w:rsidRPr="0043077B">
              <w:rPr>
                <w:rFonts w:cs="Times New Roman"/>
                <w:i/>
                <w:sz w:val="22"/>
                <w:szCs w:val="22"/>
              </w:rPr>
              <w:t>The Consumer Financial Protection Bureau: An Introduction</w:t>
            </w:r>
            <w:r w:rsidR="002B7F4E" w:rsidRPr="0043077B">
              <w:rPr>
                <w:rFonts w:cs="Times New Roman"/>
                <w:sz w:val="22"/>
                <w:szCs w:val="22"/>
              </w:rPr>
              <w:t>, Review</w:t>
            </w:r>
            <w:r w:rsidRPr="0043077B">
              <w:rPr>
                <w:rFonts w:cs="Times New Roman"/>
                <w:sz w:val="22"/>
                <w:szCs w:val="22"/>
              </w:rPr>
              <w:t xml:space="preserve"> of Banking and Financial Law, </w:t>
            </w:r>
            <w:r w:rsidR="002B7F4E" w:rsidRPr="0043077B">
              <w:rPr>
                <w:rFonts w:cs="Times New Roman"/>
                <w:sz w:val="22"/>
                <w:szCs w:val="22"/>
              </w:rPr>
              <w:t xml:space="preserve">Volume 32, </w:t>
            </w:r>
            <w:r w:rsidR="009E226E">
              <w:rPr>
                <w:rFonts w:cs="Times New Roman"/>
                <w:sz w:val="22"/>
                <w:szCs w:val="22"/>
              </w:rPr>
              <w:t xml:space="preserve">2013, </w:t>
            </w:r>
            <w:r w:rsidR="007A3CC0" w:rsidRPr="007A3CC0">
              <w:rPr>
                <w:rFonts w:cs="Times New Roman"/>
                <w:i/>
                <w:sz w:val="22"/>
                <w:szCs w:val="22"/>
              </w:rPr>
              <w:t>available</w:t>
            </w:r>
            <w:r w:rsidR="007A3CC0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>at http://www.bu.edu/rbfl/files/2013/10/Levitin.pdf [</w:t>
            </w:r>
            <w:r w:rsidR="00817E7E">
              <w:rPr>
                <w:rFonts w:cs="Times New Roman"/>
                <w:sz w:val="22"/>
                <w:szCs w:val="22"/>
              </w:rPr>
              <w:t>49</w:t>
            </w:r>
            <w:r w:rsidRPr="0043077B">
              <w:rPr>
                <w:rFonts w:cs="Times New Roman"/>
                <w:sz w:val="22"/>
                <w:szCs w:val="22"/>
              </w:rPr>
              <w:t xml:space="preserve"> pages]</w:t>
            </w:r>
          </w:p>
          <w:p w14:paraId="00B311F9" w14:textId="479BBD10" w:rsidR="00914FD7" w:rsidRPr="0043077B" w:rsidRDefault="006B6A80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3077B">
              <w:rPr>
                <w:rFonts w:cs="Times New Roman"/>
                <w:sz w:val="22"/>
                <w:szCs w:val="22"/>
              </w:rPr>
              <w:t xml:space="preserve">Congressional Research Service, </w:t>
            </w:r>
            <w:r w:rsidRPr="0043077B">
              <w:rPr>
                <w:rFonts w:cs="Times New Roman"/>
                <w:i/>
                <w:sz w:val="22"/>
                <w:szCs w:val="22"/>
              </w:rPr>
              <w:t>Introduction to Financial Services: The Consumer Financial Protection Bureau</w:t>
            </w:r>
            <w:r w:rsidRPr="0043077B">
              <w:rPr>
                <w:rFonts w:cs="Times New Roman"/>
                <w:sz w:val="22"/>
                <w:szCs w:val="22"/>
              </w:rPr>
              <w:t xml:space="preserve">, January 13, 2022,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 w:rsidR="00387B10">
              <w:rPr>
                <w:rFonts w:cs="Times New Roman"/>
                <w:sz w:val="22"/>
                <w:szCs w:val="22"/>
              </w:rPr>
              <w:t xml:space="preserve"> </w:t>
            </w:r>
            <w:r w:rsidRPr="0043077B">
              <w:rPr>
                <w:rFonts w:cs="Times New Roman"/>
                <w:sz w:val="22"/>
                <w:szCs w:val="22"/>
              </w:rPr>
              <w:t xml:space="preserve">at https://sgp.fas.org/crs/misc/IF10031.pdf </w:t>
            </w:r>
            <w:r w:rsidR="003B2325" w:rsidRPr="0043077B">
              <w:rPr>
                <w:rFonts w:cs="Times New Roman"/>
                <w:sz w:val="22"/>
                <w:szCs w:val="22"/>
              </w:rPr>
              <w:t>[</w:t>
            </w:r>
            <w:r w:rsidR="00387B10">
              <w:rPr>
                <w:rFonts w:cs="Times New Roman"/>
                <w:sz w:val="22"/>
                <w:szCs w:val="22"/>
              </w:rPr>
              <w:t>3</w:t>
            </w:r>
            <w:r w:rsidR="003B2325" w:rsidRPr="0043077B">
              <w:rPr>
                <w:rFonts w:cs="Times New Roman"/>
                <w:sz w:val="22"/>
                <w:szCs w:val="22"/>
              </w:rPr>
              <w:t xml:space="preserve"> pages]</w:t>
            </w:r>
          </w:p>
        </w:tc>
      </w:tr>
      <w:tr w:rsidR="002554D6" w:rsidRPr="0043077B" w14:paraId="1F9FA7A6" w14:textId="77777777" w:rsidTr="006F4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F99CED" w14:textId="59200982" w:rsidR="00A869D2" w:rsidRPr="00A869D2" w:rsidRDefault="00A869D2" w:rsidP="008A5BF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A869D2">
              <w:rPr>
                <w:rFonts w:cs="Times New Roman"/>
                <w:b w:val="0"/>
                <w:sz w:val="22"/>
                <w:szCs w:val="22"/>
              </w:rPr>
              <w:t>Friday</w:t>
            </w:r>
            <w:r w:rsidR="00B8364E">
              <w:rPr>
                <w:rFonts w:cs="Times New Roman"/>
                <w:b w:val="0"/>
                <w:sz w:val="22"/>
                <w:szCs w:val="22"/>
              </w:rPr>
              <w:t xml:space="preserve">, January 13,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9:30 am-10:20 am</w:t>
            </w:r>
            <w:r w:rsidR="0095090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40613AD" w14:textId="3AA04BDF" w:rsidR="00A869D2" w:rsidRPr="00A869D2" w:rsidRDefault="00A869D2" w:rsidP="00546490">
            <w:pPr>
              <w:pStyle w:val="List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Consumer</w:t>
            </w:r>
            <w:r w:rsidR="00EE61B9">
              <w:rPr>
                <w:rFonts w:cs="Times New Roman"/>
                <w:sz w:val="22"/>
                <w:szCs w:val="22"/>
              </w:rPr>
              <w:t xml:space="preserve"> protection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82DBD0C" w14:textId="15131800" w:rsidR="00A869D2" w:rsidRPr="0043077B" w:rsidRDefault="00A869D2" w:rsidP="004F110E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The Consumer Financial Protection Bureau’s </w:t>
            </w:r>
            <w:r w:rsidR="006669CB">
              <w:rPr>
                <w:rFonts w:cs="Times New Roman"/>
                <w:sz w:val="22"/>
                <w:szCs w:val="22"/>
              </w:rPr>
              <w:t xml:space="preserve">recent </w:t>
            </w:r>
            <w:r w:rsidR="00E32665">
              <w:rPr>
                <w:rFonts w:cs="Times New Roman"/>
                <w:sz w:val="22"/>
                <w:szCs w:val="22"/>
              </w:rPr>
              <w:t xml:space="preserve">efforts to promote consumer protection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1C400BD" w14:textId="1A6C0EBB" w:rsidR="00A869D2" w:rsidRDefault="00387B10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Consumer Financial Protection Bureau, </w:t>
            </w:r>
            <w:r w:rsidRPr="00387B10">
              <w:rPr>
                <w:rFonts w:cs="Times New Roman"/>
                <w:i/>
                <w:sz w:val="22"/>
                <w:szCs w:val="22"/>
              </w:rPr>
              <w:t>Request for Information Regarding Fees Imposed by Providers of Consumer Financial Products or Services</w:t>
            </w:r>
            <w:r>
              <w:rPr>
                <w:rFonts w:cs="Times New Roman"/>
                <w:sz w:val="22"/>
                <w:szCs w:val="22"/>
              </w:rPr>
              <w:t xml:space="preserve">, Request for Public Comment, January 26, 2022, </w:t>
            </w:r>
            <w:r w:rsidR="004F110E"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Pr="00387B10">
              <w:rPr>
                <w:rFonts w:cs="Times New Roman"/>
                <w:sz w:val="22"/>
                <w:szCs w:val="22"/>
              </w:rPr>
              <w:t>https://files.consumerfinance.gov/f/documents/cfpb_fees-imposed-by-providers-of-consumer-financial-products-services_rfi_2022-01.pdf</w:t>
            </w:r>
            <w:r>
              <w:rPr>
                <w:rFonts w:cs="Times New Roman"/>
                <w:sz w:val="22"/>
                <w:szCs w:val="22"/>
              </w:rPr>
              <w:t xml:space="preserve"> [8 pages]</w:t>
            </w:r>
          </w:p>
          <w:p w14:paraId="3E7DD135" w14:textId="5675EAB6" w:rsidR="004D4E6F" w:rsidRDefault="004D4E6F" w:rsidP="004D4E6F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Consumer Financial Protection Bureau, </w:t>
            </w:r>
            <w:r w:rsidRPr="002F59CF">
              <w:rPr>
                <w:rFonts w:cs="Times New Roman"/>
                <w:i/>
                <w:sz w:val="22"/>
                <w:szCs w:val="22"/>
              </w:rPr>
              <w:t>Supervisory Authority Over Certain Nonbank Covered Persons Based on Risk Determination; Public Release of Decisions and Orders</w:t>
            </w:r>
            <w:r>
              <w:rPr>
                <w:rFonts w:cs="Times New Roman"/>
                <w:sz w:val="22"/>
                <w:szCs w:val="22"/>
              </w:rPr>
              <w:t xml:space="preserve">, Procedural Rule, Request for Public Comment, April 25, 2022, </w:t>
            </w:r>
            <w:r w:rsidRPr="002F59CF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="002F59CF" w:rsidRPr="002F59CF">
              <w:rPr>
                <w:rFonts w:cs="Times New Roman"/>
                <w:sz w:val="22"/>
                <w:szCs w:val="22"/>
              </w:rPr>
              <w:t>https://files.consumerfinance.gov/f/documents/cfpb_public-release-of-decisions-and-orders_procedural-rule_2022-04.pdf</w:t>
            </w:r>
            <w:r w:rsidR="002F59CF">
              <w:rPr>
                <w:rFonts w:cs="Times New Roman"/>
                <w:sz w:val="22"/>
                <w:szCs w:val="22"/>
              </w:rPr>
              <w:t xml:space="preserve"> [7 pages]</w:t>
            </w:r>
          </w:p>
          <w:p w14:paraId="686DB866" w14:textId="77777777" w:rsidR="004F110E" w:rsidRDefault="004F110E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Sullivan &amp; Cromwell, </w:t>
            </w:r>
            <w:r w:rsidRPr="004F110E">
              <w:rPr>
                <w:rFonts w:cs="Times New Roman"/>
                <w:i/>
                <w:sz w:val="22"/>
                <w:szCs w:val="22"/>
              </w:rPr>
              <w:t>CFPB Updates UDAAP Examination Procedures</w:t>
            </w:r>
            <w:r>
              <w:rPr>
                <w:rFonts w:cs="Times New Roman"/>
                <w:sz w:val="22"/>
                <w:szCs w:val="22"/>
              </w:rPr>
              <w:t xml:space="preserve">, Memo, March 25, 2022, </w:t>
            </w:r>
            <w:r w:rsidRPr="004F110E">
              <w:rPr>
                <w:rFonts w:cs="Times New Roman"/>
                <w:i/>
                <w:sz w:val="22"/>
                <w:szCs w:val="22"/>
              </w:rPr>
              <w:t>available</w:t>
            </w:r>
            <w:r>
              <w:rPr>
                <w:rFonts w:cs="Times New Roman"/>
                <w:sz w:val="22"/>
                <w:szCs w:val="22"/>
              </w:rPr>
              <w:t xml:space="preserve"> at </w:t>
            </w:r>
            <w:r w:rsidRPr="004F110E">
              <w:rPr>
                <w:rFonts w:cs="Times New Roman"/>
                <w:sz w:val="22"/>
                <w:szCs w:val="22"/>
              </w:rPr>
              <w:t>https://www.sullcrom.com/sc-publication-cfpb-updates-udaap-examination-procedures</w:t>
            </w:r>
            <w:r w:rsidR="000F698C">
              <w:rPr>
                <w:rFonts w:cs="Times New Roman"/>
                <w:sz w:val="22"/>
                <w:szCs w:val="22"/>
              </w:rPr>
              <w:t xml:space="preserve"> [8 pages]</w:t>
            </w:r>
          </w:p>
          <w:p w14:paraId="6DBA5018" w14:textId="686AE8B1" w:rsidR="00950A7D" w:rsidRPr="00387B10" w:rsidRDefault="00950A7D" w:rsidP="00950A7D">
            <w:pPr>
              <w:pStyle w:val="ListParagraph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  <w:tr w:rsidR="002554D6" w:rsidRPr="0043077B" w14:paraId="4A40A2AE" w14:textId="77777777" w:rsidTr="006F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2EFD9" w:themeFill="accent6" w:themeFillTint="33"/>
          </w:tcPr>
          <w:p w14:paraId="20A826F1" w14:textId="5378E0CD" w:rsidR="00A869D2" w:rsidRDefault="00B8364E" w:rsidP="00B8364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A869D2">
              <w:rPr>
                <w:rFonts w:cs="Times New Roman"/>
                <w:b w:val="0"/>
                <w:sz w:val="22"/>
                <w:szCs w:val="22"/>
              </w:rPr>
              <w:t>Friday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, January 13, 2023, </w:t>
            </w:r>
            <w:r w:rsidR="00095540">
              <w:rPr>
                <w:rFonts w:cs="Times New Roman"/>
                <w:b w:val="0"/>
                <w:sz w:val="22"/>
                <w:szCs w:val="22"/>
              </w:rPr>
              <w:t>10:30 am-11:20 am</w:t>
            </w:r>
            <w:bookmarkStart w:id="0" w:name="_GoBack"/>
            <w:bookmarkEnd w:id="0"/>
            <w:r w:rsidR="0095090A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  <w:p w14:paraId="553A0F6B" w14:textId="0EDF1EAA" w:rsidR="00B8364E" w:rsidRPr="00A869D2" w:rsidRDefault="00B8364E" w:rsidP="00B8364E">
            <w:pPr>
              <w:pStyle w:val="ListParagraph"/>
              <w:spacing w:line="276" w:lineRule="auto"/>
              <w:ind w:left="3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2F6E53B0" w14:textId="328B8FFE" w:rsidR="00A869D2" w:rsidRDefault="00A869D2" w:rsidP="00546490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Review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E1A14E7" w14:textId="77777777" w:rsidR="00A869D2" w:rsidRDefault="00A869D2" w:rsidP="004F110E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</w:t>
            </w:r>
          </w:p>
          <w:p w14:paraId="1BFA4C71" w14:textId="77777777" w:rsidR="00A869D2" w:rsidRDefault="00A869D2" w:rsidP="004F110E">
            <w:pPr>
              <w:pStyle w:val="ListParagraph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Questions </w:t>
            </w:r>
          </w:p>
          <w:p w14:paraId="368D5C48" w14:textId="61051B6F" w:rsidR="00950A7D" w:rsidRDefault="00950A7D" w:rsidP="00950A7D">
            <w:pPr>
              <w:pStyle w:val="ListParagraph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81A0BB9" w14:textId="69535183" w:rsidR="00A869D2" w:rsidRPr="0043077B" w:rsidRDefault="00A869D2" w:rsidP="004F110E">
            <w:pPr>
              <w:pStyle w:val="ListParagraph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No reading assignment </w:t>
            </w:r>
          </w:p>
        </w:tc>
      </w:tr>
    </w:tbl>
    <w:p w14:paraId="5712DC95" w14:textId="77777777" w:rsidR="00AB3A43" w:rsidRPr="0043077B" w:rsidRDefault="00AB3A43" w:rsidP="004F110E">
      <w:pPr>
        <w:pStyle w:val="ListParagraph"/>
        <w:spacing w:line="256" w:lineRule="auto"/>
        <w:rPr>
          <w:rFonts w:cs="Times New Roman"/>
          <w:sz w:val="22"/>
          <w:szCs w:val="22"/>
        </w:rPr>
      </w:pPr>
    </w:p>
    <w:sectPr w:rsidR="00AB3A43" w:rsidRPr="0043077B" w:rsidSect="006F4F1F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49A9" w14:textId="77777777" w:rsidR="00AC7088" w:rsidRDefault="00AC7088" w:rsidP="00234387">
      <w:pPr>
        <w:spacing w:after="0" w:line="240" w:lineRule="auto"/>
      </w:pPr>
      <w:r>
        <w:separator/>
      </w:r>
    </w:p>
  </w:endnote>
  <w:endnote w:type="continuationSeparator" w:id="0">
    <w:p w14:paraId="7AF31E32" w14:textId="77777777" w:rsidR="00AC7088" w:rsidRDefault="00AC7088" w:rsidP="0023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87804376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6A7DA" w14:textId="2107FA88" w:rsidR="00197094" w:rsidRPr="00F4102E" w:rsidRDefault="00197094">
            <w:pPr>
              <w:pStyle w:val="Footer"/>
              <w:jc w:val="center"/>
              <w:rPr>
                <w:sz w:val="22"/>
                <w:szCs w:val="22"/>
              </w:rPr>
            </w:pPr>
            <w:r w:rsidRPr="00F4102E">
              <w:rPr>
                <w:sz w:val="22"/>
                <w:szCs w:val="22"/>
              </w:rPr>
              <w:t xml:space="preserve">Page </w:t>
            </w:r>
            <w:r w:rsidRPr="00F4102E">
              <w:rPr>
                <w:b/>
                <w:bCs/>
                <w:sz w:val="22"/>
                <w:szCs w:val="22"/>
              </w:rPr>
              <w:fldChar w:fldCharType="begin"/>
            </w:r>
            <w:r w:rsidRPr="00F4102E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4102E">
              <w:rPr>
                <w:b/>
                <w:bCs/>
                <w:sz w:val="22"/>
                <w:szCs w:val="22"/>
              </w:rPr>
              <w:fldChar w:fldCharType="separate"/>
            </w:r>
            <w:r w:rsidR="001E09E0">
              <w:rPr>
                <w:b/>
                <w:bCs/>
                <w:noProof/>
                <w:sz w:val="22"/>
                <w:szCs w:val="22"/>
              </w:rPr>
              <w:t>1</w:t>
            </w:r>
            <w:r w:rsidRPr="00F4102E">
              <w:rPr>
                <w:b/>
                <w:bCs/>
                <w:sz w:val="22"/>
                <w:szCs w:val="22"/>
              </w:rPr>
              <w:fldChar w:fldCharType="end"/>
            </w:r>
            <w:r w:rsidRPr="00F4102E">
              <w:rPr>
                <w:sz w:val="22"/>
                <w:szCs w:val="22"/>
              </w:rPr>
              <w:t xml:space="preserve"> of </w:t>
            </w:r>
            <w:r w:rsidRPr="00F4102E">
              <w:rPr>
                <w:b/>
                <w:bCs/>
                <w:sz w:val="22"/>
                <w:szCs w:val="22"/>
              </w:rPr>
              <w:fldChar w:fldCharType="begin"/>
            </w:r>
            <w:r w:rsidRPr="00F4102E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4102E">
              <w:rPr>
                <w:b/>
                <w:bCs/>
                <w:sz w:val="22"/>
                <w:szCs w:val="22"/>
              </w:rPr>
              <w:fldChar w:fldCharType="separate"/>
            </w:r>
            <w:r w:rsidR="001E09E0">
              <w:rPr>
                <w:b/>
                <w:bCs/>
                <w:noProof/>
                <w:sz w:val="22"/>
                <w:szCs w:val="22"/>
              </w:rPr>
              <w:t>9</w:t>
            </w:r>
            <w:r w:rsidRPr="00F4102E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F2231C3" w14:textId="77777777" w:rsidR="00197094" w:rsidRDefault="0019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AE3" w14:textId="77777777" w:rsidR="00AC7088" w:rsidRDefault="00AC7088" w:rsidP="00234387">
      <w:pPr>
        <w:spacing w:after="0" w:line="240" w:lineRule="auto"/>
      </w:pPr>
      <w:r>
        <w:separator/>
      </w:r>
    </w:p>
  </w:footnote>
  <w:footnote w:type="continuationSeparator" w:id="0">
    <w:p w14:paraId="15E83E6D" w14:textId="77777777" w:rsidR="00AC7088" w:rsidRDefault="00AC7088" w:rsidP="0023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C99E" w14:textId="72185475" w:rsidR="0034065B" w:rsidRDefault="0034065B" w:rsidP="00197094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Adjunct Professors Stephen Liverpool and Gareth McKibben</w:t>
    </w:r>
  </w:p>
  <w:p w14:paraId="6163B430" w14:textId="700D51F3" w:rsidR="00197094" w:rsidRPr="00197094" w:rsidRDefault="00197094" w:rsidP="00197094">
    <w:pPr>
      <w:pStyle w:val="Header"/>
      <w:jc w:val="right"/>
      <w:rPr>
        <w:i/>
        <w:sz w:val="22"/>
        <w:szCs w:val="22"/>
      </w:rPr>
    </w:pPr>
    <w:r w:rsidRPr="00197094">
      <w:rPr>
        <w:i/>
        <w:sz w:val="22"/>
        <w:szCs w:val="22"/>
      </w:rPr>
      <w:t>Emerging Issues in Financial Regulation</w:t>
    </w:r>
  </w:p>
  <w:p w14:paraId="4904812F" w14:textId="77777777" w:rsidR="00197094" w:rsidRPr="00197094" w:rsidRDefault="00197094" w:rsidP="00197094">
    <w:pPr>
      <w:pStyle w:val="Header"/>
      <w:jc w:val="right"/>
      <w:rPr>
        <w:i/>
        <w:sz w:val="22"/>
        <w:szCs w:val="22"/>
      </w:rPr>
    </w:pPr>
    <w:r w:rsidRPr="00197094">
      <w:rPr>
        <w:i/>
        <w:sz w:val="22"/>
        <w:szCs w:val="22"/>
      </w:rPr>
      <w:t>Compressed Course</w:t>
    </w:r>
  </w:p>
  <w:p w14:paraId="4CDCC98E" w14:textId="77777777" w:rsidR="00197094" w:rsidRPr="00197094" w:rsidRDefault="00197094" w:rsidP="00197094">
    <w:pPr>
      <w:pStyle w:val="Header"/>
      <w:jc w:val="right"/>
      <w:rPr>
        <w:i/>
        <w:sz w:val="22"/>
        <w:szCs w:val="22"/>
      </w:rPr>
    </w:pPr>
    <w:r w:rsidRPr="00197094">
      <w:rPr>
        <w:i/>
        <w:sz w:val="22"/>
        <w:szCs w:val="22"/>
      </w:rPr>
      <w:t>University of Florida, Levin College of Law</w:t>
    </w:r>
  </w:p>
  <w:p w14:paraId="59F6C072" w14:textId="66C10143" w:rsidR="00197094" w:rsidRPr="004F110E" w:rsidRDefault="005F546B" w:rsidP="00197094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January 9-13,</w:t>
    </w:r>
    <w:r w:rsidR="00197094" w:rsidRPr="00197094">
      <w:rPr>
        <w:i/>
        <w:sz w:val="22"/>
        <w:szCs w:val="22"/>
      </w:rPr>
      <w:t xml:space="preserve"> 2023</w:t>
    </w:r>
  </w:p>
  <w:p w14:paraId="6A41C9DA" w14:textId="77777777" w:rsidR="00197094" w:rsidRPr="00197094" w:rsidRDefault="00197094" w:rsidP="00197094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76C"/>
    <w:multiLevelType w:val="hybridMultilevel"/>
    <w:tmpl w:val="235CC54A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B0619"/>
    <w:multiLevelType w:val="hybridMultilevel"/>
    <w:tmpl w:val="2494C2C4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DDA"/>
    <w:multiLevelType w:val="hybridMultilevel"/>
    <w:tmpl w:val="E9ACEC92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A2B"/>
    <w:multiLevelType w:val="hybridMultilevel"/>
    <w:tmpl w:val="658C17CA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0501B"/>
    <w:multiLevelType w:val="hybridMultilevel"/>
    <w:tmpl w:val="D3F037B2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21D"/>
    <w:multiLevelType w:val="hybridMultilevel"/>
    <w:tmpl w:val="61BA7ED0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4959"/>
    <w:multiLevelType w:val="hybridMultilevel"/>
    <w:tmpl w:val="36DE6DF4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04760"/>
    <w:multiLevelType w:val="hybridMultilevel"/>
    <w:tmpl w:val="FDA0B0A4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368CF20">
      <w:start w:val="1"/>
      <w:numFmt w:val="bullet"/>
      <w:lvlText w:val="●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A4817"/>
    <w:multiLevelType w:val="hybridMultilevel"/>
    <w:tmpl w:val="BB98485E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C011D"/>
    <w:multiLevelType w:val="hybridMultilevel"/>
    <w:tmpl w:val="ACA4C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7A6CC1"/>
    <w:multiLevelType w:val="hybridMultilevel"/>
    <w:tmpl w:val="D7349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146F7"/>
    <w:multiLevelType w:val="hybridMultilevel"/>
    <w:tmpl w:val="4560F99E"/>
    <w:lvl w:ilvl="0" w:tplc="7368CF20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44A83"/>
    <w:multiLevelType w:val="hybridMultilevel"/>
    <w:tmpl w:val="79461882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C64A8"/>
    <w:multiLevelType w:val="hybridMultilevel"/>
    <w:tmpl w:val="ADAA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6748"/>
    <w:multiLevelType w:val="hybridMultilevel"/>
    <w:tmpl w:val="94DE79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165761"/>
    <w:multiLevelType w:val="hybridMultilevel"/>
    <w:tmpl w:val="707A6E76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15215"/>
    <w:multiLevelType w:val="hybridMultilevel"/>
    <w:tmpl w:val="BD7CD856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368CF20">
      <w:start w:val="1"/>
      <w:numFmt w:val="bullet"/>
      <w:lvlText w:val="●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350BE"/>
    <w:multiLevelType w:val="hybridMultilevel"/>
    <w:tmpl w:val="9732F036"/>
    <w:lvl w:ilvl="0" w:tplc="7368CF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87106"/>
    <w:multiLevelType w:val="hybridMultilevel"/>
    <w:tmpl w:val="9CFC1250"/>
    <w:lvl w:ilvl="0" w:tplc="E23EE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40008"/>
    <w:multiLevelType w:val="hybridMultilevel"/>
    <w:tmpl w:val="DD908DEE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04346"/>
    <w:multiLevelType w:val="hybridMultilevel"/>
    <w:tmpl w:val="23469080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76C07"/>
    <w:multiLevelType w:val="hybridMultilevel"/>
    <w:tmpl w:val="4D5EA526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D227BE"/>
    <w:multiLevelType w:val="hybridMultilevel"/>
    <w:tmpl w:val="3574E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E874A1"/>
    <w:multiLevelType w:val="hybridMultilevel"/>
    <w:tmpl w:val="3574EE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314095"/>
    <w:multiLevelType w:val="hybridMultilevel"/>
    <w:tmpl w:val="A6B4B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832E2"/>
    <w:multiLevelType w:val="hybridMultilevel"/>
    <w:tmpl w:val="938A7BC6"/>
    <w:lvl w:ilvl="0" w:tplc="30AA352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411C5"/>
    <w:multiLevelType w:val="hybridMultilevel"/>
    <w:tmpl w:val="F21A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F221F"/>
    <w:multiLevelType w:val="hybridMultilevel"/>
    <w:tmpl w:val="4C109082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379AC"/>
    <w:multiLevelType w:val="hybridMultilevel"/>
    <w:tmpl w:val="1B669936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3C4976"/>
    <w:multiLevelType w:val="hybridMultilevel"/>
    <w:tmpl w:val="07349C32"/>
    <w:lvl w:ilvl="0" w:tplc="30AA352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59756D"/>
    <w:multiLevelType w:val="hybridMultilevel"/>
    <w:tmpl w:val="4CD6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306F3"/>
    <w:multiLevelType w:val="hybridMultilevel"/>
    <w:tmpl w:val="7FD6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2EC4"/>
    <w:multiLevelType w:val="multilevel"/>
    <w:tmpl w:val="654A632E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21"/>
  </w:num>
  <w:num w:numId="5">
    <w:abstractNumId w:val="8"/>
  </w:num>
  <w:num w:numId="6">
    <w:abstractNumId w:val="29"/>
  </w:num>
  <w:num w:numId="7">
    <w:abstractNumId w:val="27"/>
  </w:num>
  <w:num w:numId="8">
    <w:abstractNumId w:val="10"/>
  </w:num>
  <w:num w:numId="9">
    <w:abstractNumId w:val="31"/>
  </w:num>
  <w:num w:numId="10">
    <w:abstractNumId w:val="30"/>
  </w:num>
  <w:num w:numId="11">
    <w:abstractNumId w:val="24"/>
  </w:num>
  <w:num w:numId="12">
    <w:abstractNumId w:val="12"/>
  </w:num>
  <w:num w:numId="13">
    <w:abstractNumId w:val="4"/>
  </w:num>
  <w:num w:numId="14">
    <w:abstractNumId w:val="20"/>
  </w:num>
  <w:num w:numId="15">
    <w:abstractNumId w:val="2"/>
  </w:num>
  <w:num w:numId="16">
    <w:abstractNumId w:val="15"/>
  </w:num>
  <w:num w:numId="17">
    <w:abstractNumId w:val="5"/>
  </w:num>
  <w:num w:numId="18">
    <w:abstractNumId w:val="25"/>
  </w:num>
  <w:num w:numId="19">
    <w:abstractNumId w:val="16"/>
  </w:num>
  <w:num w:numId="20">
    <w:abstractNumId w:val="32"/>
  </w:num>
  <w:num w:numId="21">
    <w:abstractNumId w:val="0"/>
  </w:num>
  <w:num w:numId="22">
    <w:abstractNumId w:val="18"/>
  </w:num>
  <w:num w:numId="23">
    <w:abstractNumId w:val="3"/>
  </w:num>
  <w:num w:numId="24">
    <w:abstractNumId w:val="6"/>
  </w:num>
  <w:num w:numId="25">
    <w:abstractNumId w:val="7"/>
  </w:num>
  <w:num w:numId="26">
    <w:abstractNumId w:val="17"/>
  </w:num>
  <w:num w:numId="27">
    <w:abstractNumId w:val="11"/>
  </w:num>
  <w:num w:numId="28">
    <w:abstractNumId w:val="13"/>
  </w:num>
  <w:num w:numId="29">
    <w:abstractNumId w:val="9"/>
  </w:num>
  <w:num w:numId="30">
    <w:abstractNumId w:val="26"/>
  </w:num>
  <w:num w:numId="31">
    <w:abstractNumId w:val="14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4F"/>
    <w:rsid w:val="000116B7"/>
    <w:rsid w:val="00074223"/>
    <w:rsid w:val="00077634"/>
    <w:rsid w:val="00091B71"/>
    <w:rsid w:val="00091C23"/>
    <w:rsid w:val="00095540"/>
    <w:rsid w:val="000A0EAF"/>
    <w:rsid w:val="000B3A9D"/>
    <w:rsid w:val="000E77B9"/>
    <w:rsid w:val="000F698C"/>
    <w:rsid w:val="00154223"/>
    <w:rsid w:val="00196392"/>
    <w:rsid w:val="00197094"/>
    <w:rsid w:val="001A26E7"/>
    <w:rsid w:val="001A5564"/>
    <w:rsid w:val="001B3E82"/>
    <w:rsid w:val="001D344F"/>
    <w:rsid w:val="001D5D0B"/>
    <w:rsid w:val="001D6C76"/>
    <w:rsid w:val="001E09E0"/>
    <w:rsid w:val="001F2FA2"/>
    <w:rsid w:val="0020213A"/>
    <w:rsid w:val="00234387"/>
    <w:rsid w:val="002554D6"/>
    <w:rsid w:val="002A45D8"/>
    <w:rsid w:val="002B7F4E"/>
    <w:rsid w:val="002E7572"/>
    <w:rsid w:val="002F59CF"/>
    <w:rsid w:val="00307F85"/>
    <w:rsid w:val="0033493F"/>
    <w:rsid w:val="0034065B"/>
    <w:rsid w:val="00387B10"/>
    <w:rsid w:val="003B2325"/>
    <w:rsid w:val="003D7B2A"/>
    <w:rsid w:val="003E0CA7"/>
    <w:rsid w:val="00400B22"/>
    <w:rsid w:val="00412423"/>
    <w:rsid w:val="00412F77"/>
    <w:rsid w:val="0043077B"/>
    <w:rsid w:val="00437619"/>
    <w:rsid w:val="00451C03"/>
    <w:rsid w:val="004D4E6F"/>
    <w:rsid w:val="004F110E"/>
    <w:rsid w:val="00510FB4"/>
    <w:rsid w:val="005212FA"/>
    <w:rsid w:val="00546490"/>
    <w:rsid w:val="00550E1E"/>
    <w:rsid w:val="005965B4"/>
    <w:rsid w:val="005A128C"/>
    <w:rsid w:val="005A404A"/>
    <w:rsid w:val="005A534B"/>
    <w:rsid w:val="005F546B"/>
    <w:rsid w:val="005F78CE"/>
    <w:rsid w:val="006041BC"/>
    <w:rsid w:val="00646240"/>
    <w:rsid w:val="0065321E"/>
    <w:rsid w:val="006669CB"/>
    <w:rsid w:val="00675FD5"/>
    <w:rsid w:val="00682DB6"/>
    <w:rsid w:val="006935C4"/>
    <w:rsid w:val="006B1002"/>
    <w:rsid w:val="006B6A80"/>
    <w:rsid w:val="006F4F1F"/>
    <w:rsid w:val="006F556E"/>
    <w:rsid w:val="00754175"/>
    <w:rsid w:val="007A3CC0"/>
    <w:rsid w:val="00805BAC"/>
    <w:rsid w:val="00817E7E"/>
    <w:rsid w:val="00826B00"/>
    <w:rsid w:val="00833212"/>
    <w:rsid w:val="008651B0"/>
    <w:rsid w:val="008701E7"/>
    <w:rsid w:val="00880090"/>
    <w:rsid w:val="00893F53"/>
    <w:rsid w:val="008A5BF2"/>
    <w:rsid w:val="008B2BB2"/>
    <w:rsid w:val="00914FD7"/>
    <w:rsid w:val="009252F0"/>
    <w:rsid w:val="0095090A"/>
    <w:rsid w:val="00950A7D"/>
    <w:rsid w:val="00972680"/>
    <w:rsid w:val="009C76FA"/>
    <w:rsid w:val="009E226E"/>
    <w:rsid w:val="00A63BFB"/>
    <w:rsid w:val="00A77A12"/>
    <w:rsid w:val="00A869D2"/>
    <w:rsid w:val="00A91B87"/>
    <w:rsid w:val="00AB3A43"/>
    <w:rsid w:val="00AC18B8"/>
    <w:rsid w:val="00AC6E6E"/>
    <w:rsid w:val="00AC7088"/>
    <w:rsid w:val="00B200A0"/>
    <w:rsid w:val="00B25C46"/>
    <w:rsid w:val="00B7799E"/>
    <w:rsid w:val="00B8364E"/>
    <w:rsid w:val="00BC5E97"/>
    <w:rsid w:val="00BE7F44"/>
    <w:rsid w:val="00C13455"/>
    <w:rsid w:val="00C14936"/>
    <w:rsid w:val="00CC02E0"/>
    <w:rsid w:val="00CD5E9B"/>
    <w:rsid w:val="00DA5ED3"/>
    <w:rsid w:val="00DC0C4C"/>
    <w:rsid w:val="00DC7429"/>
    <w:rsid w:val="00DD6E18"/>
    <w:rsid w:val="00E11DFA"/>
    <w:rsid w:val="00E14D24"/>
    <w:rsid w:val="00E32665"/>
    <w:rsid w:val="00E451DF"/>
    <w:rsid w:val="00E565D5"/>
    <w:rsid w:val="00E7728B"/>
    <w:rsid w:val="00EB1855"/>
    <w:rsid w:val="00EC5F8B"/>
    <w:rsid w:val="00ED15A8"/>
    <w:rsid w:val="00EE61B9"/>
    <w:rsid w:val="00F30FCA"/>
    <w:rsid w:val="00F37E34"/>
    <w:rsid w:val="00F4102E"/>
    <w:rsid w:val="00F536DC"/>
    <w:rsid w:val="00F833D8"/>
    <w:rsid w:val="00FA4540"/>
    <w:rsid w:val="00FC6FFB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F6BE63"/>
  <w15:chartTrackingRefBased/>
  <w15:docId w15:val="{1A503C68-3324-4142-8633-A268073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CC02E0"/>
    <w:pPr>
      <w:spacing w:after="0" w:line="240" w:lineRule="auto"/>
      <w:contextualSpacing/>
      <w:jc w:val="center"/>
    </w:pPr>
    <w:rPr>
      <w:rFonts w:cs="Times New Roman"/>
      <w:b/>
    </w:rPr>
  </w:style>
  <w:style w:type="character" w:customStyle="1" w:styleId="Style1Char">
    <w:name w:val="Style1 Char"/>
    <w:basedOn w:val="DefaultParagraphFont"/>
    <w:link w:val="Style1"/>
    <w:rsid w:val="00CC02E0"/>
    <w:rPr>
      <w:rFonts w:ascii="Times New Roman" w:hAnsi="Times New Roman" w:cs="Times New Roman"/>
      <w:b/>
    </w:rPr>
  </w:style>
  <w:style w:type="character" w:styleId="SubtleEmphasis">
    <w:name w:val="Subtle Emphasis"/>
    <w:basedOn w:val="DefaultParagraphFont"/>
    <w:uiPriority w:val="19"/>
    <w:qFormat/>
    <w:rsid w:val="005A404A"/>
    <w:rPr>
      <w:rFonts w:ascii="Times New Roman" w:hAnsi="Times New Roman"/>
      <w:i w:val="0"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1D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E6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343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3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4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3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D24"/>
    <w:rPr>
      <w:color w:val="954F72" w:themeColor="followedHyperlink"/>
      <w:u w:val="single"/>
    </w:rPr>
  </w:style>
  <w:style w:type="table" w:styleId="GridTable2-Accent6">
    <w:name w:val="Grid Table 2 Accent 6"/>
    <w:basedOn w:val="TableNormal"/>
    <w:uiPriority w:val="47"/>
    <w:rsid w:val="0091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9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94"/>
  </w:style>
  <w:style w:type="paragraph" w:styleId="Footer">
    <w:name w:val="footer"/>
    <w:basedOn w:val="Normal"/>
    <w:link w:val="FooterChar"/>
    <w:uiPriority w:val="99"/>
    <w:unhideWhenUsed/>
    <w:rsid w:val="0019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94"/>
  </w:style>
  <w:style w:type="character" w:styleId="CommentReference">
    <w:name w:val="annotation reference"/>
    <w:basedOn w:val="DefaultParagraphFont"/>
    <w:uiPriority w:val="99"/>
    <w:semiHidden/>
    <w:unhideWhenUsed/>
    <w:rsid w:val="0043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fl.edu/" TargetMode="External"/><Relationship Id="rId13" Type="http://schemas.openxmlformats.org/officeDocument/2006/relationships/hyperlink" Target="https://gatorevals.aa.ufl.edu/stude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.ufl.edu/get-starte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ufl.edu/life-at-uf-law/office-of-student-affairs/current-students/uf-law-student-handbook-and-academic-poli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torevals.aa.ufl.edu/public-results/" TargetMode="External"/><Relationship Id="rId10" Type="http://schemas.openxmlformats.org/officeDocument/2006/relationships/hyperlink" Target="https://www.law.ufl.edu/life-at-uf-law/office-of-student-affairs/current-students/forms-applications/exam-delays-accommodations-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w.ufl.edu/life-at-uf-law/office-of-student-affairs/current-students/uf-law-student-handbook-and-academic-policies" TargetMode="External"/><Relationship Id="rId14" Type="http://schemas.openxmlformats.org/officeDocument/2006/relationships/hyperlink" Target="https://ufl.bluera.com/uf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6530-1091-42E7-B5A3-F8F06ADF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Financial, Inc.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McKibben</dc:creator>
  <cp:keywords/>
  <dc:description/>
  <cp:lastModifiedBy>Gareth McKibben</cp:lastModifiedBy>
  <cp:revision>2</cp:revision>
  <cp:lastPrinted>2022-04-21T21:26:00Z</cp:lastPrinted>
  <dcterms:created xsi:type="dcterms:W3CDTF">2022-12-30T01:40:00Z</dcterms:created>
  <dcterms:modified xsi:type="dcterms:W3CDTF">2022-12-30T01:40:00Z</dcterms:modified>
</cp:coreProperties>
</file>