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A6AFD3E" w:rsidR="00DC571D" w:rsidRPr="006219CC" w:rsidRDefault="006219CC" w:rsidP="00DC571D">
      <w:pPr>
        <w:spacing w:line="259" w:lineRule="auto"/>
        <w:ind w:left="-90"/>
        <w:jc w:val="center"/>
        <w:rPr>
          <w:bCs/>
          <w:smallCaps/>
        </w:rPr>
      </w:pPr>
      <w:r w:rsidRPr="006219CC">
        <w:rPr>
          <w:b/>
          <w:smallCaps/>
          <w:sz w:val="32"/>
          <w:lang w:eastAsia="zh-CN"/>
        </w:rPr>
        <w:t>fintech</w:t>
      </w:r>
    </w:p>
    <w:p w14:paraId="5352C854" w14:textId="77777777" w:rsidR="00DC571D" w:rsidRDefault="00DC571D" w:rsidP="00DC571D">
      <w:pPr>
        <w:spacing w:after="8" w:line="265" w:lineRule="auto"/>
        <w:ind w:left="1791" w:right="1718"/>
        <w:jc w:val="center"/>
        <w:rPr>
          <w:b/>
        </w:rPr>
      </w:pPr>
      <w:r>
        <w:rPr>
          <w:b/>
        </w:rPr>
        <w:t>U</w:t>
      </w:r>
      <w:r>
        <w:rPr>
          <w:b/>
          <w:sz w:val="19"/>
        </w:rPr>
        <w:t xml:space="preserve">NIVERSITY OF </w:t>
      </w:r>
      <w:r>
        <w:rPr>
          <w:b/>
        </w:rPr>
        <w:t>F</w:t>
      </w:r>
      <w:r>
        <w:rPr>
          <w:b/>
          <w:sz w:val="19"/>
        </w:rPr>
        <w:t xml:space="preserve">LORIDA </w:t>
      </w:r>
      <w:r>
        <w:rPr>
          <w:b/>
        </w:rPr>
        <w:t>L</w:t>
      </w:r>
      <w:r>
        <w:rPr>
          <w:b/>
          <w:sz w:val="19"/>
        </w:rPr>
        <w:t xml:space="preserve">EVIN </w:t>
      </w:r>
      <w:r>
        <w:rPr>
          <w:b/>
        </w:rPr>
        <w:t>C</w:t>
      </w:r>
      <w:r>
        <w:rPr>
          <w:b/>
          <w:sz w:val="19"/>
        </w:rPr>
        <w:t xml:space="preserve">OLLEGE OF </w:t>
      </w:r>
      <w:r>
        <w:rPr>
          <w:b/>
        </w:rPr>
        <w:t>L</w:t>
      </w:r>
      <w:r>
        <w:rPr>
          <w:b/>
          <w:sz w:val="19"/>
        </w:rPr>
        <w:t>AW</w:t>
      </w:r>
      <w:r>
        <w:rPr>
          <w:b/>
        </w:rPr>
        <w:t xml:space="preserve"> </w:t>
      </w:r>
    </w:p>
    <w:p w14:paraId="1C42F52C" w14:textId="744FC985" w:rsidR="001E2603" w:rsidRDefault="00EF4349" w:rsidP="0044543F">
      <w:pPr>
        <w:spacing w:after="8" w:line="265" w:lineRule="auto"/>
        <w:ind w:left="1791" w:right="1718"/>
        <w:jc w:val="center"/>
        <w:rPr>
          <w:b/>
        </w:rPr>
      </w:pPr>
      <w:r>
        <w:rPr>
          <w:b/>
        </w:rPr>
        <w:t>Spring</w:t>
      </w:r>
      <w:r w:rsidR="00DC571D">
        <w:rPr>
          <w:b/>
          <w:sz w:val="19"/>
        </w:rPr>
        <w:t xml:space="preserve"> </w:t>
      </w:r>
      <w:r w:rsidR="00DC571D">
        <w:rPr>
          <w:b/>
        </w:rPr>
        <w:t>202</w:t>
      </w:r>
      <w:r>
        <w:rPr>
          <w:b/>
        </w:rPr>
        <w:t>3</w:t>
      </w:r>
      <w:r w:rsidR="00DC571D">
        <w:rPr>
          <w:b/>
          <w:sz w:val="19"/>
        </w:rPr>
        <w:t xml:space="preserve"> </w:t>
      </w:r>
      <w:r w:rsidR="00DC571D">
        <w:rPr>
          <w:b/>
        </w:rPr>
        <w:t>S</w:t>
      </w:r>
      <w:r w:rsidR="00DC571D">
        <w:rPr>
          <w:b/>
          <w:sz w:val="19"/>
        </w:rPr>
        <w:t xml:space="preserve">YLLABUS </w:t>
      </w:r>
      <w:r w:rsidR="00DC571D">
        <w:rPr>
          <w:b/>
        </w:rPr>
        <w:t>–</w:t>
      </w:r>
      <w:r w:rsidR="00DC571D">
        <w:rPr>
          <w:b/>
          <w:sz w:val="19"/>
        </w:rPr>
        <w:t xml:space="preserve"> </w:t>
      </w:r>
      <w:r w:rsidR="00DC571D">
        <w:rPr>
          <w:b/>
        </w:rPr>
        <w:t>L</w:t>
      </w:r>
      <w:r w:rsidR="00DC571D">
        <w:rPr>
          <w:b/>
          <w:sz w:val="19"/>
        </w:rPr>
        <w:t>AW</w:t>
      </w:r>
      <w:r w:rsidR="00C50C4B">
        <w:rPr>
          <w:b/>
          <w:sz w:val="19"/>
        </w:rPr>
        <w:t xml:space="preserve"> </w:t>
      </w:r>
      <w:r w:rsidR="00514193">
        <w:rPr>
          <w:b/>
          <w:sz w:val="19"/>
        </w:rPr>
        <w:t>6930</w:t>
      </w:r>
      <w:r w:rsidR="00DC571D">
        <w:rPr>
          <w:b/>
          <w:sz w:val="19"/>
        </w:rPr>
        <w:t xml:space="preserve"> </w:t>
      </w:r>
      <w:r w:rsidR="00DC571D">
        <w:rPr>
          <w:b/>
        </w:rPr>
        <w:t>–</w:t>
      </w:r>
      <w:r w:rsidR="00DC571D">
        <w:rPr>
          <w:b/>
          <w:sz w:val="19"/>
        </w:rPr>
        <w:t xml:space="preserve"> </w:t>
      </w:r>
      <w:r w:rsidR="00B47272">
        <w:rPr>
          <w:b/>
        </w:rPr>
        <w:t>3</w:t>
      </w:r>
      <w:r w:rsidR="00DC571D">
        <w:rPr>
          <w:b/>
          <w:sz w:val="19"/>
        </w:rPr>
        <w:t xml:space="preserve"> CREDITS</w:t>
      </w:r>
      <w:r w:rsidR="00DC571D">
        <w:rPr>
          <w:b/>
        </w:rPr>
        <w:t xml:space="preserve"> </w:t>
      </w:r>
    </w:p>
    <w:p w14:paraId="6A1B78BB" w14:textId="77777777" w:rsidR="0044543F" w:rsidRPr="0044543F" w:rsidRDefault="0044543F" w:rsidP="0044543F">
      <w:pPr>
        <w:spacing w:after="8" w:line="265" w:lineRule="auto"/>
        <w:ind w:left="1791" w:right="1718"/>
        <w:jc w:val="center"/>
        <w:rPr>
          <w:b/>
        </w:rPr>
      </w:pPr>
    </w:p>
    <w:p w14:paraId="47E47726" w14:textId="18C7970A" w:rsidR="006A5D34" w:rsidRPr="009D40F0" w:rsidRDefault="006A5D34" w:rsidP="006A5D34">
      <w:pPr>
        <w:rPr>
          <w:sz w:val="22"/>
          <w:szCs w:val="22"/>
        </w:rPr>
      </w:pPr>
      <w:r w:rsidRPr="009D40F0">
        <w:rPr>
          <w:sz w:val="22"/>
          <w:szCs w:val="22"/>
        </w:rPr>
        <w:t xml:space="preserve">Professor </w:t>
      </w:r>
      <w:r w:rsidR="00B47272">
        <w:rPr>
          <w:rFonts w:hint="eastAsia"/>
          <w:sz w:val="22"/>
          <w:szCs w:val="22"/>
          <w:lang w:eastAsia="zh-CN"/>
        </w:rPr>
        <w:t>Jiaying</w:t>
      </w:r>
      <w:r w:rsidR="00B47272">
        <w:rPr>
          <w:sz w:val="22"/>
          <w:szCs w:val="22"/>
          <w:lang w:eastAsia="zh-CN"/>
        </w:rPr>
        <w:t xml:space="preserve"> </w:t>
      </w:r>
      <w:r w:rsidR="00B47272">
        <w:rPr>
          <w:rFonts w:hint="eastAsia"/>
          <w:sz w:val="22"/>
          <w:szCs w:val="22"/>
          <w:lang w:eastAsia="zh-CN"/>
        </w:rPr>
        <w:t>Jiang</w:t>
      </w:r>
    </w:p>
    <w:p w14:paraId="22BBBF3A" w14:textId="25C29E7E" w:rsidR="006A5D34" w:rsidRPr="009D40F0" w:rsidRDefault="006A5D34" w:rsidP="006A5D34">
      <w:pPr>
        <w:rPr>
          <w:sz w:val="22"/>
          <w:szCs w:val="22"/>
        </w:rPr>
      </w:pPr>
      <w:r w:rsidRPr="009D40F0">
        <w:rPr>
          <w:sz w:val="22"/>
          <w:szCs w:val="22"/>
        </w:rPr>
        <w:t xml:space="preserve">Holland Hall Office </w:t>
      </w:r>
      <w:r w:rsidR="0030769D">
        <w:rPr>
          <w:sz w:val="22"/>
          <w:szCs w:val="22"/>
          <w:lang w:eastAsia="zh-CN"/>
        </w:rPr>
        <w:t>378</w:t>
      </w:r>
    </w:p>
    <w:p w14:paraId="17A3E66B" w14:textId="57E27AE5" w:rsidR="006A5D34" w:rsidRPr="009D40F0" w:rsidRDefault="006A5D34" w:rsidP="006A5D34">
      <w:pPr>
        <w:rPr>
          <w:sz w:val="22"/>
          <w:szCs w:val="22"/>
        </w:rPr>
      </w:pPr>
      <w:r w:rsidRPr="009D40F0">
        <w:rPr>
          <w:sz w:val="22"/>
          <w:szCs w:val="22"/>
        </w:rPr>
        <w:t xml:space="preserve">Office Phone: </w:t>
      </w:r>
      <w:r w:rsidR="0079526E">
        <w:rPr>
          <w:sz w:val="22"/>
          <w:szCs w:val="22"/>
          <w:lang w:eastAsia="zh-CN"/>
        </w:rPr>
        <w:t>352</w:t>
      </w:r>
      <w:r w:rsidR="00F01119">
        <w:rPr>
          <w:sz w:val="22"/>
          <w:szCs w:val="22"/>
          <w:lang w:eastAsia="zh-CN"/>
        </w:rPr>
        <w:t xml:space="preserve"> 273 0600</w:t>
      </w:r>
    </w:p>
    <w:p w14:paraId="05CB6241" w14:textId="46E7A4FF" w:rsidR="006A5D34" w:rsidRPr="009D40F0" w:rsidRDefault="006A5D34" w:rsidP="006A5D34">
      <w:pPr>
        <w:rPr>
          <w:sz w:val="22"/>
          <w:szCs w:val="22"/>
        </w:rPr>
      </w:pPr>
      <w:r w:rsidRPr="009D40F0">
        <w:rPr>
          <w:sz w:val="22"/>
          <w:szCs w:val="22"/>
        </w:rPr>
        <w:t xml:space="preserve">Email: </w:t>
      </w:r>
      <w:r w:rsidR="00B47272">
        <w:rPr>
          <w:rFonts w:hint="eastAsia"/>
          <w:sz w:val="22"/>
          <w:szCs w:val="22"/>
          <w:lang w:eastAsia="zh-CN"/>
        </w:rPr>
        <w:t>jiang</w:t>
      </w:r>
      <w:r w:rsidRPr="009D40F0">
        <w:rPr>
          <w:sz w:val="22"/>
          <w:szCs w:val="22"/>
        </w:rPr>
        <w:t>@law.ufl.edu</w:t>
      </w:r>
    </w:p>
    <w:p w14:paraId="7B9873F9" w14:textId="77777777" w:rsidR="00DE6F74" w:rsidRDefault="006A5D34" w:rsidP="006219CC">
      <w:pPr>
        <w:rPr>
          <w:sz w:val="22"/>
          <w:szCs w:val="22"/>
          <w:lang w:eastAsia="zh-CN"/>
        </w:rPr>
      </w:pPr>
      <w:r w:rsidRPr="009D40F0">
        <w:rPr>
          <w:sz w:val="22"/>
          <w:szCs w:val="22"/>
        </w:rPr>
        <w:t xml:space="preserve">Office Hours: </w:t>
      </w:r>
      <w:r w:rsidR="002C7116">
        <w:rPr>
          <w:sz w:val="22"/>
          <w:szCs w:val="22"/>
          <w:lang w:eastAsia="zh-CN"/>
        </w:rPr>
        <w:t xml:space="preserve">Wednesdays 11am-noon (in person) </w:t>
      </w:r>
    </w:p>
    <w:p w14:paraId="668500BF" w14:textId="2E49ECA2" w:rsidR="006A5D34" w:rsidRDefault="00DE6F74" w:rsidP="00DE6F74">
      <w:pPr>
        <w:ind w:left="720"/>
        <w:rPr>
          <w:sz w:val="22"/>
          <w:szCs w:val="22"/>
          <w:lang w:eastAsia="zh-CN"/>
        </w:rPr>
      </w:pPr>
      <w:r>
        <w:rPr>
          <w:sz w:val="22"/>
          <w:szCs w:val="22"/>
          <w:lang w:eastAsia="zh-CN"/>
        </w:rPr>
        <w:t xml:space="preserve">           </w:t>
      </w:r>
      <w:r w:rsidR="002C7116">
        <w:rPr>
          <w:sz w:val="22"/>
          <w:szCs w:val="22"/>
          <w:lang w:eastAsia="zh-CN"/>
        </w:rPr>
        <w:t>Fridays 10</w:t>
      </w:r>
      <w:r>
        <w:rPr>
          <w:sz w:val="22"/>
          <w:szCs w:val="22"/>
          <w:lang w:eastAsia="zh-CN"/>
        </w:rPr>
        <w:t xml:space="preserve"> </w:t>
      </w:r>
      <w:r w:rsidR="002C7116">
        <w:rPr>
          <w:sz w:val="22"/>
          <w:szCs w:val="22"/>
          <w:lang w:eastAsia="zh-CN"/>
        </w:rPr>
        <w:t xml:space="preserve">am </w:t>
      </w:r>
      <w:r>
        <w:rPr>
          <w:sz w:val="22"/>
          <w:szCs w:val="22"/>
          <w:lang w:eastAsia="zh-CN"/>
        </w:rPr>
        <w:t>-</w:t>
      </w:r>
      <w:r w:rsidR="002C7116">
        <w:rPr>
          <w:sz w:val="22"/>
          <w:szCs w:val="22"/>
          <w:lang w:eastAsia="zh-CN"/>
        </w:rPr>
        <w:t>11</w:t>
      </w:r>
      <w:r>
        <w:rPr>
          <w:sz w:val="22"/>
          <w:szCs w:val="22"/>
          <w:lang w:eastAsia="zh-CN"/>
        </w:rPr>
        <w:t xml:space="preserve"> </w:t>
      </w:r>
      <w:r w:rsidR="002C7116">
        <w:rPr>
          <w:sz w:val="22"/>
          <w:szCs w:val="22"/>
          <w:lang w:eastAsia="zh-CN"/>
        </w:rPr>
        <w:t>am (on Zoom)</w:t>
      </w:r>
    </w:p>
    <w:p w14:paraId="177A94E1" w14:textId="77777777" w:rsidR="006A5D34" w:rsidRPr="009D40F0" w:rsidRDefault="006A5D34" w:rsidP="006A5D34">
      <w:pPr>
        <w:rPr>
          <w:sz w:val="22"/>
          <w:szCs w:val="22"/>
        </w:rPr>
      </w:pPr>
    </w:p>
    <w:p w14:paraId="54AE2805" w14:textId="77777777" w:rsidR="006A5D34" w:rsidRPr="009D40F0" w:rsidRDefault="006A5D34" w:rsidP="006A5D34">
      <w:pPr>
        <w:rPr>
          <w:sz w:val="22"/>
          <w:szCs w:val="22"/>
          <w:u w:val="single"/>
        </w:rPr>
      </w:pPr>
      <w:r w:rsidRPr="009D40F0">
        <w:rPr>
          <w:b/>
          <w:sz w:val="22"/>
          <w:szCs w:val="22"/>
          <w:u w:val="single"/>
        </w:rPr>
        <w:t>MEETING TIME AND LOCATION</w:t>
      </w:r>
      <w:r w:rsidRPr="009D40F0">
        <w:rPr>
          <w:sz w:val="22"/>
          <w:szCs w:val="22"/>
          <w:u w:val="single"/>
        </w:rPr>
        <w:t xml:space="preserve"> </w:t>
      </w:r>
    </w:p>
    <w:p w14:paraId="38422F12" w14:textId="1C7EB702" w:rsidR="006A5D34" w:rsidRDefault="000A5242" w:rsidP="006A5D34">
      <w:pPr>
        <w:shd w:val="clear" w:color="auto" w:fill="FFFFFF"/>
        <w:rPr>
          <w:color w:val="000000"/>
          <w:sz w:val="22"/>
          <w:szCs w:val="22"/>
          <w:lang w:eastAsia="zh-CN"/>
        </w:rPr>
      </w:pPr>
      <w:r>
        <w:rPr>
          <w:color w:val="000000"/>
          <w:sz w:val="22"/>
          <w:szCs w:val="22"/>
          <w:lang w:eastAsia="zh-CN"/>
        </w:rPr>
        <w:t>Tuesdays &amp; Thursdays 4:00 pm – 5:25 pm</w:t>
      </w:r>
    </w:p>
    <w:p w14:paraId="443F8026" w14:textId="53240307" w:rsidR="000A5242" w:rsidRPr="009D40F0" w:rsidRDefault="000A5242" w:rsidP="006A5D34">
      <w:pPr>
        <w:shd w:val="clear" w:color="auto" w:fill="FFFFFF"/>
        <w:rPr>
          <w:color w:val="000000"/>
          <w:sz w:val="22"/>
          <w:szCs w:val="22"/>
        </w:rPr>
      </w:pPr>
      <w:r>
        <w:rPr>
          <w:color w:val="000000"/>
          <w:sz w:val="22"/>
          <w:szCs w:val="22"/>
          <w:lang w:eastAsia="zh-CN"/>
        </w:rPr>
        <w:t>HH 345</w:t>
      </w:r>
    </w:p>
    <w:p w14:paraId="154C7CCF" w14:textId="77777777" w:rsidR="006A5D34" w:rsidRPr="009D40F0" w:rsidRDefault="006A5D34" w:rsidP="006A5D34">
      <w:pPr>
        <w:rPr>
          <w:sz w:val="22"/>
          <w:szCs w:val="22"/>
        </w:rPr>
      </w:pPr>
    </w:p>
    <w:p w14:paraId="5373273B" w14:textId="4C58D866" w:rsidR="00B47272" w:rsidRPr="00B47272" w:rsidRDefault="006A5D34" w:rsidP="00B47272">
      <w:pPr>
        <w:rPr>
          <w:b/>
          <w:sz w:val="22"/>
          <w:szCs w:val="22"/>
          <w:u w:val="single"/>
        </w:rPr>
      </w:pPr>
      <w:r w:rsidRPr="009D40F0">
        <w:rPr>
          <w:b/>
          <w:sz w:val="22"/>
          <w:szCs w:val="22"/>
          <w:u w:val="single"/>
        </w:rPr>
        <w:t>COURSE DESCRIPTION</w:t>
      </w:r>
    </w:p>
    <w:p w14:paraId="74365C6B" w14:textId="03B9804E" w:rsidR="00666AA7" w:rsidRDefault="00666AA7" w:rsidP="00666AA7">
      <w:pPr>
        <w:rPr>
          <w:color w:val="000000" w:themeColor="text1"/>
          <w:shd w:val="clear" w:color="auto" w:fill="FFFFFF"/>
        </w:rPr>
      </w:pPr>
      <w:r w:rsidRPr="00A12449">
        <w:rPr>
          <w:color w:val="000000" w:themeColor="text1"/>
          <w:shd w:val="clear" w:color="auto" w:fill="FFFFFF"/>
        </w:rPr>
        <w:t xml:space="preserve">Technology is redefining financial services—including the way actors make and settle payments, raise capital, extend loans, and memorialize increasingly complex relationships. At the same time, new innovations—from crowdfunding to </w:t>
      </w:r>
      <w:proofErr w:type="spellStart"/>
      <w:r w:rsidRPr="00A12449">
        <w:rPr>
          <w:color w:val="000000" w:themeColor="text1"/>
          <w:shd w:val="clear" w:color="auto" w:fill="FFFFFF"/>
        </w:rPr>
        <w:t>robo</w:t>
      </w:r>
      <w:proofErr w:type="spellEnd"/>
      <w:r w:rsidRPr="00A12449">
        <w:rPr>
          <w:color w:val="000000" w:themeColor="text1"/>
          <w:shd w:val="clear" w:color="auto" w:fill="FFFFFF"/>
        </w:rPr>
        <w:t xml:space="preserve">-advising, high frequency trading, marketplace lending, mobile payments, and digital assets—are creating novel </w:t>
      </w:r>
      <w:r w:rsidR="00571291">
        <w:rPr>
          <w:color w:val="000000" w:themeColor="text1"/>
          <w:shd w:val="clear" w:color="auto" w:fill="FFFFFF"/>
        </w:rPr>
        <w:t xml:space="preserve">legal and </w:t>
      </w:r>
      <w:r w:rsidRPr="00A12449">
        <w:rPr>
          <w:color w:val="000000" w:themeColor="text1"/>
          <w:shd w:val="clear" w:color="auto" w:fill="FFFFFF"/>
        </w:rPr>
        <w:t xml:space="preserve">regulatory issues. This course provides an overview of </w:t>
      </w:r>
      <w:r>
        <w:rPr>
          <w:color w:val="000000" w:themeColor="text1"/>
          <w:shd w:val="clear" w:color="auto" w:fill="FFFFFF"/>
        </w:rPr>
        <w:t xml:space="preserve">the </w:t>
      </w:r>
      <w:r w:rsidRPr="00A12449">
        <w:rPr>
          <w:color w:val="000000" w:themeColor="text1"/>
          <w:shd w:val="clear" w:color="auto" w:fill="FFFFFF"/>
        </w:rPr>
        <w:t xml:space="preserve">key developments reshaping finance and the rules </w:t>
      </w:r>
      <w:r>
        <w:rPr>
          <w:color w:val="000000" w:themeColor="text1"/>
          <w:shd w:val="clear" w:color="auto" w:fill="FFFFFF"/>
        </w:rPr>
        <w:t>adopted</w:t>
      </w:r>
      <w:r w:rsidRPr="00A12449">
        <w:rPr>
          <w:color w:val="000000" w:themeColor="text1"/>
          <w:shd w:val="clear" w:color="auto" w:fill="FFFFFF"/>
        </w:rPr>
        <w:t xml:space="preserve"> to oversee them.</w:t>
      </w:r>
    </w:p>
    <w:p w14:paraId="095E0E05" w14:textId="77777777" w:rsidR="00143D86" w:rsidRDefault="00143D86" w:rsidP="00143D86">
      <w:pPr>
        <w:autoSpaceDE w:val="0"/>
        <w:autoSpaceDN w:val="0"/>
        <w:adjustRightInd w:val="0"/>
        <w:rPr>
          <w:rFonts w:ascii="AppleSystemUIFont" w:eastAsiaTheme="minorEastAsia" w:hAnsi="AppleSystemUIFont" w:cs="AppleSystemUIFont"/>
          <w:sz w:val="26"/>
          <w:szCs w:val="26"/>
        </w:rPr>
      </w:pPr>
    </w:p>
    <w:p w14:paraId="7E7BD187" w14:textId="7AD6F05F" w:rsidR="00143D86" w:rsidRPr="00143D86" w:rsidRDefault="00143D86" w:rsidP="00143D86">
      <w:pPr>
        <w:rPr>
          <w:color w:val="000000" w:themeColor="text1"/>
        </w:rPr>
      </w:pPr>
      <w:r w:rsidRPr="00143D86">
        <w:rPr>
          <w:rFonts w:eastAsiaTheme="minorEastAsia"/>
        </w:rPr>
        <w:t xml:space="preserve">The course will cover a distinct fintech innovation each week (two class sessions). In the first session, students will learn the brief history, concept, characteristics, business model, and major participants of this fintech innovation. In the second session, students will study what laws and regulations apply and analyze if existing laws and regulations can adequately address the novel issues posed by this </w:t>
      </w:r>
      <w:r w:rsidR="004276CA" w:rsidRPr="00143D86">
        <w:rPr>
          <w:rFonts w:eastAsiaTheme="minorEastAsia"/>
        </w:rPr>
        <w:t>fintech</w:t>
      </w:r>
      <w:r w:rsidRPr="00143D86">
        <w:rPr>
          <w:rFonts w:eastAsiaTheme="minorEastAsia"/>
        </w:rPr>
        <w:t xml:space="preserve"> innovation. Throughout the semester, students will better understand problems fintech firms face, legal and regulatory goals lawmakers and regulators seek to achieve, and the potential conflicts between these two. Additionally, students will have the chance to hear from fintech entrepreneurs, regulators, and other experts in this area. </w:t>
      </w:r>
    </w:p>
    <w:p w14:paraId="6FECC7C9" w14:textId="77777777" w:rsidR="006A5D34" w:rsidRPr="009D40F0" w:rsidRDefault="006A5D34" w:rsidP="006A5D34">
      <w:pPr>
        <w:rPr>
          <w:b/>
          <w:sz w:val="22"/>
          <w:szCs w:val="22"/>
          <w:u w:val="single"/>
        </w:rPr>
      </w:pPr>
    </w:p>
    <w:p w14:paraId="69B96114" w14:textId="77777777" w:rsidR="006A5D34" w:rsidRPr="009D40F0" w:rsidRDefault="006A5D34" w:rsidP="006A5D34">
      <w:pPr>
        <w:rPr>
          <w:b/>
          <w:sz w:val="22"/>
          <w:szCs w:val="22"/>
          <w:u w:val="single"/>
        </w:rPr>
      </w:pPr>
      <w:r w:rsidRPr="009D40F0">
        <w:rPr>
          <w:b/>
          <w:sz w:val="22"/>
          <w:szCs w:val="22"/>
          <w:u w:val="single"/>
        </w:rPr>
        <w:t>STUDENT LEARNING OUTCOMES</w:t>
      </w:r>
    </w:p>
    <w:p w14:paraId="07CE2E3C" w14:textId="7839A020" w:rsidR="006A5D34" w:rsidRDefault="006A5D34" w:rsidP="006A5D34">
      <w:pPr>
        <w:autoSpaceDE w:val="0"/>
        <w:autoSpaceDN w:val="0"/>
        <w:adjustRightInd w:val="0"/>
        <w:rPr>
          <w:bCs/>
          <w:sz w:val="22"/>
          <w:szCs w:val="22"/>
        </w:rPr>
      </w:pPr>
      <w:r w:rsidRPr="009D40F0">
        <w:rPr>
          <w:bCs/>
          <w:sz w:val="22"/>
          <w:szCs w:val="22"/>
        </w:rPr>
        <w:t>At the end of this course, students should be able to perform the following:</w:t>
      </w:r>
    </w:p>
    <w:p w14:paraId="6626AA1F" w14:textId="28F24EF8" w:rsidR="000C5A95" w:rsidRPr="00A12449" w:rsidRDefault="000C5A95">
      <w:pPr>
        <w:pStyle w:val="ListParagraph"/>
        <w:numPr>
          <w:ilvl w:val="0"/>
          <w:numId w:val="5"/>
        </w:numPr>
        <w:rPr>
          <w:color w:val="000000" w:themeColor="text1"/>
        </w:rPr>
      </w:pPr>
      <w:r w:rsidRPr="00A12449">
        <w:rPr>
          <w:color w:val="000000" w:themeColor="text1"/>
        </w:rPr>
        <w:t>Describe the short history of fintech and the evolving relationship between fintech companies and traditional financial institutions</w:t>
      </w:r>
      <w:r>
        <w:rPr>
          <w:color w:val="000000" w:themeColor="text1"/>
        </w:rPr>
        <w:t>.</w:t>
      </w:r>
      <w:r w:rsidRPr="00A12449">
        <w:rPr>
          <w:color w:val="000000" w:themeColor="text1"/>
        </w:rPr>
        <w:t xml:space="preserve"> </w:t>
      </w:r>
    </w:p>
    <w:p w14:paraId="7459545B" w14:textId="72CC3CDC" w:rsidR="000C5A95" w:rsidRPr="00A12449" w:rsidRDefault="000C5A95">
      <w:pPr>
        <w:pStyle w:val="ListParagraph"/>
        <w:numPr>
          <w:ilvl w:val="0"/>
          <w:numId w:val="5"/>
        </w:numPr>
        <w:rPr>
          <w:color w:val="000000" w:themeColor="text1"/>
        </w:rPr>
      </w:pPr>
      <w:r w:rsidRPr="00A12449">
        <w:rPr>
          <w:color w:val="000000" w:themeColor="text1"/>
        </w:rPr>
        <w:t xml:space="preserve">Understand various fintech developments including </w:t>
      </w:r>
      <w:r w:rsidRPr="00A12449">
        <w:rPr>
          <w:color w:val="000000" w:themeColor="text1"/>
          <w:shd w:val="clear" w:color="auto" w:fill="FFFFFF"/>
        </w:rPr>
        <w:t xml:space="preserve">crowdfunding, </w:t>
      </w:r>
      <w:proofErr w:type="spellStart"/>
      <w:r w:rsidRPr="00A12449">
        <w:rPr>
          <w:color w:val="000000" w:themeColor="text1"/>
          <w:shd w:val="clear" w:color="auto" w:fill="FFFFFF"/>
        </w:rPr>
        <w:t>robo</w:t>
      </w:r>
      <w:proofErr w:type="spellEnd"/>
      <w:r w:rsidRPr="00A12449">
        <w:rPr>
          <w:color w:val="000000" w:themeColor="text1"/>
          <w:shd w:val="clear" w:color="auto" w:fill="FFFFFF"/>
        </w:rPr>
        <w:t>-advising, high frequency trading, marketplace lending, mobile payments, and digital assets</w:t>
      </w:r>
      <w:r>
        <w:rPr>
          <w:color w:val="000000" w:themeColor="text1"/>
          <w:shd w:val="clear" w:color="auto" w:fill="FFFFFF"/>
        </w:rPr>
        <w:t>.</w:t>
      </w:r>
      <w:r w:rsidRPr="00A12449">
        <w:rPr>
          <w:color w:val="000000" w:themeColor="text1"/>
          <w:shd w:val="clear" w:color="auto" w:fill="FFFFFF"/>
        </w:rPr>
        <w:t xml:space="preserve"> </w:t>
      </w:r>
    </w:p>
    <w:p w14:paraId="220612E2" w14:textId="486AAD01" w:rsidR="000C5A95" w:rsidRPr="00A12449" w:rsidRDefault="000C5A95">
      <w:pPr>
        <w:pStyle w:val="ListParagraph"/>
        <w:numPr>
          <w:ilvl w:val="0"/>
          <w:numId w:val="5"/>
        </w:numPr>
        <w:rPr>
          <w:color w:val="000000" w:themeColor="text1"/>
        </w:rPr>
      </w:pPr>
      <w:r w:rsidRPr="00A12449">
        <w:rPr>
          <w:color w:val="000000" w:themeColor="text1"/>
        </w:rPr>
        <w:t xml:space="preserve">Apply </w:t>
      </w:r>
      <w:r w:rsidR="00571291">
        <w:rPr>
          <w:color w:val="000000" w:themeColor="text1"/>
        </w:rPr>
        <w:t>law</w:t>
      </w:r>
      <w:r w:rsidRPr="00A12449">
        <w:rPr>
          <w:color w:val="000000" w:themeColor="text1"/>
        </w:rPr>
        <w:t>s and regulations to these fintech developments</w:t>
      </w:r>
      <w:r>
        <w:rPr>
          <w:color w:val="000000" w:themeColor="text1"/>
        </w:rPr>
        <w:t>.</w:t>
      </w:r>
      <w:r w:rsidRPr="00A12449">
        <w:rPr>
          <w:color w:val="000000" w:themeColor="text1"/>
        </w:rPr>
        <w:t xml:space="preserve"> </w:t>
      </w:r>
    </w:p>
    <w:p w14:paraId="5E0F2A43" w14:textId="0800D46A" w:rsidR="000C5A95" w:rsidRPr="00A12449" w:rsidRDefault="000C5A95">
      <w:pPr>
        <w:pStyle w:val="ListParagraph"/>
        <w:numPr>
          <w:ilvl w:val="0"/>
          <w:numId w:val="5"/>
        </w:numPr>
        <w:rPr>
          <w:color w:val="000000" w:themeColor="text1"/>
        </w:rPr>
      </w:pPr>
      <w:r w:rsidRPr="00A12449">
        <w:rPr>
          <w:color w:val="000000" w:themeColor="text1"/>
        </w:rPr>
        <w:t xml:space="preserve">Analyze if existing </w:t>
      </w:r>
      <w:r w:rsidR="00571291">
        <w:rPr>
          <w:color w:val="000000" w:themeColor="text1"/>
        </w:rPr>
        <w:t>law</w:t>
      </w:r>
      <w:r w:rsidRPr="00A12449">
        <w:rPr>
          <w:color w:val="000000" w:themeColor="text1"/>
        </w:rPr>
        <w:t xml:space="preserve">s and regulations can </w:t>
      </w:r>
      <w:r>
        <w:rPr>
          <w:color w:val="000000" w:themeColor="text1"/>
        </w:rPr>
        <w:t xml:space="preserve">adequately </w:t>
      </w:r>
      <w:r w:rsidRPr="00A12449">
        <w:rPr>
          <w:color w:val="000000" w:themeColor="text1"/>
        </w:rPr>
        <w:t xml:space="preserve">address all novel issues </w:t>
      </w:r>
      <w:r>
        <w:rPr>
          <w:color w:val="000000" w:themeColor="text1"/>
        </w:rPr>
        <w:t xml:space="preserve">posed by these fintech developments. </w:t>
      </w:r>
    </w:p>
    <w:p w14:paraId="06D53518" w14:textId="764DC3A4" w:rsidR="000C5A95" w:rsidRPr="00A12449" w:rsidRDefault="000C5A95">
      <w:pPr>
        <w:pStyle w:val="ListParagraph"/>
        <w:numPr>
          <w:ilvl w:val="0"/>
          <w:numId w:val="5"/>
        </w:numPr>
        <w:rPr>
          <w:color w:val="000000" w:themeColor="text1"/>
        </w:rPr>
      </w:pPr>
      <w:r w:rsidRPr="00A12449">
        <w:rPr>
          <w:color w:val="000000" w:themeColor="text1"/>
        </w:rPr>
        <w:t xml:space="preserve">Evaluate the pros and cons of </w:t>
      </w:r>
      <w:r>
        <w:rPr>
          <w:color w:val="000000" w:themeColor="text1"/>
        </w:rPr>
        <w:t>existing</w:t>
      </w:r>
      <w:r w:rsidRPr="00A12449">
        <w:rPr>
          <w:color w:val="000000" w:themeColor="text1"/>
        </w:rPr>
        <w:t xml:space="preserve"> </w:t>
      </w:r>
      <w:r w:rsidR="00571291">
        <w:rPr>
          <w:color w:val="000000" w:themeColor="text1"/>
        </w:rPr>
        <w:t>law</w:t>
      </w:r>
      <w:r w:rsidRPr="00A12449">
        <w:rPr>
          <w:color w:val="000000" w:themeColor="text1"/>
        </w:rPr>
        <w:t>s and regulations</w:t>
      </w:r>
      <w:r>
        <w:rPr>
          <w:color w:val="000000" w:themeColor="text1"/>
        </w:rPr>
        <w:t>.</w:t>
      </w:r>
      <w:r w:rsidRPr="00A12449">
        <w:rPr>
          <w:color w:val="000000" w:themeColor="text1"/>
        </w:rPr>
        <w:t xml:space="preserve">  </w:t>
      </w:r>
    </w:p>
    <w:p w14:paraId="3109D29E" w14:textId="77777777" w:rsidR="006A5D34" w:rsidRPr="009D40F0" w:rsidRDefault="006A5D34" w:rsidP="006A5D34">
      <w:pPr>
        <w:rPr>
          <w:b/>
          <w:sz w:val="22"/>
          <w:szCs w:val="22"/>
          <w:u w:val="single"/>
        </w:rPr>
      </w:pPr>
    </w:p>
    <w:p w14:paraId="0212562F" w14:textId="6EDD617B" w:rsidR="00DA68FE" w:rsidRPr="009D40F0" w:rsidRDefault="00DA68FE" w:rsidP="00DA68FE">
      <w:pPr>
        <w:rPr>
          <w:sz w:val="22"/>
          <w:szCs w:val="22"/>
        </w:rPr>
      </w:pPr>
      <w:r w:rsidRPr="009D40F0">
        <w:rPr>
          <w:b/>
          <w:sz w:val="22"/>
          <w:szCs w:val="22"/>
          <w:u w:val="single"/>
        </w:rPr>
        <w:t>REQUIRED TEXT</w:t>
      </w:r>
      <w:r w:rsidR="007D4865">
        <w:rPr>
          <w:b/>
          <w:sz w:val="22"/>
          <w:szCs w:val="22"/>
          <w:u w:val="single"/>
        </w:rPr>
        <w:t>BOOK</w:t>
      </w:r>
    </w:p>
    <w:p w14:paraId="4AFA9274" w14:textId="77777777" w:rsidR="003C4710" w:rsidRDefault="003C4710" w:rsidP="000C5A95">
      <w:pPr>
        <w:rPr>
          <w:color w:val="000000" w:themeColor="text1"/>
          <w:sz w:val="22"/>
          <w:szCs w:val="22"/>
        </w:rPr>
      </w:pPr>
    </w:p>
    <w:p w14:paraId="51A9B3B7" w14:textId="7CFFFAF5" w:rsidR="000C5A95" w:rsidRDefault="000C5A95" w:rsidP="000C5A95">
      <w:pPr>
        <w:rPr>
          <w:color w:val="000000" w:themeColor="text1"/>
          <w:sz w:val="22"/>
          <w:szCs w:val="22"/>
        </w:rPr>
      </w:pPr>
      <w:r w:rsidRPr="00270EB8">
        <w:rPr>
          <w:color w:val="000000" w:themeColor="text1"/>
          <w:sz w:val="22"/>
          <w:szCs w:val="22"/>
        </w:rPr>
        <w:t>Fintech Law</w:t>
      </w:r>
      <w:r w:rsidR="00303A6E">
        <w:rPr>
          <w:color w:val="000000" w:themeColor="text1"/>
          <w:sz w:val="22"/>
          <w:szCs w:val="22"/>
        </w:rPr>
        <w:t xml:space="preserve">, the </w:t>
      </w:r>
      <w:r w:rsidR="008B2A9F">
        <w:rPr>
          <w:color w:val="000000" w:themeColor="text1"/>
          <w:sz w:val="22"/>
          <w:szCs w:val="22"/>
        </w:rPr>
        <w:t>Case Studies, Howell Jackson</w:t>
      </w:r>
      <w:r w:rsidR="00C202A2">
        <w:rPr>
          <w:color w:val="000000" w:themeColor="text1"/>
          <w:sz w:val="22"/>
          <w:szCs w:val="22"/>
        </w:rPr>
        <w:t>,</w:t>
      </w:r>
      <w:r w:rsidR="008B2A9F">
        <w:rPr>
          <w:color w:val="000000" w:themeColor="text1"/>
          <w:sz w:val="22"/>
          <w:szCs w:val="22"/>
        </w:rPr>
        <w:t xml:space="preserve"> and Margaret </w:t>
      </w:r>
      <w:proofErr w:type="spellStart"/>
      <w:r w:rsidR="008B2A9F">
        <w:rPr>
          <w:color w:val="000000" w:themeColor="text1"/>
          <w:sz w:val="22"/>
          <w:szCs w:val="22"/>
        </w:rPr>
        <w:t>Tahyar</w:t>
      </w:r>
      <w:proofErr w:type="spellEnd"/>
      <w:r w:rsidR="00612F44">
        <w:rPr>
          <w:color w:val="000000" w:themeColor="text1"/>
          <w:sz w:val="22"/>
          <w:szCs w:val="22"/>
        </w:rPr>
        <w:t>,</w:t>
      </w:r>
      <w:r w:rsidR="002F2B55">
        <w:rPr>
          <w:color w:val="000000" w:themeColor="text1"/>
          <w:sz w:val="22"/>
          <w:szCs w:val="22"/>
        </w:rPr>
        <w:t xml:space="preserve"> (</w:t>
      </w:r>
      <w:r w:rsidR="003D7E7D">
        <w:rPr>
          <w:color w:val="000000" w:themeColor="text1"/>
          <w:sz w:val="22"/>
          <w:szCs w:val="22"/>
        </w:rPr>
        <w:t>f</w:t>
      </w:r>
      <w:r w:rsidR="002F2B55">
        <w:rPr>
          <w:color w:val="000000" w:themeColor="text1"/>
          <w:sz w:val="22"/>
          <w:szCs w:val="22"/>
        </w:rPr>
        <w:t>ree eBook available)</w:t>
      </w:r>
    </w:p>
    <w:p w14:paraId="034B834A" w14:textId="28FFF1B8" w:rsidR="00FB2B8A" w:rsidRDefault="00FB2B8A" w:rsidP="000C5A95">
      <w:pPr>
        <w:rPr>
          <w:color w:val="000000" w:themeColor="text1"/>
          <w:sz w:val="22"/>
          <w:szCs w:val="22"/>
        </w:rPr>
      </w:pPr>
      <w:r w:rsidRPr="006C6197">
        <w:rPr>
          <w:color w:val="000000" w:themeColor="text1"/>
          <w:sz w:val="22"/>
          <w:szCs w:val="22"/>
        </w:rPr>
        <w:t>Fintech Law and Policy</w:t>
      </w:r>
      <w:r w:rsidR="006C6197">
        <w:rPr>
          <w:color w:val="000000" w:themeColor="text1"/>
          <w:sz w:val="22"/>
          <w:szCs w:val="22"/>
        </w:rPr>
        <w:t xml:space="preserve">, Lee </w:t>
      </w:r>
      <w:proofErr w:type="spellStart"/>
      <w:r w:rsidR="006C6197">
        <w:rPr>
          <w:color w:val="000000" w:themeColor="text1"/>
          <w:sz w:val="22"/>
          <w:szCs w:val="22"/>
        </w:rPr>
        <w:t>Reiners</w:t>
      </w:r>
      <w:proofErr w:type="spellEnd"/>
      <w:r>
        <w:rPr>
          <w:color w:val="000000" w:themeColor="text1"/>
          <w:sz w:val="22"/>
          <w:szCs w:val="22"/>
        </w:rPr>
        <w:t xml:space="preserve"> </w:t>
      </w:r>
    </w:p>
    <w:p w14:paraId="32CE3AA9" w14:textId="5A43AE17" w:rsidR="008B2A9F" w:rsidRPr="00270EB8" w:rsidRDefault="005C2251" w:rsidP="000C5A95">
      <w:pPr>
        <w:rPr>
          <w:color w:val="000000" w:themeColor="text1"/>
          <w:sz w:val="22"/>
          <w:szCs w:val="22"/>
        </w:rPr>
      </w:pPr>
      <w:r>
        <w:rPr>
          <w:color w:val="000000" w:themeColor="text1"/>
          <w:sz w:val="22"/>
          <w:szCs w:val="22"/>
        </w:rPr>
        <w:lastRenderedPageBreak/>
        <w:t>Fintech Law in a Nutshell, Chris Brummer</w:t>
      </w:r>
    </w:p>
    <w:p w14:paraId="4932228A" w14:textId="77777777" w:rsidR="003C4710" w:rsidRDefault="003C4710" w:rsidP="00B47272">
      <w:pPr>
        <w:rPr>
          <w:sz w:val="22"/>
          <w:szCs w:val="22"/>
        </w:rPr>
      </w:pPr>
    </w:p>
    <w:p w14:paraId="2B60576C" w14:textId="36ADEB8C" w:rsidR="0044543F" w:rsidRDefault="00270EB8" w:rsidP="00B47272">
      <w:pPr>
        <w:rPr>
          <w:sz w:val="22"/>
          <w:szCs w:val="22"/>
        </w:rPr>
      </w:pPr>
      <w:r>
        <w:rPr>
          <w:sz w:val="22"/>
          <w:szCs w:val="22"/>
        </w:rPr>
        <w:t>S</w:t>
      </w:r>
      <w:r w:rsidR="00DA68FE" w:rsidRPr="009D40F0">
        <w:rPr>
          <w:sz w:val="22"/>
          <w:szCs w:val="22"/>
        </w:rPr>
        <w:t xml:space="preserve">tudents will </w:t>
      </w:r>
      <w:r>
        <w:rPr>
          <w:sz w:val="22"/>
          <w:szCs w:val="22"/>
        </w:rPr>
        <w:t xml:space="preserve">also </w:t>
      </w:r>
      <w:r w:rsidR="00DA68FE" w:rsidRPr="009D40F0">
        <w:rPr>
          <w:sz w:val="22"/>
          <w:szCs w:val="22"/>
        </w:rPr>
        <w:t xml:space="preserve">be required to read and prepare </w:t>
      </w:r>
      <w:r>
        <w:rPr>
          <w:sz w:val="22"/>
          <w:szCs w:val="22"/>
        </w:rPr>
        <w:t xml:space="preserve">additional </w:t>
      </w:r>
      <w:r w:rsidR="00DA68FE" w:rsidRPr="009D40F0">
        <w:rPr>
          <w:sz w:val="22"/>
          <w:szCs w:val="22"/>
        </w:rPr>
        <w:t>materials that will be posted on Canvas. Please have the materials in print or in an easily accessible electronic form during class. You are responsible for checking your Canvas page and the e-mail connected to the page on a regular basis for any class announcements or adjustments. A variety of optional resources also will be provided on Canvas should you want to explore deeper than we can dive in the time allotted.</w:t>
      </w:r>
    </w:p>
    <w:p w14:paraId="27D29B67" w14:textId="77777777" w:rsidR="00B47272" w:rsidRPr="00B47272" w:rsidRDefault="00B47272" w:rsidP="00B47272">
      <w:pPr>
        <w:rPr>
          <w:sz w:val="22"/>
          <w:szCs w:val="22"/>
        </w:rPr>
      </w:pPr>
    </w:p>
    <w:p w14:paraId="79FD1E7C" w14:textId="28499701" w:rsidR="006A5D34" w:rsidRPr="009D40F0" w:rsidRDefault="006A5D34" w:rsidP="009D40F0">
      <w:pPr>
        <w:spacing w:before="120" w:after="200"/>
        <w:rPr>
          <w:sz w:val="22"/>
          <w:szCs w:val="22"/>
        </w:rPr>
      </w:pPr>
      <w:r w:rsidRPr="009D40F0">
        <w:rPr>
          <w:b/>
          <w:sz w:val="22"/>
          <w:szCs w:val="22"/>
          <w:u w:val="single"/>
        </w:rPr>
        <w:t>CLASS ATTENDANCE POLICY</w:t>
      </w:r>
      <w:r w:rsidR="009D40F0">
        <w:rPr>
          <w:sz w:val="22"/>
          <w:szCs w:val="22"/>
        </w:rPr>
        <w:br/>
      </w:r>
      <w:r w:rsidRPr="009D40F0">
        <w:rPr>
          <w:sz w:val="22"/>
          <w:szCs w:val="22"/>
        </w:rPr>
        <w:t xml:space="preserve">Students are expected to attend and participate in class and attendance will be taken at every class. I am assuming that each student that enrolls in this course is committing to attend every class to the best of their abilities, and class attendance is required by both the </w:t>
      </w:r>
      <w:hyperlink r:id="rId8" w:history="1">
        <w:r w:rsidRPr="009D40F0">
          <w:rPr>
            <w:rStyle w:val="Hyperlink"/>
            <w:sz w:val="22"/>
            <w:szCs w:val="22"/>
          </w:rPr>
          <w:t>ABA and the Law School</w:t>
        </w:r>
      </w:hyperlink>
      <w:r w:rsidRPr="009D40F0">
        <w:rPr>
          <w:sz w:val="22"/>
          <w:szCs w:val="22"/>
        </w:rPr>
        <w:t xml:space="preserve">. </w:t>
      </w:r>
    </w:p>
    <w:p w14:paraId="7E877C12" w14:textId="2C1EF6ED" w:rsidR="006A5D34" w:rsidRPr="009D40F0" w:rsidRDefault="006A5D34">
      <w:pPr>
        <w:numPr>
          <w:ilvl w:val="0"/>
          <w:numId w:val="2"/>
        </w:numPr>
        <w:autoSpaceDE w:val="0"/>
        <w:autoSpaceDN w:val="0"/>
        <w:adjustRightInd w:val="0"/>
        <w:rPr>
          <w:sz w:val="22"/>
          <w:szCs w:val="22"/>
        </w:rPr>
      </w:pPr>
      <w:r w:rsidRPr="009D40F0">
        <w:rPr>
          <w:sz w:val="22"/>
          <w:szCs w:val="22"/>
        </w:rPr>
        <w:t xml:space="preserve">Nevertheless, to allow for exigencies in life, </w:t>
      </w:r>
      <w:r w:rsidRPr="009D40F0">
        <w:rPr>
          <w:b/>
          <w:sz w:val="22"/>
          <w:szCs w:val="22"/>
        </w:rPr>
        <w:t xml:space="preserve">students are permitted </w:t>
      </w:r>
      <w:r w:rsidR="009D40F0" w:rsidRPr="009D40F0">
        <w:rPr>
          <w:b/>
          <w:sz w:val="22"/>
          <w:szCs w:val="22"/>
        </w:rPr>
        <w:t>two</w:t>
      </w:r>
      <w:r w:rsidRPr="009D40F0">
        <w:rPr>
          <w:b/>
          <w:sz w:val="22"/>
          <w:szCs w:val="22"/>
        </w:rPr>
        <w:t xml:space="preserve"> unexcused absences during the semester</w:t>
      </w:r>
      <w:r w:rsidRPr="009D40F0">
        <w:rPr>
          <w:sz w:val="22"/>
          <w:szCs w:val="22"/>
        </w:rPr>
        <w:t xml:space="preserve"> without impacting their final grade. This allowance is designed to accommodate for illness, job interviews, family emergencies, and life. Please budget accordingly so that you are not left at the end of the semester with a needed absence and your budget depleted. As a courtesy, please let me know when you are going to be absent from class. </w:t>
      </w:r>
    </w:p>
    <w:p w14:paraId="2EAFB6A7" w14:textId="055B5486" w:rsidR="006A5D34" w:rsidRPr="009D40F0" w:rsidRDefault="006A5D34">
      <w:pPr>
        <w:numPr>
          <w:ilvl w:val="0"/>
          <w:numId w:val="2"/>
        </w:numPr>
        <w:autoSpaceDE w:val="0"/>
        <w:autoSpaceDN w:val="0"/>
        <w:adjustRightInd w:val="0"/>
        <w:rPr>
          <w:sz w:val="22"/>
          <w:szCs w:val="22"/>
        </w:rPr>
      </w:pPr>
      <w:r w:rsidRPr="009D40F0">
        <w:rPr>
          <w:sz w:val="22"/>
          <w:szCs w:val="22"/>
        </w:rPr>
        <w:t xml:space="preserve">For </w:t>
      </w:r>
      <w:r w:rsidRPr="009D40F0">
        <w:rPr>
          <w:sz w:val="22"/>
          <w:szCs w:val="22"/>
          <w:u w:val="single"/>
        </w:rPr>
        <w:t>each</w:t>
      </w:r>
      <w:r w:rsidRPr="009D40F0">
        <w:rPr>
          <w:sz w:val="22"/>
          <w:szCs w:val="22"/>
        </w:rPr>
        <w:t xml:space="preserve"> absence beyond </w:t>
      </w:r>
      <w:r w:rsidR="00FE42C8">
        <w:rPr>
          <w:sz w:val="22"/>
          <w:szCs w:val="22"/>
        </w:rPr>
        <w:t>two</w:t>
      </w:r>
      <w:r w:rsidRPr="009D40F0">
        <w:rPr>
          <w:sz w:val="22"/>
          <w:szCs w:val="22"/>
        </w:rPr>
        <w:t xml:space="preserve">, a student’s final grade will be reduced by one-third of a grade (e.g., A- to B+). </w:t>
      </w:r>
    </w:p>
    <w:p w14:paraId="25FEDEBD" w14:textId="51CFB80D" w:rsidR="006A5D34" w:rsidRPr="009D40F0" w:rsidRDefault="006A5D34">
      <w:pPr>
        <w:numPr>
          <w:ilvl w:val="0"/>
          <w:numId w:val="2"/>
        </w:numPr>
        <w:autoSpaceDE w:val="0"/>
        <w:autoSpaceDN w:val="0"/>
        <w:adjustRightInd w:val="0"/>
        <w:rPr>
          <w:sz w:val="22"/>
          <w:szCs w:val="22"/>
        </w:rPr>
      </w:pPr>
      <w:r w:rsidRPr="009D40F0">
        <w:rPr>
          <w:sz w:val="22"/>
          <w:szCs w:val="22"/>
        </w:rPr>
        <w:t xml:space="preserve">If a student misses </w:t>
      </w:r>
      <w:r w:rsidR="00FE42C8">
        <w:rPr>
          <w:sz w:val="22"/>
          <w:szCs w:val="22"/>
        </w:rPr>
        <w:t>four</w:t>
      </w:r>
      <w:r w:rsidRPr="009D40F0">
        <w:rPr>
          <w:sz w:val="22"/>
          <w:szCs w:val="22"/>
        </w:rPr>
        <w:t xml:space="preserve"> classes, the professor has the discretion to render the student ineligible to receive credit for the course.</w:t>
      </w:r>
    </w:p>
    <w:p w14:paraId="3DB3C9BC" w14:textId="77777777" w:rsidR="006A5D34" w:rsidRPr="009D40F0" w:rsidRDefault="006A5D34">
      <w:pPr>
        <w:numPr>
          <w:ilvl w:val="0"/>
          <w:numId w:val="2"/>
        </w:numPr>
        <w:autoSpaceDE w:val="0"/>
        <w:autoSpaceDN w:val="0"/>
        <w:adjustRightInd w:val="0"/>
        <w:rPr>
          <w:sz w:val="22"/>
          <w:szCs w:val="22"/>
        </w:rPr>
      </w:pPr>
      <w:r w:rsidRPr="009D40F0">
        <w:rPr>
          <w:sz w:val="22"/>
          <w:szCs w:val="22"/>
        </w:rPr>
        <w:t xml:space="preserve">Excused absences, including </w:t>
      </w:r>
      <w:hyperlink r:id="rId9" w:history="1">
        <w:r w:rsidRPr="009D40F0">
          <w:rPr>
            <w:rStyle w:val="Hyperlink"/>
            <w:sz w:val="22"/>
            <w:szCs w:val="22"/>
          </w:rPr>
          <w:t>observance of religious holidays</w:t>
        </w:r>
      </w:hyperlink>
      <w:r w:rsidRPr="009D40F0">
        <w:rPr>
          <w:sz w:val="22"/>
          <w:szCs w:val="22"/>
        </w:rPr>
        <w:t xml:space="preserve">, are consistent with University policies, and require appropriate documents and/or notification before or shortly after class about your absence. If you have a religious holiday, exceptional illness, or emergency that causes you to miss class, you must contact me before or soon after class for your absence to be excused.  The law school’s policy on attendance can be found </w:t>
      </w:r>
      <w:hyperlink r:id="rId10" w:anchor=":~:text=co%2Dcurricular%20activities.-,Attendance,regular%20and%20punctual%20class%20attendance.&amp;text=UF%20Law%20policy%20permits%20dismissal,of%2012%20credits%20per%20semester." w:history="1">
        <w:r w:rsidRPr="009D40F0">
          <w:rPr>
            <w:rStyle w:val="Hyperlink"/>
            <w:sz w:val="22"/>
            <w:szCs w:val="22"/>
          </w:rPr>
          <w:t>here</w:t>
        </w:r>
      </w:hyperlink>
      <w:r w:rsidRPr="009D40F0">
        <w:rPr>
          <w:rStyle w:val="Hyperlink"/>
          <w:sz w:val="22"/>
          <w:szCs w:val="22"/>
        </w:rPr>
        <w:t>.</w:t>
      </w:r>
    </w:p>
    <w:p w14:paraId="354EF94E" w14:textId="77777777" w:rsidR="006A5D34" w:rsidRPr="009D40F0" w:rsidRDefault="006A5D34" w:rsidP="006A5D34">
      <w:pPr>
        <w:autoSpaceDE w:val="0"/>
        <w:autoSpaceDN w:val="0"/>
        <w:adjustRightInd w:val="0"/>
        <w:rPr>
          <w:sz w:val="22"/>
          <w:szCs w:val="22"/>
        </w:rPr>
      </w:pPr>
    </w:p>
    <w:p w14:paraId="31BEEE2B" w14:textId="77777777" w:rsidR="006A5D34" w:rsidRPr="009D40F0" w:rsidRDefault="006A5D34" w:rsidP="006A5D34">
      <w:pPr>
        <w:rPr>
          <w:sz w:val="22"/>
          <w:szCs w:val="22"/>
        </w:rPr>
      </w:pPr>
      <w:r w:rsidRPr="009D40F0">
        <w:rPr>
          <w:sz w:val="22"/>
          <w:szCs w:val="22"/>
        </w:rPr>
        <w:t xml:space="preserve">A seating chart will be available on the first day of class for students to choose a seat.  Please sit where you would like to remain for the rest of the semester on that day. I will pass around an attendance sheet at the beginning of each class period. I will consider it a violation of the honor code if you have someone else sign you in and you are not present, and I reserve the right to lower your final grade accordingly.  </w:t>
      </w:r>
    </w:p>
    <w:p w14:paraId="04C3B061" w14:textId="77777777" w:rsidR="006A5D34" w:rsidRPr="009D40F0" w:rsidRDefault="006A5D34" w:rsidP="006A5D34">
      <w:pPr>
        <w:rPr>
          <w:sz w:val="22"/>
          <w:szCs w:val="22"/>
        </w:rPr>
      </w:pPr>
    </w:p>
    <w:p w14:paraId="262A52BB" w14:textId="77777777" w:rsidR="00C93291" w:rsidRPr="009D40F0" w:rsidRDefault="00C93291" w:rsidP="00C93291">
      <w:pPr>
        <w:rPr>
          <w:b/>
          <w:sz w:val="22"/>
          <w:szCs w:val="22"/>
          <w:u w:val="single"/>
        </w:rPr>
      </w:pPr>
      <w:r w:rsidRPr="009D40F0">
        <w:rPr>
          <w:b/>
          <w:sz w:val="22"/>
          <w:szCs w:val="22"/>
          <w:u w:val="single"/>
        </w:rPr>
        <w:t>PROFESSIONAL COURTESY</w:t>
      </w:r>
    </w:p>
    <w:p w14:paraId="40B49A1D" w14:textId="77777777" w:rsidR="00C93291" w:rsidRPr="009D40F0" w:rsidRDefault="00C93291" w:rsidP="00C93291">
      <w:pPr>
        <w:rPr>
          <w:sz w:val="22"/>
          <w:szCs w:val="22"/>
        </w:rPr>
      </w:pPr>
      <w:r w:rsidRPr="009D40F0">
        <w:rPr>
          <w:sz w:val="22"/>
          <w:szCs w:val="22"/>
        </w:rPr>
        <w:t xml:space="preserve">Please do not arrive late to class or leave early absent extenuating circumstances. If you need to do so, please sit near one of the exits to minimize your disruption to others and notify me in advance. Please make sure your cell phone is turned off during class. I reserve the right to deduct points from your final grade if you engage in behavior that significantly disrupts the learning environment for your classmates. </w:t>
      </w:r>
    </w:p>
    <w:p w14:paraId="0061E9DE" w14:textId="77777777" w:rsidR="00C93291" w:rsidRDefault="00C93291" w:rsidP="00BD2894">
      <w:pPr>
        <w:spacing w:after="10" w:line="249" w:lineRule="auto"/>
        <w:rPr>
          <w:b/>
          <w:sz w:val="22"/>
          <w:szCs w:val="22"/>
          <w:u w:val="single"/>
        </w:rPr>
      </w:pPr>
    </w:p>
    <w:p w14:paraId="2949C8A5" w14:textId="78B1E32A" w:rsidR="006A5D34" w:rsidRPr="009D40F0" w:rsidRDefault="006A5D34" w:rsidP="006A5D34">
      <w:pPr>
        <w:spacing w:after="10" w:line="249" w:lineRule="auto"/>
        <w:ind w:left="-5"/>
        <w:rPr>
          <w:sz w:val="22"/>
          <w:szCs w:val="22"/>
        </w:rPr>
      </w:pPr>
      <w:r w:rsidRPr="009D40F0">
        <w:rPr>
          <w:b/>
          <w:sz w:val="22"/>
          <w:szCs w:val="22"/>
          <w:u w:val="single"/>
        </w:rPr>
        <w:t>C</w:t>
      </w:r>
      <w:r w:rsidR="00C93291">
        <w:rPr>
          <w:b/>
          <w:sz w:val="22"/>
          <w:szCs w:val="22"/>
          <w:u w:val="single"/>
        </w:rPr>
        <w:t>OURSE EXPECTATIONS</w:t>
      </w:r>
      <w:r w:rsidRPr="009D40F0">
        <w:rPr>
          <w:b/>
          <w:sz w:val="22"/>
          <w:szCs w:val="22"/>
        </w:rPr>
        <w:t xml:space="preserve">  </w:t>
      </w:r>
    </w:p>
    <w:p w14:paraId="0EA31B44" w14:textId="73D472D9" w:rsidR="006A5D34" w:rsidRPr="009D40F0" w:rsidRDefault="006A5D34" w:rsidP="006A5D34">
      <w:pPr>
        <w:rPr>
          <w:sz w:val="22"/>
          <w:szCs w:val="22"/>
        </w:rPr>
      </w:pPr>
      <w:r w:rsidRPr="009D40F0">
        <w:rPr>
          <w:sz w:val="22"/>
          <w:szCs w:val="22"/>
        </w:rPr>
        <w:t>Each class session will involve a mix of lecture</w:t>
      </w:r>
      <w:r w:rsidR="00B47272">
        <w:rPr>
          <w:sz w:val="22"/>
          <w:szCs w:val="22"/>
        </w:rPr>
        <w:t xml:space="preserve">, </w:t>
      </w:r>
      <w:r w:rsidR="00C236E1" w:rsidRPr="009D40F0">
        <w:rPr>
          <w:sz w:val="22"/>
          <w:szCs w:val="22"/>
        </w:rPr>
        <w:t>discussion,</w:t>
      </w:r>
      <w:r w:rsidR="00B47272">
        <w:rPr>
          <w:sz w:val="22"/>
          <w:szCs w:val="22"/>
        </w:rPr>
        <w:t xml:space="preserve"> and group exercise</w:t>
      </w:r>
      <w:r w:rsidRPr="009D40F0">
        <w:rPr>
          <w:sz w:val="22"/>
          <w:szCs w:val="22"/>
        </w:rPr>
        <w:t>, all focusing on the week’s assigned material</w:t>
      </w:r>
      <w:r w:rsidR="00BD2894">
        <w:rPr>
          <w:sz w:val="22"/>
          <w:szCs w:val="22"/>
        </w:rPr>
        <w:t>s</w:t>
      </w:r>
      <w:r w:rsidRPr="009D40F0">
        <w:rPr>
          <w:sz w:val="22"/>
          <w:szCs w:val="22"/>
        </w:rPr>
        <w:t xml:space="preserve">. For some classes, guest speakers may join us. This course does </w:t>
      </w:r>
      <w:r w:rsidRPr="009D40F0">
        <w:rPr>
          <w:i/>
          <w:sz w:val="22"/>
          <w:szCs w:val="22"/>
        </w:rPr>
        <w:t>not</w:t>
      </w:r>
      <w:r w:rsidRPr="009D40F0">
        <w:rPr>
          <w:sz w:val="22"/>
          <w:szCs w:val="22"/>
        </w:rPr>
        <w:t xml:space="preserve"> satisfy the Advanced Writing Requirement. No prior scientific background is required; merely a willingness to learn. The requirements for the </w:t>
      </w:r>
      <w:r w:rsidR="00B47272">
        <w:rPr>
          <w:sz w:val="22"/>
          <w:szCs w:val="22"/>
        </w:rPr>
        <w:t>course</w:t>
      </w:r>
      <w:r w:rsidRPr="009D40F0">
        <w:rPr>
          <w:sz w:val="22"/>
          <w:szCs w:val="22"/>
        </w:rPr>
        <w:t xml:space="preserve"> are: </w:t>
      </w:r>
    </w:p>
    <w:p w14:paraId="2259B175" w14:textId="77777777" w:rsidR="006A5D34" w:rsidRPr="009D40F0" w:rsidRDefault="006A5D34" w:rsidP="006A5D34">
      <w:pPr>
        <w:rPr>
          <w:sz w:val="22"/>
          <w:szCs w:val="22"/>
        </w:rPr>
      </w:pPr>
    </w:p>
    <w:p w14:paraId="65F9A05B" w14:textId="3032E161" w:rsidR="006A5D34" w:rsidRDefault="006A5D34" w:rsidP="006A5D34">
      <w:pPr>
        <w:numPr>
          <w:ilvl w:val="0"/>
          <w:numId w:val="1"/>
        </w:numPr>
        <w:ind w:hanging="288"/>
        <w:rPr>
          <w:sz w:val="22"/>
          <w:szCs w:val="22"/>
        </w:rPr>
      </w:pPr>
      <w:r w:rsidRPr="009D40F0">
        <w:rPr>
          <w:i/>
          <w:sz w:val="22"/>
          <w:szCs w:val="22"/>
        </w:rPr>
        <w:t>Reading and Viewing:</w:t>
      </w:r>
      <w:r w:rsidRPr="009D40F0">
        <w:rPr>
          <w:sz w:val="22"/>
          <w:szCs w:val="22"/>
        </w:rPr>
        <w:t xml:space="preserve"> Each class session will require you to read and/or view materials. You are expected to read and view those materials before class, so that you are prepared to discuss them in the seminar. Readings and viewings will be circulated on Canvas. </w:t>
      </w:r>
    </w:p>
    <w:p w14:paraId="457D297D" w14:textId="77777777" w:rsidR="00646313" w:rsidRPr="00646313" w:rsidRDefault="00646313" w:rsidP="00646313">
      <w:pPr>
        <w:rPr>
          <w:sz w:val="22"/>
          <w:szCs w:val="22"/>
        </w:rPr>
      </w:pPr>
    </w:p>
    <w:p w14:paraId="3168EFBF" w14:textId="77777777" w:rsidR="00646313" w:rsidRDefault="00646313" w:rsidP="00646313">
      <w:pPr>
        <w:numPr>
          <w:ilvl w:val="0"/>
          <w:numId w:val="1"/>
        </w:numPr>
        <w:ind w:hanging="288"/>
        <w:rPr>
          <w:sz w:val="22"/>
          <w:szCs w:val="22"/>
        </w:rPr>
      </w:pPr>
      <w:r w:rsidRPr="009D40F0">
        <w:rPr>
          <w:i/>
          <w:sz w:val="22"/>
          <w:szCs w:val="22"/>
        </w:rPr>
        <w:lastRenderedPageBreak/>
        <w:t xml:space="preserve">Participation: </w:t>
      </w:r>
      <w:r w:rsidRPr="009D40F0">
        <w:rPr>
          <w:sz w:val="22"/>
          <w:szCs w:val="22"/>
        </w:rPr>
        <w:t>Our class sessions will vary, with a combination of lectures, guest speakers, in-class small group projects, and discussions. The one constant is an expectation that you will be an active participant in each week’s class.</w:t>
      </w:r>
    </w:p>
    <w:p w14:paraId="6DAD6E2F" w14:textId="77777777" w:rsidR="00646313" w:rsidRDefault="00646313" w:rsidP="00646313">
      <w:pPr>
        <w:pStyle w:val="ListParagraph"/>
        <w:rPr>
          <w:i/>
          <w:iCs/>
          <w:sz w:val="22"/>
          <w:szCs w:val="22"/>
        </w:rPr>
      </w:pPr>
    </w:p>
    <w:p w14:paraId="1E623758" w14:textId="50579DD3" w:rsidR="00FB2B8A" w:rsidRPr="00FB2B8A" w:rsidRDefault="00646313" w:rsidP="00FB2B8A">
      <w:pPr>
        <w:numPr>
          <w:ilvl w:val="0"/>
          <w:numId w:val="1"/>
        </w:numPr>
        <w:ind w:hanging="288"/>
        <w:rPr>
          <w:sz w:val="22"/>
          <w:szCs w:val="22"/>
        </w:rPr>
      </w:pPr>
      <w:r w:rsidRPr="00FB2B8A">
        <w:rPr>
          <w:i/>
          <w:iCs/>
          <w:sz w:val="22"/>
          <w:szCs w:val="22"/>
        </w:rPr>
        <w:t>Case studies and group work:</w:t>
      </w:r>
      <w:r w:rsidRPr="00FB2B8A">
        <w:rPr>
          <w:sz w:val="22"/>
          <w:szCs w:val="22"/>
        </w:rPr>
        <w:t xml:space="preserve"> There will be </w:t>
      </w:r>
      <w:r w:rsidR="00FB2B8A" w:rsidRPr="00FB2B8A">
        <w:rPr>
          <w:sz w:val="22"/>
          <w:szCs w:val="22"/>
        </w:rPr>
        <w:t>two</w:t>
      </w:r>
      <w:r w:rsidRPr="00FB2B8A">
        <w:rPr>
          <w:sz w:val="22"/>
          <w:szCs w:val="22"/>
        </w:rPr>
        <w:t xml:space="preserve"> case studies throughout the semester, and</w:t>
      </w:r>
      <w:r w:rsidR="0085464A" w:rsidRPr="00FB2B8A">
        <w:rPr>
          <w:sz w:val="22"/>
          <w:szCs w:val="22"/>
        </w:rPr>
        <w:t xml:space="preserve"> </w:t>
      </w:r>
      <w:r w:rsidR="00FB2B8A" w:rsidRPr="00FB2B8A">
        <w:rPr>
          <w:sz w:val="22"/>
          <w:szCs w:val="22"/>
        </w:rPr>
        <w:t>four or five</w:t>
      </w:r>
      <w:r w:rsidRPr="00FB2B8A">
        <w:rPr>
          <w:sz w:val="22"/>
          <w:szCs w:val="22"/>
        </w:rPr>
        <w:t xml:space="preserve"> students will team up to complete </w:t>
      </w:r>
      <w:r w:rsidR="007D48C0" w:rsidRPr="00FB2B8A">
        <w:rPr>
          <w:sz w:val="22"/>
          <w:szCs w:val="22"/>
        </w:rPr>
        <w:t xml:space="preserve">each </w:t>
      </w:r>
      <w:r w:rsidRPr="00FB2B8A">
        <w:rPr>
          <w:sz w:val="22"/>
          <w:szCs w:val="22"/>
        </w:rPr>
        <w:t>case stud</w:t>
      </w:r>
      <w:r w:rsidR="007D48C0" w:rsidRPr="00FB2B8A">
        <w:rPr>
          <w:sz w:val="22"/>
          <w:szCs w:val="22"/>
        </w:rPr>
        <w:t>y</w:t>
      </w:r>
      <w:r w:rsidRPr="00FB2B8A">
        <w:rPr>
          <w:sz w:val="22"/>
          <w:szCs w:val="22"/>
        </w:rPr>
        <w:t xml:space="preserve">. In the first case study, students will provide strategic options and legal risks for Elite </w:t>
      </w:r>
      <w:proofErr w:type="spellStart"/>
      <w:r w:rsidRPr="00FB2B8A">
        <w:rPr>
          <w:sz w:val="22"/>
          <w:szCs w:val="22"/>
        </w:rPr>
        <w:t>ReFi</w:t>
      </w:r>
      <w:proofErr w:type="spellEnd"/>
      <w:r w:rsidRPr="00FB2B8A">
        <w:rPr>
          <w:sz w:val="22"/>
          <w:szCs w:val="22"/>
        </w:rPr>
        <w:t xml:space="preserve">, Inc., a marketplace leader that operates an online platform for the refinancing of student loans. In the second case study, students will </w:t>
      </w:r>
      <w:r w:rsidR="00FB2B8A" w:rsidRPr="00FB2B8A">
        <w:rPr>
          <w:sz w:val="22"/>
          <w:szCs w:val="22"/>
        </w:rPr>
        <w:t>help the World Bank advise developing countries interested in developing new mobile payment systems</w:t>
      </w:r>
      <w:r w:rsidR="00FB2B8A">
        <w:rPr>
          <w:sz w:val="22"/>
          <w:szCs w:val="22"/>
        </w:rPr>
        <w:t>.</w:t>
      </w:r>
    </w:p>
    <w:p w14:paraId="58ADCEA3" w14:textId="77777777" w:rsidR="00672D43" w:rsidRPr="00672D43" w:rsidRDefault="00672D43" w:rsidP="00646313">
      <w:pPr>
        <w:rPr>
          <w:sz w:val="22"/>
          <w:szCs w:val="22"/>
        </w:rPr>
      </w:pPr>
    </w:p>
    <w:p w14:paraId="5657A03B" w14:textId="3DE8CE39" w:rsidR="00B47272" w:rsidRPr="007C0F74" w:rsidRDefault="00672D43" w:rsidP="00672D43">
      <w:pPr>
        <w:numPr>
          <w:ilvl w:val="0"/>
          <w:numId w:val="1"/>
        </w:numPr>
        <w:ind w:hanging="288"/>
        <w:rPr>
          <w:sz w:val="22"/>
          <w:szCs w:val="22"/>
        </w:rPr>
      </w:pPr>
      <w:r w:rsidRPr="007C0F74">
        <w:rPr>
          <w:i/>
          <w:iCs/>
          <w:sz w:val="22"/>
          <w:szCs w:val="22"/>
        </w:rPr>
        <w:t>Final exam:</w:t>
      </w:r>
      <w:r w:rsidRPr="007C0F74">
        <w:rPr>
          <w:sz w:val="22"/>
          <w:szCs w:val="22"/>
        </w:rPr>
        <w:t xml:space="preserve"> The final exam will consist of</w:t>
      </w:r>
      <w:r w:rsidR="005A4A86" w:rsidRPr="007C0F74">
        <w:rPr>
          <w:sz w:val="22"/>
          <w:szCs w:val="22"/>
        </w:rPr>
        <w:t xml:space="preserve"> essay, multiple choice, and short answer questions</w:t>
      </w:r>
      <w:r w:rsidRPr="007C0F74">
        <w:rPr>
          <w:sz w:val="22"/>
          <w:szCs w:val="22"/>
        </w:rPr>
        <w:t>.</w:t>
      </w:r>
    </w:p>
    <w:p w14:paraId="16640EA1" w14:textId="77777777" w:rsidR="006A5D34" w:rsidRPr="009D40F0" w:rsidRDefault="006A5D34" w:rsidP="006A5D34">
      <w:pPr>
        <w:rPr>
          <w:b/>
          <w:sz w:val="22"/>
          <w:szCs w:val="22"/>
          <w:u w:val="single"/>
        </w:rPr>
      </w:pPr>
    </w:p>
    <w:p w14:paraId="3F1D6B48" w14:textId="77777777" w:rsidR="00C93291" w:rsidRPr="00BF706C" w:rsidRDefault="00C93291" w:rsidP="00C93291">
      <w:pPr>
        <w:rPr>
          <w:b/>
          <w:sz w:val="22"/>
          <w:szCs w:val="22"/>
          <w:u w:val="single"/>
        </w:rPr>
      </w:pPr>
      <w:r w:rsidRPr="00BF706C">
        <w:rPr>
          <w:b/>
          <w:sz w:val="22"/>
          <w:szCs w:val="22"/>
          <w:u w:val="single"/>
        </w:rPr>
        <w:t>USE OF LAPTOPS IN CLASS</w:t>
      </w:r>
    </w:p>
    <w:p w14:paraId="03A2421B" w14:textId="3A5B3FA7" w:rsidR="00C93291" w:rsidRPr="00DE382A" w:rsidRDefault="00C93291" w:rsidP="007D4865">
      <w:pPr>
        <w:spacing w:after="10" w:line="249" w:lineRule="auto"/>
        <w:ind w:left="-5"/>
        <w:rPr>
          <w:sz w:val="22"/>
          <w:szCs w:val="22"/>
        </w:rPr>
      </w:pPr>
      <w:r>
        <w:rPr>
          <w:sz w:val="22"/>
          <w:szCs w:val="22"/>
        </w:rPr>
        <w:t xml:space="preserve">Although laptops and comparable technology are not prohibited, I would encourage you to use them judiciously. </w:t>
      </w:r>
    </w:p>
    <w:p w14:paraId="6F80CC18" w14:textId="77777777" w:rsidR="009D40F0" w:rsidRDefault="009D40F0" w:rsidP="006A5D34">
      <w:pPr>
        <w:shd w:val="clear" w:color="auto" w:fill="FFFFFF"/>
        <w:rPr>
          <w:b/>
          <w:bCs/>
          <w:color w:val="201F1E"/>
          <w:sz w:val="22"/>
          <w:szCs w:val="22"/>
          <w:u w:val="single"/>
          <w:bdr w:val="none" w:sz="0" w:space="0" w:color="auto" w:frame="1"/>
        </w:rPr>
      </w:pPr>
    </w:p>
    <w:p w14:paraId="4BAF8646" w14:textId="7C915BEF" w:rsidR="006A5D34" w:rsidRPr="009D40F0" w:rsidRDefault="006A5D34" w:rsidP="006A5D34">
      <w:pPr>
        <w:shd w:val="clear" w:color="auto" w:fill="FFFFFF"/>
        <w:rPr>
          <w:color w:val="201F1E"/>
          <w:sz w:val="22"/>
          <w:szCs w:val="22"/>
        </w:rPr>
      </w:pPr>
      <w:r w:rsidRPr="009D40F0">
        <w:rPr>
          <w:b/>
          <w:bCs/>
          <w:color w:val="201F1E"/>
          <w:sz w:val="22"/>
          <w:szCs w:val="22"/>
          <w:u w:val="single"/>
          <w:bdr w:val="none" w:sz="0" w:space="0" w:color="auto" w:frame="1"/>
        </w:rPr>
        <w:t xml:space="preserve">PREFERRED NAME AND PRONOUNS </w:t>
      </w:r>
    </w:p>
    <w:p w14:paraId="27BEFC21" w14:textId="77777777" w:rsidR="006A5D34" w:rsidRPr="009D40F0" w:rsidRDefault="006A5D34" w:rsidP="006A5D34">
      <w:pPr>
        <w:shd w:val="clear" w:color="auto" w:fill="FFFFFF"/>
        <w:rPr>
          <w:color w:val="201F1E"/>
          <w:sz w:val="22"/>
          <w:szCs w:val="22"/>
        </w:rPr>
      </w:pPr>
      <w:r w:rsidRPr="009D40F0">
        <w:rPr>
          <w:sz w:val="22"/>
          <w:szCs w:val="22"/>
        </w:rPr>
        <w:t xml:space="preserve">Many of you may have a preferred name that is not the name given to me on the official roll. </w:t>
      </w:r>
      <w:r w:rsidRPr="009D40F0">
        <w:rPr>
          <w:color w:val="201F1E"/>
          <w:sz w:val="22"/>
          <w:szCs w:val="22"/>
          <w:bdr w:val="none" w:sz="0" w:space="0" w:color="auto" w:frame="1"/>
        </w:rPr>
        <w:t>It is important to the learning environment that you feel welcome and safe in this class. I want you to be comfortable participating in class discussions and communicating with me on any issues related to the class. I would like to refer to you by your preferred pronoun and last name. As such, if your preferred name is not the name listed on the official UF roll, please let me know as soon as possible by e-mail or otherwise before the first day of class.</w:t>
      </w:r>
      <w:r w:rsidRPr="009D40F0">
        <w:rPr>
          <w:rStyle w:val="FootnoteReference"/>
          <w:color w:val="201F1E"/>
          <w:sz w:val="22"/>
          <w:szCs w:val="22"/>
          <w:bdr w:val="none" w:sz="0" w:space="0" w:color="auto" w:frame="1"/>
        </w:rPr>
        <w:footnoteReference w:id="2"/>
      </w:r>
      <w:r w:rsidRPr="009D40F0">
        <w:rPr>
          <w:color w:val="201F1E"/>
          <w:sz w:val="22"/>
          <w:szCs w:val="22"/>
          <w:bdr w:val="none" w:sz="0" w:space="0" w:color="auto" w:frame="1"/>
        </w:rPr>
        <w:t xml:space="preserve"> </w:t>
      </w:r>
    </w:p>
    <w:p w14:paraId="64DB4984" w14:textId="77777777" w:rsidR="006A5D34" w:rsidRPr="009D40F0" w:rsidRDefault="006A5D34" w:rsidP="006A5D34">
      <w:pPr>
        <w:shd w:val="clear" w:color="auto" w:fill="FFFFFF"/>
        <w:rPr>
          <w:b/>
          <w:bCs/>
          <w:color w:val="201F1E"/>
          <w:sz w:val="22"/>
          <w:szCs w:val="22"/>
          <w:u w:val="single"/>
          <w:bdr w:val="none" w:sz="0" w:space="0" w:color="auto" w:frame="1"/>
        </w:rPr>
      </w:pPr>
    </w:p>
    <w:p w14:paraId="4BA02A63" w14:textId="77777777" w:rsidR="006A5D34" w:rsidRPr="009D40F0" w:rsidRDefault="006A5D34" w:rsidP="006A5D34">
      <w:pPr>
        <w:shd w:val="clear" w:color="auto" w:fill="FFFFFF"/>
        <w:rPr>
          <w:color w:val="201F1E"/>
          <w:sz w:val="22"/>
          <w:szCs w:val="22"/>
        </w:rPr>
      </w:pPr>
      <w:r w:rsidRPr="009D40F0">
        <w:rPr>
          <w:b/>
          <w:bCs/>
          <w:color w:val="201F1E"/>
          <w:sz w:val="22"/>
          <w:szCs w:val="22"/>
          <w:u w:val="single"/>
          <w:bdr w:val="none" w:sz="0" w:space="0" w:color="auto" w:frame="1"/>
        </w:rPr>
        <w:t xml:space="preserve">DISCOURSE, INCLUSION, AND THE CLASSROOM </w:t>
      </w:r>
    </w:p>
    <w:p w14:paraId="5A870536" w14:textId="77777777" w:rsidR="006A5D34" w:rsidRPr="009D40F0" w:rsidRDefault="006A5D34" w:rsidP="006A5D34">
      <w:pPr>
        <w:shd w:val="clear" w:color="auto" w:fill="FFFFFF"/>
        <w:rPr>
          <w:color w:val="201F1E"/>
          <w:sz w:val="22"/>
          <w:szCs w:val="22"/>
        </w:rPr>
      </w:pPr>
      <w:r w:rsidRPr="009D40F0">
        <w:rPr>
          <w:color w:val="201F1E"/>
          <w:sz w:val="22"/>
          <w:szCs w:val="22"/>
          <w:bdr w:val="none" w:sz="0" w:space="0" w:color="auto" w:frame="1"/>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sidRPr="009D40F0">
        <w:rPr>
          <w:color w:val="201F1E"/>
          <w:sz w:val="22"/>
          <w:szCs w:val="22"/>
        </w:rPr>
        <w:t xml:space="preserve"> </w:t>
      </w:r>
      <w:r w:rsidRPr="009D40F0">
        <w:rPr>
          <w:color w:val="201F1E"/>
          <w:sz w:val="22"/>
          <w:szCs w:val="22"/>
          <w:bdr w:val="none" w:sz="0" w:space="0" w:color="auto" w:frame="1"/>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8DFBC04" w14:textId="77777777" w:rsidR="006A5D34" w:rsidRPr="009D40F0" w:rsidRDefault="006A5D34">
      <w:pPr>
        <w:numPr>
          <w:ilvl w:val="0"/>
          <w:numId w:val="3"/>
        </w:numPr>
        <w:shd w:val="clear" w:color="auto" w:fill="FFFFFF"/>
        <w:rPr>
          <w:color w:val="201F1E"/>
          <w:sz w:val="22"/>
          <w:szCs w:val="22"/>
        </w:rPr>
      </w:pPr>
      <w:r w:rsidRPr="009D40F0">
        <w:rPr>
          <w:color w:val="201F1E"/>
          <w:sz w:val="22"/>
          <w:szCs w:val="22"/>
          <w:bdr w:val="none" w:sz="0" w:space="0" w:color="auto" w:frame="1"/>
        </w:rPr>
        <w:t xml:space="preserve">commit to self-examination of our values and </w:t>
      </w:r>
      <w:proofErr w:type="gramStart"/>
      <w:r w:rsidRPr="009D40F0">
        <w:rPr>
          <w:color w:val="201F1E"/>
          <w:sz w:val="22"/>
          <w:szCs w:val="22"/>
          <w:bdr w:val="none" w:sz="0" w:space="0" w:color="auto" w:frame="1"/>
        </w:rPr>
        <w:t>assumptions;</w:t>
      </w:r>
      <w:proofErr w:type="gramEnd"/>
    </w:p>
    <w:p w14:paraId="0A3C9F4D" w14:textId="77777777" w:rsidR="006A5D34" w:rsidRPr="009D40F0" w:rsidRDefault="006A5D34">
      <w:pPr>
        <w:numPr>
          <w:ilvl w:val="0"/>
          <w:numId w:val="3"/>
        </w:numPr>
        <w:shd w:val="clear" w:color="auto" w:fill="FFFFFF"/>
        <w:rPr>
          <w:color w:val="201F1E"/>
          <w:sz w:val="22"/>
          <w:szCs w:val="22"/>
        </w:rPr>
      </w:pPr>
      <w:r w:rsidRPr="009D40F0">
        <w:rPr>
          <w:color w:val="201F1E"/>
          <w:sz w:val="22"/>
          <w:szCs w:val="22"/>
          <w:bdr w:val="none" w:sz="0" w:space="0" w:color="auto" w:frame="1"/>
        </w:rPr>
        <w:t xml:space="preserve">speak honestly, thoughtfully, and </w:t>
      </w:r>
      <w:proofErr w:type="gramStart"/>
      <w:r w:rsidRPr="009D40F0">
        <w:rPr>
          <w:color w:val="201F1E"/>
          <w:sz w:val="22"/>
          <w:szCs w:val="22"/>
          <w:bdr w:val="none" w:sz="0" w:space="0" w:color="auto" w:frame="1"/>
        </w:rPr>
        <w:t>respectfully;</w:t>
      </w:r>
      <w:proofErr w:type="gramEnd"/>
    </w:p>
    <w:p w14:paraId="52B80924" w14:textId="77777777" w:rsidR="006A5D34" w:rsidRPr="009D40F0" w:rsidRDefault="006A5D34">
      <w:pPr>
        <w:numPr>
          <w:ilvl w:val="0"/>
          <w:numId w:val="3"/>
        </w:numPr>
        <w:shd w:val="clear" w:color="auto" w:fill="FFFFFF"/>
        <w:rPr>
          <w:color w:val="201F1E"/>
          <w:sz w:val="22"/>
          <w:szCs w:val="22"/>
        </w:rPr>
      </w:pPr>
      <w:r w:rsidRPr="009D40F0">
        <w:rPr>
          <w:color w:val="201F1E"/>
          <w:sz w:val="22"/>
          <w:szCs w:val="22"/>
          <w:bdr w:val="none" w:sz="0" w:space="0" w:color="auto" w:frame="1"/>
        </w:rPr>
        <w:t xml:space="preserve">listen carefully and </w:t>
      </w:r>
      <w:proofErr w:type="gramStart"/>
      <w:r w:rsidRPr="009D40F0">
        <w:rPr>
          <w:color w:val="201F1E"/>
          <w:sz w:val="22"/>
          <w:szCs w:val="22"/>
          <w:bdr w:val="none" w:sz="0" w:space="0" w:color="auto" w:frame="1"/>
        </w:rPr>
        <w:t>respectfully;</w:t>
      </w:r>
      <w:proofErr w:type="gramEnd"/>
    </w:p>
    <w:p w14:paraId="79437E72" w14:textId="77777777" w:rsidR="006A5D34" w:rsidRPr="009D40F0" w:rsidRDefault="006A5D34">
      <w:pPr>
        <w:numPr>
          <w:ilvl w:val="0"/>
          <w:numId w:val="3"/>
        </w:numPr>
        <w:shd w:val="clear" w:color="auto" w:fill="FFFFFF"/>
        <w:rPr>
          <w:color w:val="201F1E"/>
          <w:sz w:val="22"/>
          <w:szCs w:val="22"/>
        </w:rPr>
      </w:pPr>
      <w:r w:rsidRPr="009D40F0">
        <w:rPr>
          <w:color w:val="201F1E"/>
          <w:sz w:val="22"/>
          <w:szCs w:val="22"/>
          <w:bdr w:val="none" w:sz="0" w:space="0" w:color="auto" w:frame="1"/>
        </w:rPr>
        <w:t xml:space="preserve">reserve the right to change our mind and allow for others to do the </w:t>
      </w:r>
      <w:proofErr w:type="gramStart"/>
      <w:r w:rsidRPr="009D40F0">
        <w:rPr>
          <w:color w:val="201F1E"/>
          <w:sz w:val="22"/>
          <w:szCs w:val="22"/>
          <w:bdr w:val="none" w:sz="0" w:space="0" w:color="auto" w:frame="1"/>
        </w:rPr>
        <w:t>same;</w:t>
      </w:r>
      <w:proofErr w:type="gramEnd"/>
    </w:p>
    <w:p w14:paraId="2D56C97C" w14:textId="77777777" w:rsidR="006A5D34" w:rsidRPr="009D40F0" w:rsidRDefault="006A5D34">
      <w:pPr>
        <w:numPr>
          <w:ilvl w:val="0"/>
          <w:numId w:val="3"/>
        </w:numPr>
        <w:shd w:val="clear" w:color="auto" w:fill="FFFFFF"/>
        <w:rPr>
          <w:color w:val="201F1E"/>
          <w:sz w:val="22"/>
          <w:szCs w:val="22"/>
        </w:rPr>
      </w:pPr>
      <w:r w:rsidRPr="009D40F0">
        <w:rPr>
          <w:color w:val="201F1E"/>
          <w:sz w:val="22"/>
          <w:szCs w:val="22"/>
          <w:bdr w:val="none" w:sz="0" w:space="0" w:color="auto" w:frame="1"/>
        </w:rPr>
        <w:t>allow ourselves and each other to verbalize ideas and to push the boundaries of logic and reasoning both as a means of exploring our beliefs as well as a method of sharpening our skills as lawyers.</w:t>
      </w:r>
    </w:p>
    <w:p w14:paraId="757C6D70" w14:textId="77777777" w:rsidR="006A5D34" w:rsidRPr="009D40F0" w:rsidRDefault="006A5D34" w:rsidP="006A5D34">
      <w:pPr>
        <w:rPr>
          <w:sz w:val="22"/>
          <w:szCs w:val="22"/>
        </w:rPr>
      </w:pPr>
    </w:p>
    <w:p w14:paraId="435E9E47" w14:textId="0F849D95" w:rsidR="009D40F0" w:rsidRPr="009D40F0" w:rsidRDefault="009D40F0" w:rsidP="009D40F0">
      <w:pPr>
        <w:spacing w:after="10" w:line="249" w:lineRule="auto"/>
        <w:ind w:left="-5"/>
        <w:rPr>
          <w:sz w:val="22"/>
          <w:szCs w:val="22"/>
        </w:rPr>
      </w:pPr>
      <w:r w:rsidRPr="009D40F0">
        <w:rPr>
          <w:b/>
          <w:sz w:val="22"/>
          <w:szCs w:val="22"/>
          <w:u w:val="single"/>
        </w:rPr>
        <w:t>G</w:t>
      </w:r>
      <w:r>
        <w:rPr>
          <w:b/>
          <w:sz w:val="22"/>
          <w:szCs w:val="22"/>
          <w:u w:val="single"/>
        </w:rPr>
        <w:t>RADING EVALUATION</w:t>
      </w:r>
      <w:r w:rsidRPr="009D40F0">
        <w:rPr>
          <w:b/>
          <w:sz w:val="22"/>
          <w:szCs w:val="22"/>
        </w:rPr>
        <w:t xml:space="preserve">  </w:t>
      </w:r>
    </w:p>
    <w:p w14:paraId="11B58952" w14:textId="77777777" w:rsidR="009D40F0" w:rsidRPr="009D40F0" w:rsidRDefault="009D40F0" w:rsidP="009D40F0">
      <w:pPr>
        <w:spacing w:line="259" w:lineRule="auto"/>
        <w:rPr>
          <w:sz w:val="22"/>
          <w:szCs w:val="22"/>
        </w:rPr>
      </w:pPr>
    </w:p>
    <w:tbl>
      <w:tblPr>
        <w:tblStyle w:val="TableGrid1"/>
        <w:tblW w:w="9581" w:type="dxa"/>
        <w:tblInd w:w="-110" w:type="dxa"/>
        <w:tblCellMar>
          <w:top w:w="10" w:type="dxa"/>
          <w:left w:w="106" w:type="dxa"/>
          <w:right w:w="115" w:type="dxa"/>
        </w:tblCellMar>
        <w:tblLook w:val="04A0" w:firstRow="1" w:lastRow="0" w:firstColumn="1" w:lastColumn="0" w:noHBand="0" w:noVBand="1"/>
      </w:tblPr>
      <w:tblGrid>
        <w:gridCol w:w="4790"/>
        <w:gridCol w:w="4791"/>
      </w:tblGrid>
      <w:tr w:rsidR="009D40F0" w:rsidRPr="009D40F0" w14:paraId="6416B5AA"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1BBD1" w14:textId="77777777" w:rsidR="009D40F0" w:rsidRPr="009D40F0" w:rsidRDefault="009D40F0" w:rsidP="009667C7">
            <w:pPr>
              <w:spacing w:line="259" w:lineRule="auto"/>
              <w:ind w:left="5"/>
              <w:rPr>
                <w:sz w:val="22"/>
                <w:szCs w:val="22"/>
              </w:rPr>
            </w:pPr>
            <w:r w:rsidRPr="009D40F0">
              <w:rPr>
                <w:b/>
                <w:sz w:val="22"/>
                <w:szCs w:val="22"/>
              </w:rPr>
              <w:t xml:space="preserve">Class Component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477F" w14:textId="77777777" w:rsidR="009D40F0" w:rsidRPr="009D40F0" w:rsidRDefault="009D40F0" w:rsidP="009667C7">
            <w:pPr>
              <w:spacing w:line="259" w:lineRule="auto"/>
              <w:rPr>
                <w:sz w:val="22"/>
                <w:szCs w:val="22"/>
              </w:rPr>
            </w:pPr>
            <w:r w:rsidRPr="009D40F0">
              <w:rPr>
                <w:b/>
                <w:sz w:val="22"/>
                <w:szCs w:val="22"/>
              </w:rPr>
              <w:t xml:space="preserve">Percent of Grade </w:t>
            </w:r>
          </w:p>
        </w:tc>
      </w:tr>
      <w:tr w:rsidR="009D40F0" w:rsidRPr="009D40F0" w14:paraId="4A644401"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357D" w14:textId="696FB1AC" w:rsidR="009D40F0" w:rsidRPr="00153606" w:rsidRDefault="00FB2B8A" w:rsidP="009667C7">
            <w:pPr>
              <w:spacing w:line="259" w:lineRule="auto"/>
              <w:ind w:left="5"/>
              <w:rPr>
                <w:sz w:val="22"/>
                <w:szCs w:val="22"/>
              </w:rPr>
            </w:pPr>
            <w:r>
              <w:rPr>
                <w:sz w:val="22"/>
                <w:szCs w:val="22"/>
              </w:rPr>
              <w:lastRenderedPageBreak/>
              <w:t>Class participation</w:t>
            </w:r>
            <w:r w:rsidR="000A717E">
              <w:rPr>
                <w:sz w:val="22"/>
                <w:szCs w:val="22"/>
              </w:rPr>
              <w:t xml:space="preserve">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EA7C" w14:textId="56BC7E73" w:rsidR="009D40F0" w:rsidRPr="00153606" w:rsidRDefault="00FB2B8A" w:rsidP="009667C7">
            <w:pPr>
              <w:spacing w:line="259" w:lineRule="auto"/>
              <w:rPr>
                <w:sz w:val="22"/>
                <w:szCs w:val="22"/>
              </w:rPr>
            </w:pPr>
            <w:r>
              <w:rPr>
                <w:sz w:val="22"/>
                <w:szCs w:val="22"/>
              </w:rPr>
              <w:t>1</w:t>
            </w:r>
            <w:r w:rsidR="000A717E">
              <w:rPr>
                <w:sz w:val="22"/>
                <w:szCs w:val="22"/>
              </w:rPr>
              <w:t>0</w:t>
            </w:r>
            <w:r w:rsidR="009D40F0" w:rsidRPr="00153606">
              <w:rPr>
                <w:sz w:val="22"/>
                <w:szCs w:val="22"/>
              </w:rPr>
              <w:t xml:space="preserve">% </w:t>
            </w:r>
          </w:p>
        </w:tc>
      </w:tr>
      <w:tr w:rsidR="00C44A12" w:rsidRPr="009D40F0" w14:paraId="20A7577F" w14:textId="77777777" w:rsidTr="2AEB3BB3">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CBD1B" w14:textId="3605AD12" w:rsidR="00C44A12" w:rsidRPr="00153606" w:rsidRDefault="000A717E" w:rsidP="009667C7">
            <w:pPr>
              <w:spacing w:line="259" w:lineRule="auto"/>
              <w:ind w:left="5"/>
              <w:rPr>
                <w:sz w:val="22"/>
                <w:szCs w:val="22"/>
              </w:rPr>
            </w:pPr>
            <w:r>
              <w:rPr>
                <w:sz w:val="22"/>
                <w:szCs w:val="22"/>
              </w:rPr>
              <w:t>Case study</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85A9" w14:textId="13EBF1AA" w:rsidR="00C44A12" w:rsidRPr="00153606" w:rsidRDefault="000A717E" w:rsidP="009667C7">
            <w:pPr>
              <w:spacing w:line="259" w:lineRule="auto"/>
              <w:rPr>
                <w:sz w:val="22"/>
                <w:szCs w:val="22"/>
              </w:rPr>
            </w:pPr>
            <w:r>
              <w:rPr>
                <w:sz w:val="22"/>
                <w:szCs w:val="22"/>
              </w:rPr>
              <w:t>20%</w:t>
            </w:r>
          </w:p>
        </w:tc>
      </w:tr>
      <w:tr w:rsidR="009D40F0" w:rsidRPr="009D40F0" w14:paraId="17BBE1E6" w14:textId="77777777" w:rsidTr="2AEB3BB3">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7DEFF" w14:textId="74FF4CA3" w:rsidR="009D40F0" w:rsidRPr="00153606" w:rsidRDefault="00B47272" w:rsidP="009667C7">
            <w:pPr>
              <w:spacing w:line="259" w:lineRule="auto"/>
              <w:ind w:left="5"/>
              <w:rPr>
                <w:sz w:val="22"/>
                <w:szCs w:val="22"/>
              </w:rPr>
            </w:pPr>
            <w:r w:rsidRPr="00153606">
              <w:rPr>
                <w:sz w:val="22"/>
                <w:szCs w:val="22"/>
              </w:rPr>
              <w:t xml:space="preserve">Final exam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29E32" w14:textId="044CFAE5" w:rsidR="009D40F0" w:rsidRPr="00153606" w:rsidRDefault="00FB2B8A" w:rsidP="009667C7">
            <w:pPr>
              <w:spacing w:line="259" w:lineRule="auto"/>
              <w:rPr>
                <w:sz w:val="22"/>
                <w:szCs w:val="22"/>
              </w:rPr>
            </w:pPr>
            <w:r>
              <w:rPr>
                <w:sz w:val="22"/>
                <w:szCs w:val="22"/>
              </w:rPr>
              <w:t>70</w:t>
            </w:r>
            <w:r w:rsidR="009D40F0" w:rsidRPr="00153606">
              <w:rPr>
                <w:sz w:val="22"/>
                <w:szCs w:val="22"/>
              </w:rPr>
              <w:t xml:space="preserve">% </w:t>
            </w:r>
          </w:p>
        </w:tc>
      </w:tr>
      <w:tr w:rsidR="009D40F0" w:rsidRPr="009D40F0" w14:paraId="28729E87" w14:textId="77777777" w:rsidTr="2AEB3BB3">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E03E" w14:textId="77777777" w:rsidR="009D40F0" w:rsidRPr="00153606" w:rsidRDefault="009D40F0" w:rsidP="009667C7">
            <w:pPr>
              <w:spacing w:line="259" w:lineRule="auto"/>
              <w:ind w:left="5"/>
              <w:rPr>
                <w:sz w:val="22"/>
                <w:szCs w:val="22"/>
              </w:rPr>
            </w:pPr>
            <w:r w:rsidRPr="00153606">
              <w:rPr>
                <w:sz w:val="22"/>
                <w:szCs w:val="22"/>
              </w:rPr>
              <w:t xml:space="preserve">TOTAL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85A07" w14:textId="77777777" w:rsidR="009D40F0" w:rsidRPr="00153606" w:rsidRDefault="009D40F0" w:rsidP="009667C7">
            <w:pPr>
              <w:spacing w:line="259" w:lineRule="auto"/>
              <w:rPr>
                <w:sz w:val="22"/>
                <w:szCs w:val="22"/>
              </w:rPr>
            </w:pPr>
            <w:r w:rsidRPr="00153606">
              <w:rPr>
                <w:sz w:val="22"/>
                <w:szCs w:val="22"/>
              </w:rPr>
              <w:t xml:space="preserve">100% </w:t>
            </w:r>
          </w:p>
        </w:tc>
      </w:tr>
    </w:tbl>
    <w:p w14:paraId="5BB663AF" w14:textId="77777777" w:rsidR="0044543F" w:rsidRPr="009D40F0" w:rsidRDefault="0044543F" w:rsidP="0044543F">
      <w:pPr>
        <w:rPr>
          <w:sz w:val="22"/>
          <w:szCs w:val="22"/>
        </w:rPr>
      </w:pPr>
    </w:p>
    <w:p w14:paraId="47722492" w14:textId="3E2A46D6" w:rsidR="006A5D34" w:rsidRPr="00FB2B8A" w:rsidRDefault="00FB2B8A" w:rsidP="00FB2B8A">
      <w:pPr>
        <w:spacing w:after="160" w:line="259" w:lineRule="auto"/>
        <w:rPr>
          <w:b/>
          <w:sz w:val="22"/>
          <w:szCs w:val="22"/>
          <w:u w:val="single"/>
        </w:rPr>
      </w:pPr>
      <w:r w:rsidRPr="00FB2B8A">
        <w:rPr>
          <w:rStyle w:val="xcontentpasted0"/>
          <w:color w:val="201F1E"/>
          <w:sz w:val="22"/>
          <w:szCs w:val="22"/>
          <w:bdr w:val="none" w:sz="0" w:space="0" w:color="auto" w:frame="1"/>
          <w:shd w:val="clear" w:color="auto" w:fill="FFFFFF"/>
        </w:rPr>
        <w:t>Other information about UF Levin College of Law policies, including compliance with the UF Honor Code, Grading, Accommodations, Class Recordings, and Course Evaluations can be found at this link: </w:t>
      </w:r>
      <w:hyperlink r:id="rId11" w:history="1">
        <w:r w:rsidRPr="00FB2B8A">
          <w:rPr>
            <w:rStyle w:val="Hyperlink"/>
            <w:sz w:val="22"/>
            <w:szCs w:val="22"/>
            <w:bdr w:val="none" w:sz="0" w:space="0" w:color="auto" w:frame="1"/>
            <w:shd w:val="clear" w:color="auto" w:fill="FFFFFF"/>
          </w:rPr>
          <w:t>https://ufl.instructure.com/courses/427635/files/74674656?wrap=1</w:t>
        </w:r>
      </w:hyperlink>
      <w:r w:rsidRPr="00FB2B8A">
        <w:rPr>
          <w:color w:val="000000"/>
          <w:sz w:val="22"/>
          <w:szCs w:val="22"/>
          <w:bdr w:val="none" w:sz="0" w:space="0" w:color="auto" w:frame="1"/>
          <w:shd w:val="clear" w:color="auto" w:fill="FFFFFF"/>
        </w:rPr>
        <w:t xml:space="preserve"> </w:t>
      </w:r>
    </w:p>
    <w:p w14:paraId="7A99EB2D" w14:textId="77777777" w:rsidR="006A5D34" w:rsidRPr="009D40F0" w:rsidRDefault="006A5D34" w:rsidP="006A5D34">
      <w:pPr>
        <w:rPr>
          <w:b/>
          <w:sz w:val="22"/>
          <w:szCs w:val="22"/>
          <w:u w:val="single"/>
        </w:rPr>
      </w:pPr>
    </w:p>
    <w:p w14:paraId="7DE00C50" w14:textId="77777777" w:rsidR="006A5D34" w:rsidRPr="009D40F0" w:rsidRDefault="006A5D34" w:rsidP="006A5D34">
      <w:pPr>
        <w:rPr>
          <w:b/>
          <w:sz w:val="22"/>
          <w:szCs w:val="22"/>
          <w:u w:val="single"/>
        </w:rPr>
      </w:pPr>
      <w:r w:rsidRPr="009D40F0">
        <w:rPr>
          <w:b/>
          <w:sz w:val="22"/>
          <w:szCs w:val="22"/>
          <w:u w:val="single"/>
        </w:rPr>
        <w:t>COURSE SCHEDULE OF TOPICS AND ASSIGNMENTS (TENTATIVE)</w:t>
      </w:r>
    </w:p>
    <w:p w14:paraId="44F4BF17" w14:textId="08EA33F2" w:rsidR="009726D1" w:rsidRPr="00C93291" w:rsidRDefault="009726D1" w:rsidP="009726D1">
      <w:pPr>
        <w:rPr>
          <w:sz w:val="22"/>
          <w:szCs w:val="22"/>
        </w:rPr>
      </w:pPr>
      <w:r w:rsidRPr="00C93291">
        <w:rPr>
          <w:sz w:val="22"/>
          <w:szCs w:val="22"/>
        </w:rPr>
        <w:t xml:space="preserve">This syllabus is offered as a guide to the direction of the course, and it will be updated on Canvas with specific reading assignments and may be adjusted based on the availability of our speakers. </w:t>
      </w:r>
      <w:r w:rsidR="00CD0D47" w:rsidRPr="00C14F42">
        <w:rPr>
          <w:b/>
          <w:bCs/>
          <w:sz w:val="22"/>
          <w:szCs w:val="22"/>
        </w:rPr>
        <w:t>Six weeks’ assignments are below</w:t>
      </w:r>
      <w:r w:rsidR="00CD0D47">
        <w:rPr>
          <w:sz w:val="22"/>
          <w:szCs w:val="22"/>
        </w:rPr>
        <w:t xml:space="preserve">, but </w:t>
      </w:r>
      <w:r w:rsidR="00012276">
        <w:rPr>
          <w:sz w:val="22"/>
          <w:szCs w:val="22"/>
        </w:rPr>
        <w:t xml:space="preserve">Canvas will be your go-to location for assignments. It will also have links to the all the readings for your convenience. </w:t>
      </w:r>
      <w:r w:rsidRPr="00C93291">
        <w:rPr>
          <w:sz w:val="22"/>
          <w:szCs w:val="22"/>
        </w:rPr>
        <w:t xml:space="preserve">ABA Standard 310 requires that students devote 120 minutes to out-of-class preparation for every “classroom hour” of in-class instruction. This </w:t>
      </w:r>
      <w:r w:rsidR="007A1643">
        <w:rPr>
          <w:sz w:val="22"/>
          <w:szCs w:val="22"/>
        </w:rPr>
        <w:t>course</w:t>
      </w:r>
      <w:r w:rsidRPr="00C93291">
        <w:rPr>
          <w:sz w:val="22"/>
          <w:szCs w:val="22"/>
        </w:rPr>
        <w:t xml:space="preserve"> has </w:t>
      </w:r>
      <w:r w:rsidR="00B47272">
        <w:rPr>
          <w:sz w:val="22"/>
          <w:szCs w:val="22"/>
        </w:rPr>
        <w:t>3</w:t>
      </w:r>
      <w:r w:rsidRPr="00C93291">
        <w:rPr>
          <w:sz w:val="22"/>
          <w:szCs w:val="22"/>
        </w:rPr>
        <w:t xml:space="preserve"> “classroom hours” of in-class instruction each week, </w:t>
      </w:r>
      <w:r w:rsidRPr="004E13DA">
        <w:rPr>
          <w:b/>
          <w:sz w:val="22"/>
          <w:szCs w:val="22"/>
        </w:rPr>
        <w:t xml:space="preserve">requiring at least </w:t>
      </w:r>
      <w:r w:rsidR="00B47272">
        <w:rPr>
          <w:b/>
          <w:sz w:val="22"/>
          <w:szCs w:val="22"/>
        </w:rPr>
        <w:t>six</w:t>
      </w:r>
      <w:r w:rsidRPr="004E13DA">
        <w:rPr>
          <w:b/>
          <w:sz w:val="22"/>
          <w:szCs w:val="22"/>
        </w:rPr>
        <w:t xml:space="preserve"> hours of preparation outside </w:t>
      </w:r>
      <w:r w:rsidRPr="00C93291">
        <w:rPr>
          <w:sz w:val="22"/>
          <w:szCs w:val="22"/>
        </w:rPr>
        <w:t xml:space="preserve">of class. </w:t>
      </w:r>
    </w:p>
    <w:p w14:paraId="7A8799F7" w14:textId="6AEBCB42" w:rsidR="009726D1" w:rsidRPr="00580982" w:rsidRDefault="009726D1" w:rsidP="009726D1">
      <w:pPr>
        <w:rPr>
          <w:sz w:val="22"/>
          <w:szCs w:val="22"/>
        </w:rPr>
      </w:pPr>
    </w:p>
    <w:p w14:paraId="115849AF" w14:textId="77777777" w:rsidR="000A717E" w:rsidRPr="00FF4BEA" w:rsidRDefault="000A717E" w:rsidP="000A717E">
      <w:pPr>
        <w:rPr>
          <w:b/>
          <w:bCs/>
          <w:color w:val="000000" w:themeColor="text1"/>
        </w:rPr>
      </w:pPr>
    </w:p>
    <w:tbl>
      <w:tblPr>
        <w:tblStyle w:val="TableGrid"/>
        <w:tblW w:w="0" w:type="auto"/>
        <w:tblLook w:val="04A0" w:firstRow="1" w:lastRow="0" w:firstColumn="1" w:lastColumn="0" w:noHBand="0" w:noVBand="1"/>
      </w:tblPr>
      <w:tblGrid>
        <w:gridCol w:w="597"/>
        <w:gridCol w:w="8751"/>
      </w:tblGrid>
      <w:tr w:rsidR="000A717E" w14:paraId="4479E33A" w14:textId="77777777" w:rsidTr="00C14F42">
        <w:tc>
          <w:tcPr>
            <w:tcW w:w="985" w:type="dxa"/>
          </w:tcPr>
          <w:p w14:paraId="0ADC2CD7" w14:textId="77777777" w:rsidR="000A717E" w:rsidRDefault="00FB2B8A" w:rsidP="00FE1E26">
            <w:r>
              <w:t>Jan 17</w:t>
            </w:r>
          </w:p>
          <w:p w14:paraId="030F841D" w14:textId="0D1B6C05" w:rsidR="00FB2B8A" w:rsidRDefault="00FB2B8A" w:rsidP="00FE1E26">
            <w:r>
              <w:t>#1</w:t>
            </w:r>
          </w:p>
        </w:tc>
        <w:tc>
          <w:tcPr>
            <w:tcW w:w="8363" w:type="dxa"/>
          </w:tcPr>
          <w:p w14:paraId="054BEF3B" w14:textId="77777777" w:rsidR="000A717E" w:rsidRPr="00F42A4F" w:rsidRDefault="000A717E" w:rsidP="00FE1E26">
            <w:pPr>
              <w:rPr>
                <w:b/>
                <w:bCs/>
              </w:rPr>
            </w:pPr>
            <w:r w:rsidRPr="00F42A4F">
              <w:rPr>
                <w:b/>
                <w:bCs/>
              </w:rPr>
              <w:t xml:space="preserve">Fintech Introduction </w:t>
            </w:r>
          </w:p>
          <w:p w14:paraId="4DFFE0A3" w14:textId="78012444" w:rsidR="00AD1F7F" w:rsidRDefault="00AD1F7F" w:rsidP="0045139E"/>
          <w:p w14:paraId="5ED93ED6" w14:textId="5E7AEF32" w:rsidR="00AD1F7F" w:rsidRDefault="00AD1F7F" w:rsidP="004F63A7">
            <w:pPr>
              <w:pStyle w:val="ListParagraph"/>
              <w:numPr>
                <w:ilvl w:val="0"/>
                <w:numId w:val="14"/>
              </w:numPr>
            </w:pPr>
            <w:r>
              <w:t>Fintech Law, the Case Studies</w:t>
            </w:r>
            <w:r w:rsidR="00FE4A3F">
              <w:t xml:space="preserve"> </w:t>
            </w:r>
          </w:p>
          <w:p w14:paraId="2D3746BA" w14:textId="5C1E91D9" w:rsidR="00FE4A3F" w:rsidRDefault="00985345" w:rsidP="004F63A7">
            <w:pPr>
              <w:pStyle w:val="ListParagraph"/>
              <w:numPr>
                <w:ilvl w:val="1"/>
                <w:numId w:val="14"/>
              </w:numPr>
            </w:pPr>
            <w:r>
              <w:t>The Nature of the Fintech Firm, P9</w:t>
            </w:r>
            <w:r w:rsidR="005356CE">
              <w:t>-22</w:t>
            </w:r>
          </w:p>
          <w:p w14:paraId="436675D0" w14:textId="7B30F0C4" w:rsidR="00FE4A3F" w:rsidRDefault="00796671" w:rsidP="004F63A7">
            <w:pPr>
              <w:pStyle w:val="ListParagraph"/>
              <w:numPr>
                <w:ilvl w:val="0"/>
                <w:numId w:val="14"/>
              </w:numPr>
            </w:pPr>
            <w:r>
              <w:t xml:space="preserve">Fintech Law in a Nutshell </w:t>
            </w:r>
          </w:p>
          <w:p w14:paraId="1F91812C" w14:textId="1C2779E4" w:rsidR="00675B3D" w:rsidRDefault="00675B3D" w:rsidP="004F63A7">
            <w:pPr>
              <w:pStyle w:val="ListParagraph"/>
              <w:numPr>
                <w:ilvl w:val="1"/>
                <w:numId w:val="14"/>
              </w:numPr>
            </w:pPr>
            <w:r>
              <w:t>Introduction: Regulating Financial Innovation</w:t>
            </w:r>
            <w:r w:rsidR="00CF5C05">
              <w:t>, P1</w:t>
            </w:r>
            <w:r w:rsidR="00C37D08">
              <w:t>-27</w:t>
            </w:r>
          </w:p>
          <w:p w14:paraId="014B9209" w14:textId="151DD6E0" w:rsidR="00CF5C05" w:rsidRDefault="004D5316" w:rsidP="004F63A7">
            <w:pPr>
              <w:pStyle w:val="ListParagraph"/>
              <w:numPr>
                <w:ilvl w:val="0"/>
                <w:numId w:val="14"/>
              </w:numPr>
            </w:pPr>
            <w:r>
              <w:t xml:space="preserve">An Introduction to Fintech, Key Sectors and Trends, S&amp;P Global, </w:t>
            </w:r>
            <w:hyperlink r:id="rId12" w:history="1">
              <w:r w:rsidRPr="00035E96">
                <w:rPr>
                  <w:rStyle w:val="Hyperlink"/>
                </w:rPr>
                <w:t>https://www.spglobal.com/marketintelligence/en/documents/an-introduction-to-fintech-key-sectors-and-trends.pdf</w:t>
              </w:r>
            </w:hyperlink>
            <w:r>
              <w:t xml:space="preserve"> </w:t>
            </w:r>
          </w:p>
          <w:p w14:paraId="68B1A6DB" w14:textId="5FC1372C" w:rsidR="00D74EBB" w:rsidRDefault="004F63A7" w:rsidP="004F63A7">
            <w:pPr>
              <w:pStyle w:val="ListParagraph"/>
              <w:numPr>
                <w:ilvl w:val="0"/>
                <w:numId w:val="14"/>
              </w:numPr>
            </w:pPr>
            <w:r>
              <w:t xml:space="preserve">A Global Fintech Overview, Harvard Business Publishing Education, </w:t>
            </w:r>
            <w:hyperlink r:id="rId13" w:history="1">
              <w:r w:rsidRPr="00035E96">
                <w:rPr>
                  <w:rStyle w:val="Hyperlink"/>
                </w:rPr>
                <w:t>https://hbsp.harvard.edu/product/UV7736-PDF-ENG</w:t>
              </w:r>
            </w:hyperlink>
            <w:r>
              <w:t xml:space="preserve"> </w:t>
            </w:r>
            <w:r w:rsidR="00D74EBB">
              <w:t xml:space="preserve"> </w:t>
            </w:r>
          </w:p>
          <w:p w14:paraId="1044EDD5" w14:textId="3F64C771" w:rsidR="0045139E" w:rsidRDefault="0045139E" w:rsidP="0045139E"/>
          <w:p w14:paraId="7B09DD40" w14:textId="77777777" w:rsidR="000A717E" w:rsidRDefault="000A717E" w:rsidP="004F0D93"/>
        </w:tc>
      </w:tr>
      <w:tr w:rsidR="00FB2B8A" w14:paraId="50701EC7" w14:textId="77777777" w:rsidTr="00C14F42">
        <w:tc>
          <w:tcPr>
            <w:tcW w:w="985" w:type="dxa"/>
          </w:tcPr>
          <w:p w14:paraId="334D7312" w14:textId="77777777" w:rsidR="00FB2B8A" w:rsidRDefault="00FB2B8A" w:rsidP="00FE1E26">
            <w:r>
              <w:t>Jan 19</w:t>
            </w:r>
          </w:p>
          <w:p w14:paraId="0B2902DD" w14:textId="5AFA75FC" w:rsidR="00FB2B8A" w:rsidRDefault="00FB2B8A" w:rsidP="00FE1E26">
            <w:r>
              <w:t>#2</w:t>
            </w:r>
          </w:p>
        </w:tc>
        <w:tc>
          <w:tcPr>
            <w:tcW w:w="8363" w:type="dxa"/>
          </w:tcPr>
          <w:p w14:paraId="0DCF6AA6" w14:textId="53EF0562" w:rsidR="00FB2B8A" w:rsidRDefault="00FB2B8A" w:rsidP="00FB2B8A">
            <w:pPr>
              <w:rPr>
                <w:b/>
                <w:bCs/>
              </w:rPr>
            </w:pPr>
            <w:r w:rsidRPr="00F42A4F">
              <w:rPr>
                <w:b/>
                <w:bCs/>
              </w:rPr>
              <w:t xml:space="preserve">Fintech Introduction </w:t>
            </w:r>
            <w:r>
              <w:rPr>
                <w:b/>
                <w:bCs/>
              </w:rPr>
              <w:t>II</w:t>
            </w:r>
          </w:p>
          <w:p w14:paraId="13AE5B0B" w14:textId="77777777" w:rsidR="004F0D93" w:rsidRDefault="004F0D93" w:rsidP="00FB2B8A">
            <w:pPr>
              <w:rPr>
                <w:b/>
                <w:bCs/>
              </w:rPr>
            </w:pPr>
          </w:p>
          <w:p w14:paraId="24014BB9" w14:textId="13A0E7B9" w:rsidR="004F0D93" w:rsidRDefault="00C201C0" w:rsidP="004F63A7">
            <w:pPr>
              <w:pStyle w:val="ListParagraph"/>
              <w:numPr>
                <w:ilvl w:val="0"/>
                <w:numId w:val="22"/>
              </w:numPr>
            </w:pPr>
            <w:r>
              <w:t xml:space="preserve">Fintech Law and Policy P10-25 </w:t>
            </w:r>
          </w:p>
          <w:p w14:paraId="1EE662C6" w14:textId="5C30EAB6" w:rsidR="00C201C0" w:rsidRDefault="00C201C0" w:rsidP="004F63A7">
            <w:pPr>
              <w:pStyle w:val="ListParagraph"/>
              <w:numPr>
                <w:ilvl w:val="1"/>
                <w:numId w:val="22"/>
              </w:numPr>
            </w:pPr>
            <w:r>
              <w:t xml:space="preserve">The evolving relationship between Fintech, Regulators, and </w:t>
            </w:r>
            <w:r w:rsidR="00834482">
              <w:t>Traditional</w:t>
            </w:r>
            <w:r>
              <w:t xml:space="preserve"> Financial I</w:t>
            </w:r>
            <w:r w:rsidR="00834482">
              <w:t>n</w:t>
            </w:r>
            <w:r>
              <w:t>stitu</w:t>
            </w:r>
            <w:r w:rsidR="00834482">
              <w:t xml:space="preserve">tions </w:t>
            </w:r>
          </w:p>
          <w:p w14:paraId="79A4E3A1" w14:textId="77777777" w:rsidR="004F63A7" w:rsidRDefault="004F63A7" w:rsidP="004F63A7">
            <w:pPr>
              <w:pStyle w:val="ListParagraph"/>
              <w:numPr>
                <w:ilvl w:val="0"/>
                <w:numId w:val="22"/>
              </w:numPr>
            </w:pPr>
            <w:r>
              <w:t xml:space="preserve">Fintech: Overview of Financial Regulators and Recent Policy Approaches, Congress Research Services, </w:t>
            </w:r>
            <w:hyperlink r:id="rId14" w:history="1">
              <w:r w:rsidRPr="00035E96">
                <w:rPr>
                  <w:rStyle w:val="Hyperlink"/>
                </w:rPr>
                <w:t>https://crsreports.congress.gov/product/pdf/R/R46333</w:t>
              </w:r>
            </w:hyperlink>
            <w:r>
              <w:t xml:space="preserve"> </w:t>
            </w:r>
          </w:p>
          <w:p w14:paraId="36DDCD01" w14:textId="04942FE9" w:rsidR="004F0D93" w:rsidRDefault="004F0D93" w:rsidP="004F63A7">
            <w:pPr>
              <w:pStyle w:val="ListParagraph"/>
              <w:numPr>
                <w:ilvl w:val="0"/>
                <w:numId w:val="22"/>
              </w:numPr>
            </w:pPr>
            <w:r>
              <w:t>21</w:t>
            </w:r>
            <w:r w:rsidRPr="00534F43">
              <w:rPr>
                <w:vertAlign w:val="superscript"/>
              </w:rPr>
              <w:t>st</w:t>
            </w:r>
            <w:r>
              <w:t xml:space="preserve"> Century Fintech, Financial Technology Research Guide, Library of Congress,  </w:t>
            </w:r>
            <w:hyperlink r:id="rId15" w:history="1">
              <w:r w:rsidRPr="00035E96">
                <w:rPr>
                  <w:rStyle w:val="Hyperlink"/>
                </w:rPr>
                <w:t>https://guides.loc.gov/fintech/21st-century</w:t>
              </w:r>
            </w:hyperlink>
            <w:r>
              <w:t xml:space="preserve"> </w:t>
            </w:r>
          </w:p>
          <w:p w14:paraId="1C90276E" w14:textId="77777777" w:rsidR="00AB16B1" w:rsidRDefault="00AB16B1" w:rsidP="004F63A7">
            <w:pPr>
              <w:pStyle w:val="ListParagraph"/>
              <w:numPr>
                <w:ilvl w:val="0"/>
                <w:numId w:val="22"/>
              </w:numPr>
            </w:pPr>
            <w:r>
              <w:t xml:space="preserve">Should the States or Federal Government Regulate Fintech? Duke </w:t>
            </w:r>
            <w:proofErr w:type="spellStart"/>
            <w:r>
              <w:t>FinReg</w:t>
            </w:r>
            <w:proofErr w:type="spellEnd"/>
            <w:r>
              <w:t xml:space="preserve"> Blog,</w:t>
            </w:r>
          </w:p>
          <w:p w14:paraId="43FEAF19" w14:textId="59AAD432" w:rsidR="00AB16B1" w:rsidRDefault="00AB16B1" w:rsidP="00AB16B1">
            <w:pPr>
              <w:pStyle w:val="ListParagraph"/>
            </w:pPr>
            <w:r>
              <w:t xml:space="preserve"> </w:t>
            </w:r>
            <w:hyperlink r:id="rId16" w:history="1">
              <w:r w:rsidRPr="00035E96">
                <w:rPr>
                  <w:rStyle w:val="Hyperlink"/>
                </w:rPr>
                <w:t>https://sites.duke.edu/thefinregblog/2021/10/07/should-the-states-or-federal-government-regulate-fintech/</w:t>
              </w:r>
            </w:hyperlink>
            <w:r>
              <w:t xml:space="preserve"> </w:t>
            </w:r>
          </w:p>
          <w:p w14:paraId="27F057CA" w14:textId="77777777" w:rsidR="004F0D93" w:rsidRPr="00F42A4F" w:rsidRDefault="004F0D93" w:rsidP="00FB2B8A">
            <w:pPr>
              <w:rPr>
                <w:b/>
                <w:bCs/>
              </w:rPr>
            </w:pPr>
          </w:p>
          <w:p w14:paraId="3F5F91FB" w14:textId="77777777" w:rsidR="00FB2B8A" w:rsidRPr="00F42A4F" w:rsidRDefault="00FB2B8A" w:rsidP="00FE1E26">
            <w:pPr>
              <w:rPr>
                <w:b/>
                <w:bCs/>
              </w:rPr>
            </w:pPr>
          </w:p>
        </w:tc>
      </w:tr>
      <w:tr w:rsidR="000A717E" w14:paraId="79A65AE7" w14:textId="77777777" w:rsidTr="00C14F42">
        <w:tc>
          <w:tcPr>
            <w:tcW w:w="985" w:type="dxa"/>
          </w:tcPr>
          <w:p w14:paraId="2451BC64" w14:textId="77777777" w:rsidR="000A717E" w:rsidRDefault="00FB2B8A" w:rsidP="00FE1E26">
            <w:r>
              <w:lastRenderedPageBreak/>
              <w:t>Jan 24</w:t>
            </w:r>
            <w:r w:rsidR="000A717E">
              <w:t xml:space="preserve"> </w:t>
            </w:r>
          </w:p>
          <w:p w14:paraId="130EEF08" w14:textId="4C1D78C7" w:rsidR="00FB2B8A" w:rsidRDefault="00FB2B8A" w:rsidP="00FE1E26">
            <w:r>
              <w:t>#3</w:t>
            </w:r>
          </w:p>
        </w:tc>
        <w:tc>
          <w:tcPr>
            <w:tcW w:w="8363" w:type="dxa"/>
          </w:tcPr>
          <w:p w14:paraId="3EF4B9E8" w14:textId="38F7140D" w:rsidR="000A717E" w:rsidRDefault="000A717E" w:rsidP="00FE1E26">
            <w:pPr>
              <w:rPr>
                <w:b/>
                <w:bCs/>
              </w:rPr>
            </w:pPr>
            <w:r w:rsidRPr="00F42A4F">
              <w:rPr>
                <w:b/>
                <w:bCs/>
              </w:rPr>
              <w:t xml:space="preserve">Crowdfunding </w:t>
            </w:r>
          </w:p>
          <w:p w14:paraId="79C9162E" w14:textId="77777777" w:rsidR="007648FE" w:rsidRPr="00F42A4F" w:rsidRDefault="007648FE" w:rsidP="00FE1E26">
            <w:pPr>
              <w:rPr>
                <w:b/>
                <w:bCs/>
              </w:rPr>
            </w:pPr>
          </w:p>
          <w:p w14:paraId="1139DF6F" w14:textId="558D5847" w:rsidR="00796671" w:rsidRDefault="00796671" w:rsidP="00C0048A">
            <w:pPr>
              <w:pStyle w:val="ListParagraph"/>
              <w:numPr>
                <w:ilvl w:val="0"/>
                <w:numId w:val="15"/>
              </w:numPr>
            </w:pPr>
            <w:r>
              <w:t xml:space="preserve">Fintech Law in a Nutshell </w:t>
            </w:r>
          </w:p>
          <w:p w14:paraId="2A807CC0" w14:textId="04EA2BBA" w:rsidR="00345FFA" w:rsidRDefault="00345FFA" w:rsidP="00C0048A">
            <w:pPr>
              <w:pStyle w:val="ListParagraph"/>
              <w:numPr>
                <w:ilvl w:val="1"/>
                <w:numId w:val="15"/>
              </w:numPr>
            </w:pPr>
            <w:r>
              <w:t xml:space="preserve">Chapter 1 Crowdfunding </w:t>
            </w:r>
            <w:r w:rsidR="00C0048A">
              <w:t>P51-53</w:t>
            </w:r>
          </w:p>
          <w:p w14:paraId="57EB8ACC" w14:textId="125045E0" w:rsidR="00E02F11" w:rsidRDefault="00E02F11" w:rsidP="00C0048A">
            <w:pPr>
              <w:pStyle w:val="ListParagraph"/>
              <w:numPr>
                <w:ilvl w:val="0"/>
                <w:numId w:val="15"/>
              </w:numPr>
            </w:pPr>
            <w:r>
              <w:t xml:space="preserve">Crowdfunding Explained, European Commission </w:t>
            </w:r>
            <w:hyperlink r:id="rId17" w:history="1">
              <w:r w:rsidRPr="00D4175F">
                <w:rPr>
                  <w:rStyle w:val="Hyperlink"/>
                </w:rPr>
                <w:t>https://single-market-economy.ec.europa.eu/access-finance/guide-crowdfunding/what-crowdfunding/crowdfunding-explained_en</w:t>
              </w:r>
            </w:hyperlink>
            <w:r>
              <w:t xml:space="preserve"> </w:t>
            </w:r>
          </w:p>
          <w:p w14:paraId="006A5AEE" w14:textId="50480FF6" w:rsidR="002C11F0" w:rsidRDefault="00C03190" w:rsidP="00C0048A">
            <w:pPr>
              <w:pStyle w:val="ListParagraph"/>
              <w:numPr>
                <w:ilvl w:val="0"/>
                <w:numId w:val="15"/>
              </w:numPr>
            </w:pPr>
            <w:r>
              <w:t xml:space="preserve">A Brief Introduction to Crowdfunding, </w:t>
            </w:r>
            <w:r w:rsidR="002C11F0">
              <w:t xml:space="preserve">Dutch Caribbean Securities Exchange, </w:t>
            </w:r>
            <w:hyperlink r:id="rId18" w:history="1">
              <w:r w:rsidR="002C11F0" w:rsidRPr="00D4175F">
                <w:rPr>
                  <w:rStyle w:val="Hyperlink"/>
                </w:rPr>
                <w:t>https://www.dcsx.cw/wp-content/uploads/2020/06/Publication-7-A-An-introduction-to-Crowdfunding-final.pdf</w:t>
              </w:r>
            </w:hyperlink>
          </w:p>
          <w:p w14:paraId="66B93731" w14:textId="1A21CEB7" w:rsidR="00C0048A" w:rsidRDefault="00C0048A" w:rsidP="00C0048A">
            <w:pPr>
              <w:ind w:left="1080"/>
            </w:pPr>
          </w:p>
          <w:p w14:paraId="6DD403E5" w14:textId="700FAF3D" w:rsidR="00E66A2A" w:rsidRDefault="00E66A2A" w:rsidP="00F07E2C">
            <w:pPr>
              <w:pStyle w:val="ListParagraph"/>
            </w:pPr>
          </w:p>
        </w:tc>
      </w:tr>
      <w:tr w:rsidR="00FB2B8A" w14:paraId="167ACD02" w14:textId="77777777" w:rsidTr="00C14F42">
        <w:tc>
          <w:tcPr>
            <w:tcW w:w="985" w:type="dxa"/>
          </w:tcPr>
          <w:p w14:paraId="5E67E068" w14:textId="77777777" w:rsidR="00FB2B8A" w:rsidRDefault="00FB2B8A" w:rsidP="00FE1E26">
            <w:r>
              <w:t>Jan 26</w:t>
            </w:r>
          </w:p>
          <w:p w14:paraId="33B718B5" w14:textId="1F1DDEB3" w:rsidR="00FB2B8A" w:rsidRDefault="00FB2B8A" w:rsidP="00FE1E26">
            <w:r>
              <w:t>#4</w:t>
            </w:r>
          </w:p>
        </w:tc>
        <w:tc>
          <w:tcPr>
            <w:tcW w:w="8363" w:type="dxa"/>
          </w:tcPr>
          <w:p w14:paraId="345E7AE8" w14:textId="0D0B2A05" w:rsidR="00FB2B8A" w:rsidRDefault="00FB2B8A" w:rsidP="00FB2B8A">
            <w:pPr>
              <w:rPr>
                <w:b/>
                <w:bCs/>
              </w:rPr>
            </w:pPr>
            <w:r w:rsidRPr="00F42A4F">
              <w:rPr>
                <w:b/>
                <w:bCs/>
              </w:rPr>
              <w:t xml:space="preserve">Crowdfunding </w:t>
            </w:r>
            <w:r>
              <w:rPr>
                <w:b/>
                <w:bCs/>
              </w:rPr>
              <w:t>II</w:t>
            </w:r>
          </w:p>
          <w:p w14:paraId="0057C1CF" w14:textId="77777777" w:rsidR="0007578F" w:rsidRDefault="0007578F" w:rsidP="00FB2B8A">
            <w:pPr>
              <w:rPr>
                <w:b/>
                <w:bCs/>
              </w:rPr>
            </w:pPr>
          </w:p>
          <w:p w14:paraId="3C652CD4" w14:textId="77777777" w:rsidR="00B41CF2" w:rsidRDefault="00B41CF2" w:rsidP="00E02F11">
            <w:pPr>
              <w:pStyle w:val="ListParagraph"/>
              <w:numPr>
                <w:ilvl w:val="0"/>
                <w:numId w:val="23"/>
              </w:numPr>
            </w:pPr>
            <w:r>
              <w:t xml:space="preserve">Fintech Law in a Nutshell </w:t>
            </w:r>
          </w:p>
          <w:p w14:paraId="6C60107B" w14:textId="1240A0E3" w:rsidR="00B41CF2" w:rsidRDefault="00B41CF2" w:rsidP="00E02F11">
            <w:pPr>
              <w:pStyle w:val="ListParagraph"/>
              <w:numPr>
                <w:ilvl w:val="1"/>
                <w:numId w:val="23"/>
              </w:numPr>
            </w:pPr>
            <w:r>
              <w:t>Chapter 1 Crowdfunding P5</w:t>
            </w:r>
            <w:r w:rsidR="00E02F11">
              <w:t>4</w:t>
            </w:r>
            <w:r w:rsidR="006E6695">
              <w:t>-104 (skim</w:t>
            </w:r>
            <w:r w:rsidR="00F07E2C">
              <w:t xml:space="preserve"> through it</w:t>
            </w:r>
            <w:r w:rsidR="006E6695">
              <w:t>)</w:t>
            </w:r>
          </w:p>
          <w:p w14:paraId="5F7D7CE5" w14:textId="77777777" w:rsidR="00E02F11" w:rsidRDefault="00E02F11" w:rsidP="00E02F11">
            <w:pPr>
              <w:pStyle w:val="ListParagraph"/>
              <w:numPr>
                <w:ilvl w:val="0"/>
                <w:numId w:val="23"/>
              </w:numPr>
            </w:pPr>
            <w:r>
              <w:t xml:space="preserve">Financial Technology Research Guide, Library of Congress </w:t>
            </w:r>
          </w:p>
          <w:p w14:paraId="6C2D58E5" w14:textId="77777777" w:rsidR="00E02F11" w:rsidRDefault="00E02F11" w:rsidP="00E02F11">
            <w:pPr>
              <w:pStyle w:val="ListParagraph"/>
              <w:numPr>
                <w:ilvl w:val="1"/>
                <w:numId w:val="23"/>
              </w:numPr>
            </w:pPr>
            <w:r>
              <w:t xml:space="preserve">Crowdfunding &amp; Regulations </w:t>
            </w:r>
            <w:hyperlink r:id="rId19" w:history="1">
              <w:r w:rsidRPr="00035E96">
                <w:rPr>
                  <w:rStyle w:val="Hyperlink"/>
                </w:rPr>
                <w:t>https://guides.loc.gov/fintech/21st-century/crowdfunding</w:t>
              </w:r>
            </w:hyperlink>
            <w:r>
              <w:t xml:space="preserve"> </w:t>
            </w:r>
          </w:p>
          <w:p w14:paraId="457AB209" w14:textId="0F3481B1" w:rsidR="0007578F" w:rsidRDefault="0007578F" w:rsidP="00E02F11">
            <w:pPr>
              <w:pStyle w:val="ListParagraph"/>
              <w:numPr>
                <w:ilvl w:val="0"/>
                <w:numId w:val="23"/>
              </w:numPr>
            </w:pPr>
            <w:r>
              <w:t xml:space="preserve">U.S. Securities-based Crowdfunding Under Title III of the JOBS Act </w:t>
            </w:r>
            <w:hyperlink r:id="rId20" w:history="1">
              <w:r w:rsidRPr="00035E96">
                <w:rPr>
                  <w:rStyle w:val="Hyperlink"/>
                </w:rPr>
                <w:t>https://www.sec.gov/files/regcf_whitepaper.pdf</w:t>
              </w:r>
            </w:hyperlink>
          </w:p>
          <w:p w14:paraId="0F0CD060" w14:textId="77777777" w:rsidR="0007578F" w:rsidRDefault="0007578F" w:rsidP="00E02F11">
            <w:pPr>
              <w:pStyle w:val="ListParagraph"/>
              <w:numPr>
                <w:ilvl w:val="0"/>
                <w:numId w:val="23"/>
              </w:numPr>
            </w:pPr>
            <w:r>
              <w:t xml:space="preserve">Regulation Crowdfunding: A Small Entity Compliance Guide for Issuers </w:t>
            </w:r>
            <w:hyperlink r:id="rId21" w:history="1">
              <w:r w:rsidRPr="00035E96">
                <w:rPr>
                  <w:rStyle w:val="Hyperlink"/>
                </w:rPr>
                <w:t>https://www.sec.gov/info/smallbus/secg/rccomplianceguide-051316</w:t>
              </w:r>
            </w:hyperlink>
            <w:r>
              <w:t xml:space="preserve"> </w:t>
            </w:r>
          </w:p>
          <w:p w14:paraId="40A222CE" w14:textId="314585C9" w:rsidR="0007578F" w:rsidRDefault="0007578F" w:rsidP="00FB2B8A">
            <w:pPr>
              <w:rPr>
                <w:b/>
                <w:bCs/>
              </w:rPr>
            </w:pPr>
          </w:p>
          <w:p w14:paraId="143035D7" w14:textId="77777777" w:rsidR="00F07E2C" w:rsidRDefault="00F07E2C" w:rsidP="00F07E2C"/>
          <w:p w14:paraId="188E25B1" w14:textId="77777777" w:rsidR="00F07E2C" w:rsidRDefault="00F07E2C" w:rsidP="00F07E2C">
            <w:r>
              <w:t xml:space="preserve">Optional readings: </w:t>
            </w:r>
          </w:p>
          <w:p w14:paraId="2048ADB3" w14:textId="77777777" w:rsidR="00F07E2C" w:rsidRDefault="00F07E2C" w:rsidP="00E02F11">
            <w:pPr>
              <w:pStyle w:val="ListParagraph"/>
              <w:numPr>
                <w:ilvl w:val="0"/>
                <w:numId w:val="23"/>
              </w:numPr>
            </w:pPr>
            <w:r>
              <w:t xml:space="preserve">Financial Industry Regulatory Authority (FINRA): Funding Portals We Regulate </w:t>
            </w:r>
            <w:hyperlink r:id="rId22" w:history="1">
              <w:r w:rsidRPr="00035E96">
                <w:rPr>
                  <w:rStyle w:val="Hyperlink"/>
                </w:rPr>
                <w:t>https://www.finra.org/registration-exams-ce/funding-portals</w:t>
              </w:r>
            </w:hyperlink>
          </w:p>
          <w:p w14:paraId="532A2DE9" w14:textId="75B68395" w:rsidR="00F07E2C" w:rsidRPr="00F07E2C" w:rsidRDefault="00F07E2C" w:rsidP="00E02F11">
            <w:pPr>
              <w:pStyle w:val="ListParagraph"/>
              <w:numPr>
                <w:ilvl w:val="0"/>
                <w:numId w:val="23"/>
              </w:numPr>
            </w:pPr>
            <w:r>
              <w:t xml:space="preserve">Regulation Crowdfunding: Home/Small Business/ Exempt Offerings </w:t>
            </w:r>
            <w:hyperlink r:id="rId23" w:history="1">
              <w:r w:rsidRPr="00035E96">
                <w:rPr>
                  <w:rStyle w:val="Hyperlink"/>
                </w:rPr>
                <w:t>https://www.sec.gov/education/smallbusiness/exemptofferings/regcrowdfunding</w:t>
              </w:r>
            </w:hyperlink>
            <w:r>
              <w:t xml:space="preserve"> </w:t>
            </w:r>
          </w:p>
          <w:p w14:paraId="123BAD7A" w14:textId="77777777" w:rsidR="00FB2B8A" w:rsidRPr="00F42A4F" w:rsidRDefault="00FB2B8A" w:rsidP="00FE1E26">
            <w:pPr>
              <w:rPr>
                <w:b/>
                <w:bCs/>
              </w:rPr>
            </w:pPr>
          </w:p>
        </w:tc>
      </w:tr>
      <w:tr w:rsidR="00FB2B8A" w14:paraId="0D14E1E6" w14:textId="77777777" w:rsidTr="00C14F42">
        <w:tc>
          <w:tcPr>
            <w:tcW w:w="985" w:type="dxa"/>
          </w:tcPr>
          <w:p w14:paraId="773CDA0E" w14:textId="77777777" w:rsidR="00FB2B8A" w:rsidRDefault="00FB2B8A" w:rsidP="00FE1E26">
            <w:r>
              <w:t>Jan 31</w:t>
            </w:r>
          </w:p>
          <w:p w14:paraId="7B0393BF" w14:textId="5B5CF1BC" w:rsidR="00FB2B8A" w:rsidRDefault="00FB2B8A" w:rsidP="00FE1E26">
            <w:r>
              <w:t>#5</w:t>
            </w:r>
          </w:p>
        </w:tc>
        <w:tc>
          <w:tcPr>
            <w:tcW w:w="8363" w:type="dxa"/>
          </w:tcPr>
          <w:p w14:paraId="1F77A247" w14:textId="77777777" w:rsidR="00FB2B8A" w:rsidRDefault="00FB2B8A" w:rsidP="00FE1E26">
            <w:pPr>
              <w:rPr>
                <w:b/>
                <w:bCs/>
              </w:rPr>
            </w:pPr>
            <w:r>
              <w:rPr>
                <w:b/>
                <w:bCs/>
              </w:rPr>
              <w:t xml:space="preserve">NO CLASS </w:t>
            </w:r>
          </w:p>
          <w:p w14:paraId="11A990C6" w14:textId="77777777" w:rsidR="00FB2B8A" w:rsidRDefault="00FB2B8A" w:rsidP="00FE1E26">
            <w:pPr>
              <w:rPr>
                <w:b/>
                <w:bCs/>
              </w:rPr>
            </w:pPr>
            <w:r>
              <w:rPr>
                <w:b/>
                <w:bCs/>
              </w:rPr>
              <w:t xml:space="preserve">Makeup TBD </w:t>
            </w:r>
          </w:p>
          <w:p w14:paraId="534805D7" w14:textId="79D5945C" w:rsidR="00FB2B8A" w:rsidRPr="00F42A4F" w:rsidRDefault="00FB2B8A" w:rsidP="00FE1E26">
            <w:pPr>
              <w:rPr>
                <w:b/>
                <w:bCs/>
              </w:rPr>
            </w:pPr>
          </w:p>
        </w:tc>
      </w:tr>
      <w:tr w:rsidR="000A717E" w14:paraId="11642CF7" w14:textId="77777777" w:rsidTr="00C14F42">
        <w:tc>
          <w:tcPr>
            <w:tcW w:w="985" w:type="dxa"/>
          </w:tcPr>
          <w:p w14:paraId="3A4A65CD" w14:textId="77777777" w:rsidR="000A717E" w:rsidRDefault="00FB2B8A" w:rsidP="00FE1E26">
            <w:r>
              <w:t>Feb 2</w:t>
            </w:r>
          </w:p>
          <w:p w14:paraId="7DFA53B7" w14:textId="7A010EDB" w:rsidR="00FB2B8A" w:rsidRDefault="00FB2B8A" w:rsidP="00FE1E26">
            <w:r>
              <w:t>#6</w:t>
            </w:r>
          </w:p>
        </w:tc>
        <w:tc>
          <w:tcPr>
            <w:tcW w:w="8363" w:type="dxa"/>
          </w:tcPr>
          <w:p w14:paraId="076A80CE" w14:textId="4EF2787F" w:rsidR="000A717E" w:rsidRDefault="000A717E" w:rsidP="00FE1E26">
            <w:pPr>
              <w:rPr>
                <w:b/>
                <w:bCs/>
              </w:rPr>
            </w:pPr>
            <w:r w:rsidRPr="00F42A4F">
              <w:rPr>
                <w:b/>
                <w:bCs/>
              </w:rPr>
              <w:t xml:space="preserve">Robo-Advisors </w:t>
            </w:r>
          </w:p>
          <w:p w14:paraId="47057F72" w14:textId="77777777" w:rsidR="007648FE" w:rsidRPr="00F42A4F" w:rsidRDefault="007648FE" w:rsidP="00FE1E26">
            <w:pPr>
              <w:rPr>
                <w:b/>
                <w:bCs/>
              </w:rPr>
            </w:pPr>
          </w:p>
          <w:p w14:paraId="17BE99E5" w14:textId="5BBE4277" w:rsidR="00F861BF" w:rsidRDefault="00F861BF">
            <w:pPr>
              <w:pStyle w:val="ListParagraph"/>
              <w:numPr>
                <w:ilvl w:val="0"/>
                <w:numId w:val="16"/>
              </w:numPr>
            </w:pPr>
            <w:r>
              <w:t xml:space="preserve">Fintech Law, the Case Studies </w:t>
            </w:r>
          </w:p>
          <w:p w14:paraId="2D08B7AF" w14:textId="5FFD8668" w:rsidR="00F861BF" w:rsidRDefault="00F861BF">
            <w:pPr>
              <w:pStyle w:val="ListParagraph"/>
              <w:numPr>
                <w:ilvl w:val="1"/>
                <w:numId w:val="16"/>
              </w:numPr>
            </w:pPr>
            <w:r>
              <w:t>Robo-Advising</w:t>
            </w:r>
            <w:r w:rsidR="00D8665F">
              <w:t>,</w:t>
            </w:r>
            <w:r>
              <w:t xml:space="preserve"> P</w:t>
            </w:r>
            <w:r w:rsidR="00D8665F">
              <w:t>65-84</w:t>
            </w:r>
          </w:p>
          <w:p w14:paraId="7557F8E9" w14:textId="6D2400E1" w:rsidR="006C7C5E" w:rsidRDefault="006C7C5E">
            <w:pPr>
              <w:pStyle w:val="ListParagraph"/>
              <w:numPr>
                <w:ilvl w:val="0"/>
                <w:numId w:val="16"/>
              </w:numPr>
            </w:pPr>
            <w:r>
              <w:t>Fintech Law and Policy</w:t>
            </w:r>
          </w:p>
          <w:p w14:paraId="1CC54E51" w14:textId="264F5B36" w:rsidR="001D24E1" w:rsidRDefault="001D24E1" w:rsidP="001D24E1">
            <w:pPr>
              <w:pStyle w:val="ListParagraph"/>
              <w:numPr>
                <w:ilvl w:val="1"/>
                <w:numId w:val="16"/>
              </w:numPr>
            </w:pPr>
            <w:r>
              <w:t>Fintech Wealth Management and Financial Account Aggregators, P99-106</w:t>
            </w:r>
          </w:p>
          <w:p w14:paraId="2440C36F" w14:textId="2772ACB2" w:rsidR="00F861BF" w:rsidRDefault="0091536A">
            <w:pPr>
              <w:pStyle w:val="ListParagraph"/>
              <w:numPr>
                <w:ilvl w:val="0"/>
                <w:numId w:val="16"/>
              </w:numPr>
            </w:pPr>
            <w:r>
              <w:t xml:space="preserve">The Expansion of Robo-Advisory in Wealth Management, Deloitte, </w:t>
            </w:r>
            <w:hyperlink r:id="rId24" w:history="1">
              <w:r w:rsidRPr="00035E96">
                <w:rPr>
                  <w:rStyle w:val="Hyperlink"/>
                </w:rPr>
                <w:t>https://www2.deloitte.com/content/dam/Deloitte/de/Documents/financial-services/Deloitte-Robo-safe.pdf</w:t>
              </w:r>
            </w:hyperlink>
            <w:r>
              <w:t xml:space="preserve"> </w:t>
            </w:r>
          </w:p>
          <w:p w14:paraId="7466DFF6" w14:textId="77777777" w:rsidR="0045139E" w:rsidRDefault="0045139E" w:rsidP="0045139E"/>
          <w:p w14:paraId="421A98C9" w14:textId="1AF4B8AF" w:rsidR="0045139E" w:rsidRDefault="0045139E" w:rsidP="001D24E1">
            <w:pPr>
              <w:pStyle w:val="ListParagraph"/>
            </w:pPr>
          </w:p>
        </w:tc>
      </w:tr>
      <w:tr w:rsidR="00FB2B8A" w14:paraId="26726972" w14:textId="77777777" w:rsidTr="00C14F42">
        <w:tc>
          <w:tcPr>
            <w:tcW w:w="985" w:type="dxa"/>
          </w:tcPr>
          <w:p w14:paraId="4CD96BC2" w14:textId="77777777" w:rsidR="00FB2B8A" w:rsidRDefault="00FB2B8A" w:rsidP="00FB2B8A">
            <w:r>
              <w:lastRenderedPageBreak/>
              <w:t xml:space="preserve"> Feb 7 </w:t>
            </w:r>
          </w:p>
          <w:p w14:paraId="624BED90" w14:textId="621853B5" w:rsidR="00FB2B8A" w:rsidRDefault="00FB2B8A" w:rsidP="00FB2B8A">
            <w:r>
              <w:t>#7</w:t>
            </w:r>
          </w:p>
        </w:tc>
        <w:tc>
          <w:tcPr>
            <w:tcW w:w="8363" w:type="dxa"/>
          </w:tcPr>
          <w:p w14:paraId="62E9C8E1" w14:textId="641F1701" w:rsidR="00FB2B8A" w:rsidRPr="00F42A4F" w:rsidRDefault="00FB2B8A" w:rsidP="00FB2B8A">
            <w:pPr>
              <w:rPr>
                <w:b/>
                <w:bCs/>
              </w:rPr>
            </w:pPr>
            <w:r w:rsidRPr="00F42A4F">
              <w:rPr>
                <w:b/>
                <w:bCs/>
              </w:rPr>
              <w:t xml:space="preserve">Robo-Advisors </w:t>
            </w:r>
            <w:r>
              <w:rPr>
                <w:b/>
                <w:bCs/>
              </w:rPr>
              <w:t>II</w:t>
            </w:r>
          </w:p>
          <w:p w14:paraId="76EEC747" w14:textId="77777777" w:rsidR="004411F9" w:rsidRDefault="004411F9" w:rsidP="00FB2B8A">
            <w:pPr>
              <w:rPr>
                <w:b/>
                <w:bCs/>
              </w:rPr>
            </w:pPr>
          </w:p>
          <w:p w14:paraId="56BC84E6" w14:textId="77777777" w:rsidR="004411F9" w:rsidRDefault="004411F9" w:rsidP="004411F9">
            <w:pPr>
              <w:pStyle w:val="ListParagraph"/>
              <w:numPr>
                <w:ilvl w:val="0"/>
                <w:numId w:val="25"/>
              </w:numPr>
            </w:pPr>
            <w:r>
              <w:t xml:space="preserve">Fintech Law in a Nutshell </w:t>
            </w:r>
          </w:p>
          <w:p w14:paraId="194350B6" w14:textId="0E360A8B" w:rsidR="004411F9" w:rsidRDefault="004411F9" w:rsidP="004411F9">
            <w:pPr>
              <w:pStyle w:val="ListParagraph"/>
              <w:numPr>
                <w:ilvl w:val="1"/>
                <w:numId w:val="25"/>
              </w:numPr>
            </w:pPr>
            <w:r>
              <w:t>Chapter 3, Robo-Advisors</w:t>
            </w:r>
            <w:r w:rsidR="00166F9C">
              <w:t xml:space="preserve"> P201-234 (skim through it)</w:t>
            </w:r>
          </w:p>
          <w:p w14:paraId="20C50FAB" w14:textId="77777777" w:rsidR="004411F9" w:rsidRDefault="004411F9" w:rsidP="004411F9">
            <w:pPr>
              <w:pStyle w:val="ListParagraph"/>
              <w:numPr>
                <w:ilvl w:val="0"/>
                <w:numId w:val="25"/>
              </w:numPr>
            </w:pPr>
            <w:r>
              <w:t>The SEC’s Guidance on Robo-Advisers</w:t>
            </w:r>
          </w:p>
          <w:p w14:paraId="42F6CD31" w14:textId="4FDA140C" w:rsidR="004411F9" w:rsidRDefault="002663B1" w:rsidP="004411F9">
            <w:pPr>
              <w:pStyle w:val="ListParagraph"/>
            </w:pPr>
            <w:hyperlink r:id="rId25" w:history="1">
              <w:r w:rsidR="004411F9" w:rsidRPr="00035E96">
                <w:rPr>
                  <w:rStyle w:val="Hyperlink"/>
                </w:rPr>
                <w:t>https://www.sec.gov/investment/im-guidance-2017-02.pdf</w:t>
              </w:r>
            </w:hyperlink>
            <w:r w:rsidR="004411F9">
              <w:t xml:space="preserve"> </w:t>
            </w:r>
          </w:p>
          <w:p w14:paraId="3DC5D8A5" w14:textId="77777777" w:rsidR="006C7C5E" w:rsidRDefault="006C7C5E" w:rsidP="006C7C5E">
            <w:pPr>
              <w:pStyle w:val="ListParagraph"/>
              <w:numPr>
                <w:ilvl w:val="0"/>
                <w:numId w:val="25"/>
              </w:numPr>
            </w:pPr>
            <w:r>
              <w:t xml:space="preserve">Are Robots Good Fiduciaries? Regulating Robo-Advisors Under the Investment Advisers Act of 1940, Columbia Law Review, </w:t>
            </w:r>
            <w:hyperlink r:id="rId26" w:history="1">
              <w:r w:rsidRPr="00035E96">
                <w:rPr>
                  <w:rStyle w:val="Hyperlink"/>
                </w:rPr>
                <w:t>https://columbialawreview.org/content/are-robots-good-fiduciaries-regulating-robo-advisors-under-the-investment-advisers-act-of-1940-2/</w:t>
              </w:r>
            </w:hyperlink>
            <w:r>
              <w:t xml:space="preserve"> </w:t>
            </w:r>
          </w:p>
          <w:p w14:paraId="6A150363" w14:textId="77777777" w:rsidR="006C7C5E" w:rsidRDefault="006C7C5E" w:rsidP="006C7C5E">
            <w:pPr>
              <w:pStyle w:val="ListParagraph"/>
              <w:numPr>
                <w:ilvl w:val="0"/>
                <w:numId w:val="25"/>
              </w:numPr>
            </w:pPr>
            <w:r>
              <w:t>Case: the SEC charged Charles Schwab Investment Advisory, Inc. and Schwab Investment Advisory, Inc.</w:t>
            </w:r>
          </w:p>
          <w:p w14:paraId="432FD7D0" w14:textId="77777777" w:rsidR="006C7C5E" w:rsidRDefault="002663B1" w:rsidP="006C7C5E">
            <w:pPr>
              <w:pStyle w:val="ListParagraph"/>
            </w:pPr>
            <w:hyperlink r:id="rId27" w:history="1">
              <w:r w:rsidR="006C7C5E" w:rsidRPr="00035E96">
                <w:rPr>
                  <w:rStyle w:val="Hyperlink"/>
                </w:rPr>
                <w:t>https://www.sec.gov/enforce/34-95087-s</w:t>
              </w:r>
            </w:hyperlink>
            <w:r w:rsidR="006C7C5E">
              <w:t xml:space="preserve"> </w:t>
            </w:r>
          </w:p>
          <w:p w14:paraId="7C3FFC7A" w14:textId="53AA52BF" w:rsidR="006C7C5E" w:rsidRDefault="006C7C5E" w:rsidP="004411F9">
            <w:pPr>
              <w:pStyle w:val="ListParagraph"/>
              <w:rPr>
                <w:b/>
                <w:bCs/>
              </w:rPr>
            </w:pPr>
          </w:p>
          <w:p w14:paraId="40D65D6C" w14:textId="77777777" w:rsidR="001D24E1" w:rsidRDefault="001D24E1" w:rsidP="001D24E1">
            <w:r>
              <w:t xml:space="preserve">Optional readings: </w:t>
            </w:r>
          </w:p>
          <w:p w14:paraId="7ACABD77" w14:textId="77777777" w:rsidR="001D24E1" w:rsidRDefault="001D24E1" w:rsidP="001D24E1">
            <w:pPr>
              <w:pStyle w:val="ListParagraph"/>
              <w:numPr>
                <w:ilvl w:val="0"/>
                <w:numId w:val="26"/>
              </w:numPr>
            </w:pPr>
            <w:r>
              <w:t>Overview of Securities Exchange Commission Rules of Robo-Advisors, Imperial Law Office</w:t>
            </w:r>
          </w:p>
          <w:p w14:paraId="4ED37823" w14:textId="77777777" w:rsidR="001D24E1" w:rsidRDefault="002663B1" w:rsidP="001D24E1">
            <w:pPr>
              <w:pStyle w:val="ListParagraph"/>
            </w:pPr>
            <w:hyperlink r:id="rId28" w:history="1">
              <w:r w:rsidR="001D24E1" w:rsidRPr="00035E96">
                <w:rPr>
                  <w:rStyle w:val="Hyperlink"/>
                </w:rPr>
                <w:t>https://imperiallawoffice.com/blog/overview-of-securities-and-exchange-commission-rules-of-robo-advisors</w:t>
              </w:r>
            </w:hyperlink>
            <w:r w:rsidR="001D24E1">
              <w:t xml:space="preserve"> </w:t>
            </w:r>
          </w:p>
          <w:p w14:paraId="483553A3" w14:textId="4AE2C2C2" w:rsidR="001D24E1" w:rsidRPr="001D24E1" w:rsidRDefault="001D24E1" w:rsidP="001D24E1">
            <w:pPr>
              <w:pStyle w:val="ListParagraph"/>
              <w:numPr>
                <w:ilvl w:val="0"/>
                <w:numId w:val="26"/>
              </w:numPr>
            </w:pPr>
            <w:r>
              <w:t xml:space="preserve">Regulating Robo Advice Across the Financial Service Industry, Tom Baker, University of Pennsylvania Law School </w:t>
            </w:r>
            <w:hyperlink r:id="rId29" w:history="1">
              <w:r w:rsidRPr="00035E96">
                <w:rPr>
                  <w:rStyle w:val="Hyperlink"/>
                </w:rPr>
                <w:t>https://www.law.upenn.edu/live/files/6308-baker-and-dellaert-regulating-robo-advice-across</w:t>
              </w:r>
            </w:hyperlink>
            <w:r>
              <w:t xml:space="preserve"> </w:t>
            </w:r>
          </w:p>
          <w:p w14:paraId="15E5A833" w14:textId="47E4DA2A" w:rsidR="004411F9" w:rsidRPr="00F42A4F" w:rsidRDefault="004411F9" w:rsidP="00FB2B8A">
            <w:pPr>
              <w:rPr>
                <w:b/>
                <w:bCs/>
              </w:rPr>
            </w:pPr>
          </w:p>
        </w:tc>
      </w:tr>
      <w:tr w:rsidR="00FB2B8A" w14:paraId="72413251" w14:textId="77777777" w:rsidTr="00C14F42">
        <w:tc>
          <w:tcPr>
            <w:tcW w:w="985" w:type="dxa"/>
          </w:tcPr>
          <w:p w14:paraId="52D36CCA" w14:textId="77777777" w:rsidR="00FB2B8A" w:rsidRDefault="00FB2B8A" w:rsidP="00FB2B8A">
            <w:r>
              <w:t>Feb 9</w:t>
            </w:r>
          </w:p>
          <w:p w14:paraId="2D2C88EC" w14:textId="152373B7" w:rsidR="00FB2B8A" w:rsidRDefault="00FB2B8A" w:rsidP="00FB2B8A">
            <w:r>
              <w:t xml:space="preserve">#8 </w:t>
            </w:r>
          </w:p>
        </w:tc>
        <w:tc>
          <w:tcPr>
            <w:tcW w:w="8363" w:type="dxa"/>
          </w:tcPr>
          <w:p w14:paraId="26654A10" w14:textId="4198BA32" w:rsidR="00FB2B8A" w:rsidRDefault="00FB2B8A" w:rsidP="00FB2B8A">
            <w:pPr>
              <w:rPr>
                <w:b/>
                <w:bCs/>
              </w:rPr>
            </w:pPr>
            <w:r w:rsidRPr="00F42A4F">
              <w:rPr>
                <w:b/>
                <w:bCs/>
              </w:rPr>
              <w:t xml:space="preserve">High Frequency Trading </w:t>
            </w:r>
          </w:p>
          <w:p w14:paraId="1B2BF6E5" w14:textId="77777777" w:rsidR="007648FE" w:rsidRPr="00F42A4F" w:rsidRDefault="007648FE" w:rsidP="00FB2B8A">
            <w:pPr>
              <w:rPr>
                <w:b/>
                <w:bCs/>
              </w:rPr>
            </w:pPr>
          </w:p>
          <w:p w14:paraId="57539FE0" w14:textId="77777777" w:rsidR="00C41B11" w:rsidRDefault="00C41B11" w:rsidP="00C41B11">
            <w:pPr>
              <w:pStyle w:val="ListParagraph"/>
              <w:numPr>
                <w:ilvl w:val="0"/>
                <w:numId w:val="27"/>
              </w:numPr>
            </w:pPr>
            <w:r>
              <w:t xml:space="preserve">Fintech Law, the Case Studies </w:t>
            </w:r>
          </w:p>
          <w:p w14:paraId="3E29431F" w14:textId="5ACDAFAF" w:rsidR="00C41B11" w:rsidRDefault="00C41B11" w:rsidP="00C41B11">
            <w:pPr>
              <w:pStyle w:val="ListParagraph"/>
              <w:numPr>
                <w:ilvl w:val="1"/>
                <w:numId w:val="27"/>
              </w:numPr>
            </w:pPr>
            <w:r>
              <w:t>Algorithmic Trading Strategies, P99-114</w:t>
            </w:r>
          </w:p>
          <w:p w14:paraId="5019D1A7" w14:textId="77777777" w:rsidR="00C41B11" w:rsidRDefault="00C41B11" w:rsidP="00C41B11">
            <w:pPr>
              <w:pStyle w:val="ListParagraph"/>
              <w:numPr>
                <w:ilvl w:val="0"/>
                <w:numId w:val="27"/>
              </w:numPr>
            </w:pPr>
            <w:r>
              <w:t xml:space="preserve">Fintech Law in a Nutshell </w:t>
            </w:r>
          </w:p>
          <w:p w14:paraId="3ECE7B25" w14:textId="6F67BED9" w:rsidR="00FB2B8A" w:rsidRDefault="00C41B11" w:rsidP="00C41B11">
            <w:pPr>
              <w:pStyle w:val="ListParagraph"/>
              <w:numPr>
                <w:ilvl w:val="1"/>
                <w:numId w:val="27"/>
              </w:numPr>
            </w:pPr>
            <w:r>
              <w:t>Chapter</w:t>
            </w:r>
            <w:r w:rsidR="0086460A">
              <w:t xml:space="preserve"> 4 High Frequency Trading, P237-248</w:t>
            </w:r>
          </w:p>
          <w:p w14:paraId="134E3569" w14:textId="64DA2D95" w:rsidR="00135C3B" w:rsidRDefault="00135C3B" w:rsidP="00C110E2">
            <w:pPr>
              <w:pStyle w:val="ListParagraph"/>
              <w:numPr>
                <w:ilvl w:val="0"/>
                <w:numId w:val="27"/>
              </w:numPr>
            </w:pPr>
            <w:r>
              <w:t>The Need for Speed: Regulatory Approaches to High Frequency Trading in the United States and the European Union, Megan Woodward, P</w:t>
            </w:r>
            <w:r w:rsidR="005D7242">
              <w:t>1360-1373</w:t>
            </w:r>
            <w:r>
              <w:t xml:space="preserve"> </w:t>
            </w:r>
            <w:hyperlink r:id="rId30" w:history="1">
              <w:r w:rsidR="005D7242" w:rsidRPr="00D4175F">
                <w:rPr>
                  <w:rStyle w:val="Hyperlink"/>
                </w:rPr>
                <w:t>https://scholarship.law.vanderbilt.edu/cgi/viewcontent.cgi?article=1154&amp;context=vjtl</w:t>
              </w:r>
            </w:hyperlink>
            <w:r w:rsidR="005D7242">
              <w:t xml:space="preserve"> </w:t>
            </w:r>
          </w:p>
          <w:p w14:paraId="7A11814A" w14:textId="7BB2BECA" w:rsidR="00C110E2" w:rsidRDefault="00C110E2" w:rsidP="00C110E2">
            <w:pPr>
              <w:pStyle w:val="ListParagraph"/>
              <w:numPr>
                <w:ilvl w:val="0"/>
                <w:numId w:val="27"/>
              </w:numPr>
            </w:pPr>
            <w:r>
              <w:t>High Frequency Trading</w:t>
            </w:r>
            <w:r w:rsidR="00180A9B">
              <w:t xml:space="preserve">: History, Basics, Facts, Features, and More, </w:t>
            </w:r>
            <w:proofErr w:type="spellStart"/>
            <w:r w:rsidR="00180A9B">
              <w:t>Chainika</w:t>
            </w:r>
            <w:proofErr w:type="spellEnd"/>
            <w:r w:rsidR="00180A9B">
              <w:t xml:space="preserve"> </w:t>
            </w:r>
            <w:proofErr w:type="spellStart"/>
            <w:r w:rsidR="00180A9B">
              <w:t>Thakar</w:t>
            </w:r>
            <w:proofErr w:type="spellEnd"/>
            <w:r w:rsidR="00180A9B">
              <w:t xml:space="preserve">, </w:t>
            </w:r>
            <w:proofErr w:type="spellStart"/>
            <w:r w:rsidR="00180A9B">
              <w:t>Anupriya</w:t>
            </w:r>
            <w:proofErr w:type="spellEnd"/>
            <w:r w:rsidR="00180A9B">
              <w:t xml:space="preserve"> Gupta, and Milind </w:t>
            </w:r>
            <w:proofErr w:type="spellStart"/>
            <w:r w:rsidR="00180A9B">
              <w:t>Paradkar</w:t>
            </w:r>
            <w:proofErr w:type="spellEnd"/>
            <w:r w:rsidR="00180A9B">
              <w:t xml:space="preserve">, </w:t>
            </w:r>
            <w:hyperlink r:id="rId31" w:history="1">
              <w:r w:rsidR="00180A9B" w:rsidRPr="00D4175F">
                <w:rPr>
                  <w:rStyle w:val="Hyperlink"/>
                </w:rPr>
                <w:t>https://blog.quantinsti.com/high-frequency-trading/</w:t>
              </w:r>
            </w:hyperlink>
            <w:r w:rsidR="00180A9B">
              <w:t xml:space="preserve"> </w:t>
            </w:r>
          </w:p>
          <w:p w14:paraId="208D92B0" w14:textId="77777777" w:rsidR="00FB2B8A" w:rsidRPr="00F42A4F" w:rsidRDefault="00FB2B8A" w:rsidP="00FB2B8A">
            <w:pPr>
              <w:rPr>
                <w:b/>
                <w:bCs/>
              </w:rPr>
            </w:pPr>
          </w:p>
        </w:tc>
      </w:tr>
      <w:tr w:rsidR="00FB2B8A" w14:paraId="58CC7F70" w14:textId="77777777" w:rsidTr="00C14F42">
        <w:tc>
          <w:tcPr>
            <w:tcW w:w="985" w:type="dxa"/>
          </w:tcPr>
          <w:p w14:paraId="0100E0D3" w14:textId="77777777" w:rsidR="00FB2B8A" w:rsidRDefault="00FB2B8A" w:rsidP="00FB2B8A">
            <w:r>
              <w:t>Feb 14</w:t>
            </w:r>
          </w:p>
          <w:p w14:paraId="02FBF7AD" w14:textId="1C7318A8" w:rsidR="00FB2B8A" w:rsidRDefault="00FB2B8A" w:rsidP="00FB2B8A">
            <w:r>
              <w:t>#9</w:t>
            </w:r>
          </w:p>
        </w:tc>
        <w:tc>
          <w:tcPr>
            <w:tcW w:w="8363" w:type="dxa"/>
          </w:tcPr>
          <w:p w14:paraId="1222078B" w14:textId="00AB63CC" w:rsidR="00FB2B8A" w:rsidRDefault="00FB2B8A" w:rsidP="00FB2B8A">
            <w:pPr>
              <w:rPr>
                <w:b/>
                <w:bCs/>
              </w:rPr>
            </w:pPr>
            <w:r w:rsidRPr="00F42A4F">
              <w:rPr>
                <w:b/>
                <w:bCs/>
              </w:rPr>
              <w:t xml:space="preserve">High Frequency Trading </w:t>
            </w:r>
            <w:r>
              <w:rPr>
                <w:b/>
                <w:bCs/>
              </w:rPr>
              <w:t>II</w:t>
            </w:r>
          </w:p>
          <w:p w14:paraId="4A2029DA" w14:textId="77777777" w:rsidR="007648FE" w:rsidRPr="00F42A4F" w:rsidRDefault="007648FE" w:rsidP="00FB2B8A">
            <w:pPr>
              <w:rPr>
                <w:b/>
                <w:bCs/>
              </w:rPr>
            </w:pPr>
          </w:p>
          <w:p w14:paraId="4F4F695F" w14:textId="77777777" w:rsidR="0086460A" w:rsidRDefault="0086460A" w:rsidP="0086460A">
            <w:pPr>
              <w:pStyle w:val="ListParagraph"/>
              <w:numPr>
                <w:ilvl w:val="0"/>
                <w:numId w:val="28"/>
              </w:numPr>
            </w:pPr>
            <w:r>
              <w:t xml:space="preserve">Fintech Law, the Case Studies </w:t>
            </w:r>
          </w:p>
          <w:p w14:paraId="348A343C" w14:textId="7B1ACB43" w:rsidR="0086460A" w:rsidRDefault="0086460A" w:rsidP="0086460A">
            <w:pPr>
              <w:pStyle w:val="ListParagraph"/>
              <w:numPr>
                <w:ilvl w:val="1"/>
                <w:numId w:val="28"/>
              </w:numPr>
            </w:pPr>
            <w:r>
              <w:t>Algorithmic Trading Strategies, P115-</w:t>
            </w:r>
            <w:r w:rsidR="00A73CA2">
              <w:t>122</w:t>
            </w:r>
          </w:p>
          <w:p w14:paraId="3502A9A7" w14:textId="77777777" w:rsidR="0086460A" w:rsidRDefault="0086460A" w:rsidP="0086460A">
            <w:pPr>
              <w:pStyle w:val="ListParagraph"/>
              <w:numPr>
                <w:ilvl w:val="0"/>
                <w:numId w:val="28"/>
              </w:numPr>
            </w:pPr>
            <w:r>
              <w:t xml:space="preserve">Fintech Law in a Nutshell </w:t>
            </w:r>
          </w:p>
          <w:p w14:paraId="42334CED" w14:textId="407C465C" w:rsidR="0086460A" w:rsidRDefault="0086460A" w:rsidP="0086460A">
            <w:pPr>
              <w:pStyle w:val="ListParagraph"/>
              <w:numPr>
                <w:ilvl w:val="1"/>
                <w:numId w:val="28"/>
              </w:numPr>
            </w:pPr>
            <w:r>
              <w:t>Chapter 4 High Frequency Trading, P</w:t>
            </w:r>
            <w:r w:rsidR="000D2CDE">
              <w:t>249-279</w:t>
            </w:r>
            <w:r w:rsidR="00286E8C">
              <w:t xml:space="preserve"> (Skim through it)</w:t>
            </w:r>
          </w:p>
          <w:p w14:paraId="6DB472CB" w14:textId="5781134A" w:rsidR="005D7242" w:rsidRDefault="005D7242" w:rsidP="005D7242">
            <w:pPr>
              <w:pStyle w:val="ListParagraph"/>
              <w:numPr>
                <w:ilvl w:val="0"/>
                <w:numId w:val="28"/>
              </w:numPr>
            </w:pPr>
            <w:r>
              <w:t>The Need for Speed: Regulatory Approaches to High Frequency Trading in the United States and the European Union, Megan Woodward, P</w:t>
            </w:r>
            <w:r w:rsidR="00286E8C">
              <w:t xml:space="preserve">1377-1387 </w:t>
            </w:r>
            <w:hyperlink r:id="rId32" w:history="1">
              <w:r w:rsidR="00286E8C" w:rsidRPr="00D4175F">
                <w:rPr>
                  <w:rStyle w:val="Hyperlink"/>
                </w:rPr>
                <w:t>https://scholarship.law.vanderbilt.edu/cgi/viewcontent.cgi?article=1154&amp;context=vjtl</w:t>
              </w:r>
            </w:hyperlink>
            <w:r w:rsidR="00286E8C">
              <w:t xml:space="preserve"> </w:t>
            </w:r>
          </w:p>
          <w:p w14:paraId="175952DC" w14:textId="77777777" w:rsidR="00FB2B8A" w:rsidRPr="00F42A4F" w:rsidRDefault="00FB2B8A" w:rsidP="00FB2B8A">
            <w:pPr>
              <w:rPr>
                <w:b/>
                <w:bCs/>
              </w:rPr>
            </w:pPr>
          </w:p>
        </w:tc>
      </w:tr>
      <w:tr w:rsidR="00FB2B8A" w14:paraId="38801128" w14:textId="77777777" w:rsidTr="00C14F42">
        <w:tc>
          <w:tcPr>
            <w:tcW w:w="985" w:type="dxa"/>
          </w:tcPr>
          <w:p w14:paraId="50A11928" w14:textId="77777777" w:rsidR="00FB2B8A" w:rsidRDefault="00FB2B8A" w:rsidP="00FB2B8A">
            <w:r>
              <w:lastRenderedPageBreak/>
              <w:t>Feb 16</w:t>
            </w:r>
          </w:p>
          <w:p w14:paraId="776370B9" w14:textId="42C5238C" w:rsidR="00FB2B8A" w:rsidRDefault="00FB2B8A" w:rsidP="00FB2B8A">
            <w:r>
              <w:t>#10</w:t>
            </w:r>
          </w:p>
        </w:tc>
        <w:tc>
          <w:tcPr>
            <w:tcW w:w="8363" w:type="dxa"/>
          </w:tcPr>
          <w:p w14:paraId="241EEAC6" w14:textId="0DCDE00B" w:rsidR="00FB2B8A" w:rsidRDefault="00FB2B8A" w:rsidP="00FB2B8A">
            <w:pPr>
              <w:rPr>
                <w:b/>
                <w:bCs/>
              </w:rPr>
            </w:pPr>
            <w:r w:rsidRPr="00F42A4F">
              <w:rPr>
                <w:b/>
                <w:bCs/>
              </w:rPr>
              <w:t xml:space="preserve">Special Purpose Fintech Charter </w:t>
            </w:r>
          </w:p>
          <w:p w14:paraId="2E18B786" w14:textId="77777777" w:rsidR="00286E8C" w:rsidRPr="00F42A4F" w:rsidRDefault="00286E8C" w:rsidP="00FB2B8A">
            <w:pPr>
              <w:rPr>
                <w:b/>
                <w:bCs/>
              </w:rPr>
            </w:pPr>
          </w:p>
          <w:p w14:paraId="5CEBC850" w14:textId="0AEA68A3" w:rsidR="00666B09" w:rsidRDefault="00666B09" w:rsidP="005911BF">
            <w:pPr>
              <w:pStyle w:val="ListParagraph"/>
              <w:numPr>
                <w:ilvl w:val="0"/>
                <w:numId w:val="29"/>
              </w:numPr>
            </w:pPr>
            <w:r>
              <w:t>Fintech Law and Policy</w:t>
            </w:r>
          </w:p>
          <w:p w14:paraId="5DBCF248" w14:textId="44902FFB" w:rsidR="00666B09" w:rsidRDefault="00666B09" w:rsidP="005911BF">
            <w:pPr>
              <w:pStyle w:val="ListParagraph"/>
              <w:numPr>
                <w:ilvl w:val="1"/>
                <w:numId w:val="29"/>
              </w:numPr>
            </w:pPr>
            <w:r>
              <w:t>Chapter 3, Banking Regulation in the United States, P</w:t>
            </w:r>
            <w:r w:rsidR="0028652C">
              <w:t>45-56</w:t>
            </w:r>
          </w:p>
          <w:p w14:paraId="6A8D775D" w14:textId="77777777" w:rsidR="00DD00D1" w:rsidRDefault="00DD00D1" w:rsidP="005911BF">
            <w:pPr>
              <w:pStyle w:val="ListParagraph"/>
              <w:numPr>
                <w:ilvl w:val="0"/>
                <w:numId w:val="29"/>
              </w:numPr>
            </w:pPr>
            <w:r>
              <w:t xml:space="preserve">Fintech Law and Policy </w:t>
            </w:r>
          </w:p>
          <w:p w14:paraId="50291A0E" w14:textId="77777777" w:rsidR="00DD00D1" w:rsidRDefault="00DD00D1" w:rsidP="005911BF">
            <w:pPr>
              <w:pStyle w:val="ListParagraph"/>
              <w:numPr>
                <w:ilvl w:val="1"/>
                <w:numId w:val="29"/>
              </w:numPr>
            </w:pPr>
            <w:r>
              <w:t>Chapter 2 Fintech Lending, P26-44</w:t>
            </w:r>
          </w:p>
          <w:p w14:paraId="2E60A344" w14:textId="77777777" w:rsidR="005911BF" w:rsidRDefault="005911BF" w:rsidP="005911BF">
            <w:pPr>
              <w:pStyle w:val="ListParagraph"/>
              <w:numPr>
                <w:ilvl w:val="0"/>
                <w:numId w:val="29"/>
              </w:numPr>
            </w:pPr>
            <w:r>
              <w:t xml:space="preserve">Fintech Law in a Nutshell </w:t>
            </w:r>
          </w:p>
          <w:p w14:paraId="4C6442AA" w14:textId="74C22F11" w:rsidR="005911BF" w:rsidRDefault="005911BF" w:rsidP="005911BF">
            <w:pPr>
              <w:pStyle w:val="ListParagraph"/>
              <w:numPr>
                <w:ilvl w:val="1"/>
                <w:numId w:val="29"/>
              </w:numPr>
            </w:pPr>
            <w:r>
              <w:t>Chapter 5, Marketplace Lending, P289-P295</w:t>
            </w:r>
          </w:p>
          <w:p w14:paraId="3CE857E0" w14:textId="77777777" w:rsidR="00FB2B8A" w:rsidRPr="00F42A4F" w:rsidRDefault="00FB2B8A" w:rsidP="00DD00D1">
            <w:pPr>
              <w:pStyle w:val="ListParagraph"/>
              <w:rPr>
                <w:b/>
                <w:bCs/>
              </w:rPr>
            </w:pPr>
          </w:p>
        </w:tc>
      </w:tr>
      <w:tr w:rsidR="00FB2B8A" w14:paraId="0AE9D89D" w14:textId="77777777" w:rsidTr="00C14F42">
        <w:tc>
          <w:tcPr>
            <w:tcW w:w="985" w:type="dxa"/>
          </w:tcPr>
          <w:p w14:paraId="0D8F65F9" w14:textId="77777777" w:rsidR="00FB2B8A" w:rsidRDefault="00FB2B8A" w:rsidP="00FB2B8A">
            <w:r>
              <w:t>Feb 21</w:t>
            </w:r>
          </w:p>
          <w:p w14:paraId="4B1DC051" w14:textId="1F1D700E" w:rsidR="00FB2B8A" w:rsidRDefault="00FB2B8A" w:rsidP="00FB2B8A">
            <w:r>
              <w:t>#11</w:t>
            </w:r>
          </w:p>
        </w:tc>
        <w:tc>
          <w:tcPr>
            <w:tcW w:w="8363" w:type="dxa"/>
          </w:tcPr>
          <w:p w14:paraId="545AA5AA" w14:textId="77777777" w:rsidR="00FB2B8A" w:rsidRPr="00F42A4F" w:rsidRDefault="00FB2B8A" w:rsidP="00FB2B8A">
            <w:pPr>
              <w:rPr>
                <w:b/>
                <w:bCs/>
              </w:rPr>
            </w:pPr>
            <w:r w:rsidRPr="00F42A4F">
              <w:rPr>
                <w:b/>
                <w:bCs/>
              </w:rPr>
              <w:t xml:space="preserve">Marketplace Lending </w:t>
            </w:r>
          </w:p>
          <w:p w14:paraId="6032622F" w14:textId="77777777" w:rsidR="00FB2B8A" w:rsidRDefault="00FB2B8A" w:rsidP="00FB2B8A"/>
          <w:p w14:paraId="3650FB5A" w14:textId="4FFD6C54" w:rsidR="00FB2B8A" w:rsidRDefault="00FB2B8A" w:rsidP="00FB2B8A">
            <w:pPr>
              <w:pStyle w:val="ListParagraph"/>
              <w:numPr>
                <w:ilvl w:val="0"/>
                <w:numId w:val="19"/>
              </w:numPr>
            </w:pPr>
            <w:r>
              <w:t xml:space="preserve">Fintech Law in a Nutshell </w:t>
            </w:r>
          </w:p>
          <w:p w14:paraId="4831A1F1" w14:textId="37317990" w:rsidR="00FB2B8A" w:rsidRDefault="00FB2B8A" w:rsidP="00FB2B8A">
            <w:pPr>
              <w:pStyle w:val="ListParagraph"/>
              <w:numPr>
                <w:ilvl w:val="1"/>
                <w:numId w:val="19"/>
              </w:numPr>
            </w:pPr>
            <w:r>
              <w:t>Chapter 5, Marketplace Lending</w:t>
            </w:r>
            <w:r w:rsidR="005911BF">
              <w:t>, P</w:t>
            </w:r>
            <w:r w:rsidR="00A34A69">
              <w:t>296-344 (skim through it)</w:t>
            </w:r>
          </w:p>
          <w:p w14:paraId="402F2AEC" w14:textId="64C2C25E" w:rsidR="00FB2B8A" w:rsidRDefault="00FB2B8A" w:rsidP="00FB2B8A">
            <w:pPr>
              <w:pStyle w:val="ListParagraph"/>
              <w:numPr>
                <w:ilvl w:val="0"/>
                <w:numId w:val="19"/>
              </w:numPr>
            </w:pPr>
            <w:r>
              <w:t xml:space="preserve">Trends in Marketplace Lending: An Overview, Millennium Trust Company, </w:t>
            </w:r>
            <w:hyperlink r:id="rId33" w:history="1">
              <w:r w:rsidRPr="00035E96">
                <w:rPr>
                  <w:rStyle w:val="Hyperlink"/>
                </w:rPr>
                <w:t>https://www.mtrustcompany.com/sites/default/files/uploads/docs/Marketplace-Lending-Whitepaper.pdf</w:t>
              </w:r>
            </w:hyperlink>
            <w:r>
              <w:t xml:space="preserve"> </w:t>
            </w:r>
          </w:p>
          <w:p w14:paraId="00A085DD" w14:textId="77777777" w:rsidR="00FB2B8A" w:rsidRDefault="00FB2B8A" w:rsidP="00FB2B8A">
            <w:pPr>
              <w:pStyle w:val="ListParagraph"/>
              <w:numPr>
                <w:ilvl w:val="0"/>
                <w:numId w:val="19"/>
              </w:numPr>
            </w:pPr>
            <w:r>
              <w:t xml:space="preserve">Case: Madden v. Midland Funding LLC </w:t>
            </w:r>
          </w:p>
          <w:p w14:paraId="1EA775C1" w14:textId="30FA9715" w:rsidR="00FB2B8A" w:rsidRDefault="002663B1" w:rsidP="00FB2B8A">
            <w:pPr>
              <w:pStyle w:val="ListParagraph"/>
            </w:pPr>
            <w:hyperlink r:id="rId34" w:history="1">
              <w:r w:rsidR="00FB2B8A" w:rsidRPr="00035E96">
                <w:rPr>
                  <w:rStyle w:val="Hyperlink"/>
                </w:rPr>
                <w:t>https://caselaw.findlaw.com/us-2nd-circuit/1701613.html</w:t>
              </w:r>
            </w:hyperlink>
            <w:r w:rsidR="00FB2B8A">
              <w:t xml:space="preserve"> </w:t>
            </w:r>
          </w:p>
          <w:p w14:paraId="4D175022" w14:textId="0979D66D" w:rsidR="00FB2B8A" w:rsidRDefault="00FB2B8A" w:rsidP="00FB2B8A">
            <w:pPr>
              <w:pStyle w:val="ListParagraph"/>
              <w:numPr>
                <w:ilvl w:val="0"/>
                <w:numId w:val="19"/>
              </w:numPr>
            </w:pPr>
            <w:r>
              <w:t xml:space="preserve">Federal banking Regulators Can and Should Resolve Madden and True Lender Developments, Davis Polk, </w:t>
            </w:r>
            <w:hyperlink r:id="rId35" w:history="1">
              <w:r w:rsidRPr="00035E96">
                <w:rPr>
                  <w:rStyle w:val="Hyperlink"/>
                </w:rPr>
                <w:t>https://www.davispolk.com/sites/default/files/madden-true-lender-federal-regulatory-fix-whitepaper_final.pdf</w:t>
              </w:r>
            </w:hyperlink>
            <w:r>
              <w:t xml:space="preserve"> </w:t>
            </w:r>
          </w:p>
          <w:p w14:paraId="4980F1A6" w14:textId="77777777" w:rsidR="00FB2B8A" w:rsidRDefault="00FB2B8A" w:rsidP="00FB2B8A"/>
          <w:p w14:paraId="4D739074" w14:textId="72C3578D" w:rsidR="00FB2B8A" w:rsidRDefault="00FB2B8A" w:rsidP="00FB2B8A">
            <w:r>
              <w:t xml:space="preserve">Optional readings: </w:t>
            </w:r>
          </w:p>
          <w:p w14:paraId="4B02ABCA" w14:textId="3DAEC064" w:rsidR="00FB2B8A" w:rsidRDefault="00FB2B8A" w:rsidP="00FB2B8A">
            <w:pPr>
              <w:pStyle w:val="ListParagraph"/>
              <w:numPr>
                <w:ilvl w:val="0"/>
                <w:numId w:val="21"/>
              </w:numPr>
            </w:pPr>
            <w:r>
              <w:t xml:space="preserve">District Court Upholds OCC and FDIC’s “Valid when Made” Rules, Skadden, </w:t>
            </w:r>
            <w:hyperlink r:id="rId36" w:history="1">
              <w:r w:rsidRPr="00035E96">
                <w:rPr>
                  <w:rStyle w:val="Hyperlink"/>
                </w:rPr>
                <w:t>https://www.skadden.com/insights/publications/2022/02/district-court-upholds-occ-and-fdic-valid-when-made-rules</w:t>
              </w:r>
            </w:hyperlink>
            <w:r>
              <w:t xml:space="preserve"> </w:t>
            </w:r>
          </w:p>
          <w:p w14:paraId="74178980" w14:textId="7CEBA9C3" w:rsidR="00FB2B8A" w:rsidRDefault="00FB2B8A" w:rsidP="00FB2B8A">
            <w:pPr>
              <w:pStyle w:val="ListParagraph"/>
              <w:numPr>
                <w:ilvl w:val="0"/>
                <w:numId w:val="21"/>
              </w:numPr>
            </w:pPr>
            <w:r>
              <w:t xml:space="preserve">Fintech Credit, Bank for International Settlement, </w:t>
            </w:r>
            <w:hyperlink r:id="rId37" w:history="1">
              <w:r w:rsidRPr="00035E96">
                <w:rPr>
                  <w:rStyle w:val="Hyperlink"/>
                </w:rPr>
                <w:t>https://www.bis.org/publ/cgfs_fsb1.pdf</w:t>
              </w:r>
            </w:hyperlink>
            <w:r>
              <w:t xml:space="preserve"> </w:t>
            </w:r>
          </w:p>
          <w:p w14:paraId="531C976B" w14:textId="77777777" w:rsidR="00FB2B8A" w:rsidRDefault="00FB2B8A" w:rsidP="00FB2B8A"/>
        </w:tc>
      </w:tr>
      <w:tr w:rsidR="00FB2B8A" w14:paraId="54962691" w14:textId="77777777" w:rsidTr="00C14F42">
        <w:tc>
          <w:tcPr>
            <w:tcW w:w="985" w:type="dxa"/>
          </w:tcPr>
          <w:p w14:paraId="5748DFA3" w14:textId="61FDA49D" w:rsidR="00FB2B8A" w:rsidRDefault="00FB2B8A" w:rsidP="00FB2B8A">
            <w:r>
              <w:t>Feb 23</w:t>
            </w:r>
          </w:p>
          <w:p w14:paraId="4A922A26" w14:textId="77777777" w:rsidR="00FB2B8A" w:rsidRDefault="00FB2B8A" w:rsidP="00FB2B8A">
            <w:r>
              <w:t xml:space="preserve">#12 </w:t>
            </w:r>
          </w:p>
          <w:p w14:paraId="79E421E9" w14:textId="55B2E1ED" w:rsidR="00FB2B8A" w:rsidRDefault="00FB2B8A" w:rsidP="00FB2B8A"/>
        </w:tc>
        <w:tc>
          <w:tcPr>
            <w:tcW w:w="8363" w:type="dxa"/>
          </w:tcPr>
          <w:p w14:paraId="48B9B95A" w14:textId="23E8BA90" w:rsidR="00FB2B8A" w:rsidRPr="00F42A4F" w:rsidRDefault="00FB2B8A" w:rsidP="00FB2B8A">
            <w:pPr>
              <w:rPr>
                <w:b/>
                <w:bCs/>
              </w:rPr>
            </w:pPr>
            <w:r w:rsidRPr="00F42A4F">
              <w:rPr>
                <w:b/>
                <w:bCs/>
              </w:rPr>
              <w:t>Marketplace Lending</w:t>
            </w:r>
            <w:r>
              <w:rPr>
                <w:b/>
                <w:bCs/>
              </w:rPr>
              <w:t xml:space="preserve"> II</w:t>
            </w:r>
            <w:r w:rsidRPr="00F42A4F">
              <w:rPr>
                <w:b/>
                <w:bCs/>
              </w:rPr>
              <w:t xml:space="preserve"> </w:t>
            </w:r>
          </w:p>
          <w:p w14:paraId="5E065336" w14:textId="77777777" w:rsidR="00FB2B8A" w:rsidRDefault="00C50E26" w:rsidP="00FB2B8A">
            <w:pPr>
              <w:rPr>
                <w:b/>
                <w:bCs/>
              </w:rPr>
            </w:pPr>
            <w:r>
              <w:rPr>
                <w:b/>
                <w:bCs/>
              </w:rPr>
              <w:t xml:space="preserve">Credit scoring and anti-discrimination </w:t>
            </w:r>
          </w:p>
          <w:p w14:paraId="78F1CFD8" w14:textId="77777777" w:rsidR="001200C0" w:rsidRDefault="001200C0" w:rsidP="00FB2B8A">
            <w:pPr>
              <w:rPr>
                <w:b/>
                <w:bCs/>
              </w:rPr>
            </w:pPr>
          </w:p>
          <w:p w14:paraId="717D318C" w14:textId="77777777" w:rsidR="001200C0" w:rsidRDefault="001200C0" w:rsidP="00FB2B8A">
            <w:pPr>
              <w:rPr>
                <w:b/>
                <w:bCs/>
              </w:rPr>
            </w:pPr>
            <w:r>
              <w:rPr>
                <w:b/>
                <w:bCs/>
              </w:rPr>
              <w:t xml:space="preserve">Guest </w:t>
            </w:r>
            <w:r w:rsidR="007B01B0">
              <w:rPr>
                <w:b/>
                <w:bCs/>
              </w:rPr>
              <w:t>Lecturer</w:t>
            </w:r>
            <w:r>
              <w:rPr>
                <w:b/>
                <w:bCs/>
              </w:rPr>
              <w:t xml:space="preserve">: Professor Katja </w:t>
            </w:r>
            <w:proofErr w:type="spellStart"/>
            <w:r w:rsidR="007B01B0">
              <w:rPr>
                <w:b/>
                <w:bCs/>
              </w:rPr>
              <w:t>Langenbucher</w:t>
            </w:r>
            <w:proofErr w:type="spellEnd"/>
          </w:p>
          <w:p w14:paraId="3FF5D26B" w14:textId="60748773" w:rsidR="007B01B0" w:rsidRPr="003C22F9" w:rsidRDefault="007B01B0" w:rsidP="00FB2B8A">
            <w:pPr>
              <w:rPr>
                <w:b/>
                <w:bCs/>
              </w:rPr>
            </w:pPr>
          </w:p>
        </w:tc>
      </w:tr>
      <w:tr w:rsidR="00FB2B8A" w14:paraId="3DFCBB78" w14:textId="77777777" w:rsidTr="00C14F42">
        <w:tc>
          <w:tcPr>
            <w:tcW w:w="985" w:type="dxa"/>
          </w:tcPr>
          <w:p w14:paraId="5414322C" w14:textId="01789866" w:rsidR="00FB2B8A" w:rsidRDefault="00FB2B8A" w:rsidP="00FB2B8A">
            <w:r>
              <w:t>Feb 28</w:t>
            </w:r>
          </w:p>
          <w:p w14:paraId="7B54DB1D" w14:textId="48788F09" w:rsidR="00FB2B8A" w:rsidRDefault="00FB2B8A" w:rsidP="00FB2B8A">
            <w:r>
              <w:t>#13</w:t>
            </w:r>
          </w:p>
          <w:p w14:paraId="7F54F2B8" w14:textId="6467C09B" w:rsidR="00FB2B8A" w:rsidRDefault="00FB2B8A" w:rsidP="00FB2B8A"/>
        </w:tc>
        <w:tc>
          <w:tcPr>
            <w:tcW w:w="8363" w:type="dxa"/>
          </w:tcPr>
          <w:p w14:paraId="2F102426" w14:textId="54B210B1" w:rsidR="00FB2B8A" w:rsidRDefault="00FB2B8A" w:rsidP="00FB2B8A">
            <w:pPr>
              <w:rPr>
                <w:b/>
                <w:bCs/>
              </w:rPr>
            </w:pPr>
            <w:r>
              <w:rPr>
                <w:b/>
                <w:bCs/>
              </w:rPr>
              <w:t>Marketplace Lending III</w:t>
            </w:r>
          </w:p>
          <w:p w14:paraId="4E37372F" w14:textId="77777777" w:rsidR="004600ED" w:rsidRDefault="004600ED" w:rsidP="00FB2B8A">
            <w:pPr>
              <w:rPr>
                <w:b/>
                <w:bCs/>
              </w:rPr>
            </w:pPr>
          </w:p>
          <w:p w14:paraId="53F9FC30" w14:textId="77777777" w:rsidR="004631FF" w:rsidRDefault="004631FF" w:rsidP="004631FF">
            <w:pPr>
              <w:pStyle w:val="ListParagraph"/>
              <w:numPr>
                <w:ilvl w:val="0"/>
                <w:numId w:val="31"/>
              </w:numPr>
            </w:pPr>
            <w:r>
              <w:t>Fintech Law, the Case Studies</w:t>
            </w:r>
          </w:p>
          <w:p w14:paraId="384CA4FD" w14:textId="77777777" w:rsidR="004631FF" w:rsidRDefault="004631FF" w:rsidP="004631FF">
            <w:pPr>
              <w:pStyle w:val="ListParagraph"/>
              <w:numPr>
                <w:ilvl w:val="1"/>
                <w:numId w:val="30"/>
              </w:numPr>
            </w:pPr>
            <w:r>
              <w:t xml:space="preserve"> Lending club:2008, P 25-36</w:t>
            </w:r>
          </w:p>
          <w:p w14:paraId="6F6258CC" w14:textId="77777777" w:rsidR="004631FF" w:rsidRDefault="004631FF" w:rsidP="004631FF">
            <w:pPr>
              <w:pStyle w:val="ListParagraph"/>
              <w:numPr>
                <w:ilvl w:val="0"/>
                <w:numId w:val="31"/>
              </w:numPr>
            </w:pPr>
            <w:r>
              <w:t xml:space="preserve">Fintech Law in a Nutshell </w:t>
            </w:r>
          </w:p>
          <w:p w14:paraId="2AF5709D" w14:textId="77777777" w:rsidR="004631FF" w:rsidRDefault="004631FF" w:rsidP="004631FF">
            <w:pPr>
              <w:pStyle w:val="ListParagraph"/>
              <w:numPr>
                <w:ilvl w:val="1"/>
                <w:numId w:val="30"/>
              </w:numPr>
            </w:pPr>
            <w:r>
              <w:t>Chapter 5, Marketplace Lending, P351-361</w:t>
            </w:r>
          </w:p>
          <w:p w14:paraId="1FA82490" w14:textId="77777777" w:rsidR="004600ED" w:rsidRDefault="004600ED" w:rsidP="004600ED">
            <w:pPr>
              <w:pStyle w:val="ListParagraph"/>
              <w:numPr>
                <w:ilvl w:val="0"/>
                <w:numId w:val="31"/>
              </w:numPr>
            </w:pPr>
            <w:r>
              <w:t xml:space="preserve">Case: People of the State of California, et al., v. Federal Deposit Insurance Corp., </w:t>
            </w:r>
          </w:p>
          <w:p w14:paraId="108F635C" w14:textId="77777777" w:rsidR="004600ED" w:rsidRDefault="002663B1" w:rsidP="004600ED">
            <w:pPr>
              <w:pStyle w:val="ListParagraph"/>
            </w:pPr>
            <w:hyperlink r:id="rId38" w:history="1">
              <w:r w:rsidR="004600ED" w:rsidRPr="00035E96">
                <w:rPr>
                  <w:rStyle w:val="Hyperlink"/>
                </w:rPr>
                <w:t>https://casetext.com/case/people-v-fed-deposit-ins-corp</w:t>
              </w:r>
            </w:hyperlink>
            <w:r w:rsidR="004600ED">
              <w:t xml:space="preserve"> </w:t>
            </w:r>
          </w:p>
          <w:p w14:paraId="67E378FE" w14:textId="77777777" w:rsidR="004600ED" w:rsidRDefault="004600ED" w:rsidP="004600ED">
            <w:pPr>
              <w:pStyle w:val="ListParagraph"/>
              <w:numPr>
                <w:ilvl w:val="0"/>
                <w:numId w:val="31"/>
              </w:numPr>
            </w:pPr>
            <w:r>
              <w:t xml:space="preserve">Case: People of the State of California, et al., v. the Office of the Comptroller of the Currency, et al., </w:t>
            </w:r>
          </w:p>
          <w:p w14:paraId="243EFE22" w14:textId="53BEE340" w:rsidR="004600ED" w:rsidRDefault="002663B1" w:rsidP="004600ED">
            <w:pPr>
              <w:pStyle w:val="ListParagraph"/>
            </w:pPr>
            <w:hyperlink r:id="rId39" w:history="1">
              <w:r w:rsidR="004600ED" w:rsidRPr="00035E96">
                <w:rPr>
                  <w:rStyle w:val="Hyperlink"/>
                </w:rPr>
                <w:t>https://www.morganlewis.com/-/media/files/supplemental/2022/california-v-occ-decision-finreg-blog-pdf.pdf</w:t>
              </w:r>
            </w:hyperlink>
            <w:r w:rsidR="004600ED">
              <w:t xml:space="preserve"> </w:t>
            </w:r>
          </w:p>
          <w:p w14:paraId="78F083C9" w14:textId="2DA0731C" w:rsidR="002765D0" w:rsidRPr="002765D0" w:rsidRDefault="002765D0" w:rsidP="004631FF">
            <w:pPr>
              <w:pStyle w:val="ListParagraph"/>
              <w:ind w:left="1440"/>
            </w:pPr>
          </w:p>
        </w:tc>
      </w:tr>
      <w:tr w:rsidR="00FB2B8A" w14:paraId="7C700B5F" w14:textId="77777777" w:rsidTr="00C14F42">
        <w:tc>
          <w:tcPr>
            <w:tcW w:w="985" w:type="dxa"/>
          </w:tcPr>
          <w:p w14:paraId="11715DA1" w14:textId="5D1459A4" w:rsidR="00FB2B8A" w:rsidRDefault="00FB2B8A" w:rsidP="00FB2B8A">
            <w:r>
              <w:lastRenderedPageBreak/>
              <w:t>Feb 30</w:t>
            </w:r>
          </w:p>
          <w:p w14:paraId="4E9C040B" w14:textId="0E545E50" w:rsidR="00FB2B8A" w:rsidRDefault="00FB2B8A" w:rsidP="00FB2B8A">
            <w:r>
              <w:t>#14</w:t>
            </w:r>
          </w:p>
        </w:tc>
        <w:tc>
          <w:tcPr>
            <w:tcW w:w="8363" w:type="dxa"/>
          </w:tcPr>
          <w:p w14:paraId="2B277FFC" w14:textId="270D79A8" w:rsidR="00FB2B8A" w:rsidRPr="003C22F9" w:rsidRDefault="00FB2B8A" w:rsidP="00FB2B8A">
            <w:pPr>
              <w:rPr>
                <w:b/>
                <w:bCs/>
              </w:rPr>
            </w:pPr>
            <w:r w:rsidRPr="003C22F9">
              <w:rPr>
                <w:b/>
                <w:bCs/>
              </w:rPr>
              <w:t>Case Study</w:t>
            </w:r>
            <w:r>
              <w:rPr>
                <w:b/>
                <w:bCs/>
              </w:rPr>
              <w:t>:</w:t>
            </w:r>
            <w:r w:rsidRPr="003C22F9">
              <w:rPr>
                <w:b/>
                <w:bCs/>
              </w:rPr>
              <w:t xml:space="preserve"> Strategic Options and Legal Risks for Elite </w:t>
            </w:r>
            <w:proofErr w:type="spellStart"/>
            <w:r w:rsidRPr="003C22F9">
              <w:rPr>
                <w:b/>
                <w:bCs/>
              </w:rPr>
              <w:t>ReFi</w:t>
            </w:r>
            <w:proofErr w:type="spellEnd"/>
            <w:r w:rsidRPr="003C22F9">
              <w:rPr>
                <w:b/>
                <w:bCs/>
              </w:rPr>
              <w:t xml:space="preserve">, Inc. </w:t>
            </w:r>
          </w:p>
          <w:p w14:paraId="2565ADF5" w14:textId="77777777" w:rsidR="00FB2B8A" w:rsidRDefault="00FB2B8A" w:rsidP="00FB2B8A">
            <w:pPr>
              <w:autoSpaceDE w:val="0"/>
              <w:autoSpaceDN w:val="0"/>
              <w:adjustRightInd w:val="0"/>
              <w:rPr>
                <w:rFonts w:eastAsiaTheme="minorEastAsia"/>
                <w:sz w:val="23"/>
                <w:szCs w:val="23"/>
              </w:rPr>
            </w:pPr>
          </w:p>
          <w:p w14:paraId="48CF4773" w14:textId="77777777" w:rsidR="00FB2B8A" w:rsidRDefault="00FB2B8A" w:rsidP="00FB2B8A">
            <w:pPr>
              <w:autoSpaceDE w:val="0"/>
              <w:autoSpaceDN w:val="0"/>
              <w:adjustRightInd w:val="0"/>
              <w:rPr>
                <w:rFonts w:eastAsiaTheme="minorEastAsia"/>
                <w:sz w:val="23"/>
                <w:szCs w:val="23"/>
              </w:rPr>
            </w:pPr>
            <w:r>
              <w:rPr>
                <w:rFonts w:eastAsiaTheme="minorEastAsia"/>
                <w:sz w:val="23"/>
                <w:szCs w:val="23"/>
              </w:rPr>
              <w:t>A marketplace lender attempts to negotiate legal uncertainties arising out of the Madden litigation and its aftermath.</w:t>
            </w:r>
          </w:p>
          <w:p w14:paraId="525405D1" w14:textId="77777777" w:rsidR="00FB2B8A" w:rsidRPr="00F42A4F" w:rsidRDefault="00FB2B8A" w:rsidP="00FB2B8A">
            <w:pPr>
              <w:rPr>
                <w:b/>
                <w:bCs/>
              </w:rPr>
            </w:pPr>
          </w:p>
        </w:tc>
      </w:tr>
      <w:tr w:rsidR="00FB2B8A" w14:paraId="7758974E" w14:textId="77777777" w:rsidTr="00C14F42">
        <w:tc>
          <w:tcPr>
            <w:tcW w:w="985" w:type="dxa"/>
          </w:tcPr>
          <w:p w14:paraId="071C80A3" w14:textId="4E882EF1" w:rsidR="00FB2B8A" w:rsidRDefault="00FB2B8A" w:rsidP="00FB2B8A">
            <w:r>
              <w:t>Mar 2</w:t>
            </w:r>
          </w:p>
          <w:p w14:paraId="4A8642EA" w14:textId="6B7F9D17" w:rsidR="00FB2B8A" w:rsidRDefault="00FB2B8A" w:rsidP="00FB2B8A">
            <w:r>
              <w:t>#15</w:t>
            </w:r>
          </w:p>
        </w:tc>
        <w:tc>
          <w:tcPr>
            <w:tcW w:w="8363" w:type="dxa"/>
          </w:tcPr>
          <w:p w14:paraId="442C14ED" w14:textId="77777777" w:rsidR="00FB2B8A" w:rsidRDefault="00FB2B8A" w:rsidP="00FB2B8A">
            <w:pPr>
              <w:rPr>
                <w:b/>
                <w:bCs/>
              </w:rPr>
            </w:pPr>
            <w:r w:rsidRPr="003C22F9">
              <w:rPr>
                <w:b/>
                <w:bCs/>
              </w:rPr>
              <w:t>Case Study</w:t>
            </w:r>
            <w:r>
              <w:rPr>
                <w:b/>
                <w:bCs/>
              </w:rPr>
              <w:t xml:space="preserve">: </w:t>
            </w:r>
            <w:r w:rsidRPr="003C22F9">
              <w:rPr>
                <w:b/>
                <w:bCs/>
              </w:rPr>
              <w:t xml:space="preserve">Strategic Options and Legal Risks for Elite </w:t>
            </w:r>
            <w:proofErr w:type="spellStart"/>
            <w:r w:rsidRPr="003C22F9">
              <w:rPr>
                <w:b/>
                <w:bCs/>
              </w:rPr>
              <w:t>ReFi</w:t>
            </w:r>
            <w:proofErr w:type="spellEnd"/>
            <w:r w:rsidRPr="003C22F9">
              <w:rPr>
                <w:b/>
                <w:bCs/>
              </w:rPr>
              <w:t>, Inc.</w:t>
            </w:r>
          </w:p>
          <w:p w14:paraId="1BC1DD6E" w14:textId="28BDEAF9" w:rsidR="00FB2B8A" w:rsidRPr="00F42A4F" w:rsidRDefault="00FB2B8A" w:rsidP="00FB2B8A">
            <w:pPr>
              <w:rPr>
                <w:b/>
                <w:bCs/>
              </w:rPr>
            </w:pPr>
            <w:r>
              <w:rPr>
                <w:b/>
                <w:bCs/>
              </w:rPr>
              <w:t xml:space="preserve">Peer feedback </w:t>
            </w:r>
          </w:p>
        </w:tc>
      </w:tr>
      <w:tr w:rsidR="00FB2B8A" w14:paraId="5B9FA0F3" w14:textId="77777777" w:rsidTr="00C14F42">
        <w:tc>
          <w:tcPr>
            <w:tcW w:w="985" w:type="dxa"/>
          </w:tcPr>
          <w:p w14:paraId="6707AEF2" w14:textId="45DC0237" w:rsidR="00FB2B8A" w:rsidRDefault="00FB2B8A" w:rsidP="00FB2B8A">
            <w:r>
              <w:t>Mar 7</w:t>
            </w:r>
          </w:p>
          <w:p w14:paraId="3EA80845" w14:textId="090820A3" w:rsidR="00FB2B8A" w:rsidRDefault="00FB2B8A" w:rsidP="00FB2B8A">
            <w:r>
              <w:t>#16</w:t>
            </w:r>
          </w:p>
        </w:tc>
        <w:tc>
          <w:tcPr>
            <w:tcW w:w="8363" w:type="dxa"/>
          </w:tcPr>
          <w:p w14:paraId="6B4BF269" w14:textId="553C5155" w:rsidR="00FB2B8A" w:rsidRPr="00FB2B8A" w:rsidRDefault="00FB2B8A" w:rsidP="00FB2B8A">
            <w:pPr>
              <w:rPr>
                <w:b/>
                <w:bCs/>
              </w:rPr>
            </w:pPr>
            <w:r w:rsidRPr="00F42A4F">
              <w:rPr>
                <w:b/>
                <w:bCs/>
              </w:rPr>
              <w:t>Mobile Payment</w:t>
            </w:r>
            <w:r>
              <w:rPr>
                <w:b/>
                <w:bCs/>
              </w:rPr>
              <w:t>s</w:t>
            </w:r>
            <w:r w:rsidRPr="00F42A4F">
              <w:rPr>
                <w:b/>
                <w:bCs/>
              </w:rPr>
              <w:t xml:space="preserve"> </w:t>
            </w:r>
          </w:p>
        </w:tc>
      </w:tr>
      <w:tr w:rsidR="00FB2B8A" w14:paraId="6636DDCA" w14:textId="77777777" w:rsidTr="00C14F42">
        <w:tc>
          <w:tcPr>
            <w:tcW w:w="985" w:type="dxa"/>
          </w:tcPr>
          <w:p w14:paraId="57EC6F9B" w14:textId="77777777" w:rsidR="00FB2B8A" w:rsidRDefault="00FB2B8A" w:rsidP="00FB2B8A">
            <w:r>
              <w:t>Mar 9</w:t>
            </w:r>
          </w:p>
          <w:p w14:paraId="24827DDA" w14:textId="77777777" w:rsidR="00FB2B8A" w:rsidRDefault="00FB2B8A" w:rsidP="00FB2B8A">
            <w:r>
              <w:t>#17</w:t>
            </w:r>
          </w:p>
          <w:p w14:paraId="2CB6501E" w14:textId="77777777" w:rsidR="00FB2B8A" w:rsidRDefault="00FB2B8A" w:rsidP="00FB2B8A"/>
        </w:tc>
        <w:tc>
          <w:tcPr>
            <w:tcW w:w="8363" w:type="dxa"/>
          </w:tcPr>
          <w:p w14:paraId="6773C470" w14:textId="77777777" w:rsidR="00FB2B8A" w:rsidRDefault="00FB2B8A" w:rsidP="00FB2B8A">
            <w:pPr>
              <w:rPr>
                <w:b/>
                <w:bCs/>
              </w:rPr>
            </w:pPr>
            <w:r>
              <w:rPr>
                <w:b/>
                <w:bCs/>
              </w:rPr>
              <w:t>NO CLASS</w:t>
            </w:r>
          </w:p>
          <w:p w14:paraId="692C5E9F" w14:textId="1947127D" w:rsidR="00FB2B8A" w:rsidRPr="00F42A4F" w:rsidRDefault="00FB2B8A" w:rsidP="00FB2B8A">
            <w:pPr>
              <w:rPr>
                <w:b/>
                <w:bCs/>
              </w:rPr>
            </w:pPr>
            <w:r>
              <w:rPr>
                <w:b/>
                <w:bCs/>
              </w:rPr>
              <w:t xml:space="preserve">MAKEUP TBD </w:t>
            </w:r>
          </w:p>
        </w:tc>
      </w:tr>
      <w:tr w:rsidR="00FB2B8A" w14:paraId="226BDEA2" w14:textId="77777777" w:rsidTr="00C14F42">
        <w:tc>
          <w:tcPr>
            <w:tcW w:w="985" w:type="dxa"/>
          </w:tcPr>
          <w:p w14:paraId="36CA961F" w14:textId="2DFCB35B" w:rsidR="00FB2B8A" w:rsidRDefault="00FB2B8A" w:rsidP="00FB2B8A">
            <w:r>
              <w:t>Mar 21</w:t>
            </w:r>
          </w:p>
          <w:p w14:paraId="73CC3C4B" w14:textId="16567350" w:rsidR="00FB2B8A" w:rsidRDefault="00FB2B8A" w:rsidP="00FB2B8A">
            <w:r>
              <w:t>#18</w:t>
            </w:r>
          </w:p>
          <w:p w14:paraId="15EE7F65" w14:textId="747139FD" w:rsidR="00FB2B8A" w:rsidRDefault="00FB2B8A" w:rsidP="00FB2B8A"/>
        </w:tc>
        <w:tc>
          <w:tcPr>
            <w:tcW w:w="8363" w:type="dxa"/>
          </w:tcPr>
          <w:p w14:paraId="54BADC7A" w14:textId="60065FB3" w:rsidR="00FB2B8A" w:rsidRPr="00F42A4F" w:rsidRDefault="00FB2B8A" w:rsidP="00FB2B8A">
            <w:pPr>
              <w:rPr>
                <w:b/>
                <w:bCs/>
              </w:rPr>
            </w:pPr>
            <w:r w:rsidRPr="00F42A4F">
              <w:rPr>
                <w:b/>
                <w:bCs/>
              </w:rPr>
              <w:t>Mobile Payment</w:t>
            </w:r>
            <w:r>
              <w:rPr>
                <w:b/>
                <w:bCs/>
              </w:rPr>
              <w:t>s II</w:t>
            </w:r>
            <w:r w:rsidRPr="00F42A4F">
              <w:rPr>
                <w:b/>
                <w:bCs/>
              </w:rPr>
              <w:t xml:space="preserve"> </w:t>
            </w:r>
          </w:p>
          <w:p w14:paraId="7999F57E" w14:textId="006E5EFB" w:rsidR="00FB2B8A" w:rsidRPr="00F42A4F" w:rsidRDefault="00FB2B8A" w:rsidP="00FB2B8A">
            <w:pPr>
              <w:rPr>
                <w:b/>
                <w:bCs/>
              </w:rPr>
            </w:pPr>
            <w:r w:rsidRPr="00F42A4F">
              <w:rPr>
                <w:b/>
                <w:bCs/>
              </w:rPr>
              <w:t xml:space="preserve">Digital </w:t>
            </w:r>
            <w:r>
              <w:rPr>
                <w:b/>
                <w:bCs/>
              </w:rPr>
              <w:t>Currencies</w:t>
            </w:r>
            <w:r w:rsidRPr="00F42A4F">
              <w:rPr>
                <w:b/>
                <w:bCs/>
              </w:rPr>
              <w:t xml:space="preserve"> and Decentralized Payments </w:t>
            </w:r>
          </w:p>
        </w:tc>
      </w:tr>
      <w:tr w:rsidR="00FB2B8A" w14:paraId="46A6389D" w14:textId="77777777" w:rsidTr="00C14F42">
        <w:tc>
          <w:tcPr>
            <w:tcW w:w="985" w:type="dxa"/>
          </w:tcPr>
          <w:p w14:paraId="74179896" w14:textId="77777777" w:rsidR="00FB2B8A" w:rsidRDefault="00FB2B8A" w:rsidP="00FB2B8A">
            <w:r>
              <w:t>Mar 23</w:t>
            </w:r>
          </w:p>
          <w:p w14:paraId="1F48AA12" w14:textId="0F43CF17" w:rsidR="00FB2B8A" w:rsidRDefault="00FB2B8A" w:rsidP="00FB2B8A">
            <w:r>
              <w:t>#19</w:t>
            </w:r>
          </w:p>
        </w:tc>
        <w:tc>
          <w:tcPr>
            <w:tcW w:w="8363" w:type="dxa"/>
          </w:tcPr>
          <w:p w14:paraId="1438227B" w14:textId="4510B1C1" w:rsidR="00FB2B8A" w:rsidRPr="00F42A4F" w:rsidRDefault="00FB2B8A" w:rsidP="00FB2B8A">
            <w:pPr>
              <w:rPr>
                <w:b/>
                <w:bCs/>
              </w:rPr>
            </w:pPr>
            <w:r w:rsidRPr="00F42A4F">
              <w:rPr>
                <w:b/>
                <w:bCs/>
              </w:rPr>
              <w:t>Mobile Payment</w:t>
            </w:r>
            <w:r>
              <w:rPr>
                <w:b/>
                <w:bCs/>
              </w:rPr>
              <w:t>s III</w:t>
            </w:r>
            <w:r w:rsidRPr="00F42A4F">
              <w:rPr>
                <w:b/>
                <w:bCs/>
              </w:rPr>
              <w:t xml:space="preserve"> </w:t>
            </w:r>
          </w:p>
          <w:p w14:paraId="41B13760" w14:textId="045839DE" w:rsidR="00FB2B8A" w:rsidRPr="003C22F9" w:rsidRDefault="00FB2B8A" w:rsidP="00FB2B8A">
            <w:pPr>
              <w:rPr>
                <w:b/>
                <w:bCs/>
              </w:rPr>
            </w:pPr>
            <w:r>
              <w:rPr>
                <w:b/>
                <w:bCs/>
              </w:rPr>
              <w:t xml:space="preserve">Anti-Money Laundering and Compliance </w:t>
            </w:r>
          </w:p>
        </w:tc>
      </w:tr>
      <w:tr w:rsidR="00FB2B8A" w14:paraId="2A620479" w14:textId="77777777" w:rsidTr="00C14F42">
        <w:tc>
          <w:tcPr>
            <w:tcW w:w="985" w:type="dxa"/>
          </w:tcPr>
          <w:p w14:paraId="49088058" w14:textId="77777777" w:rsidR="00FB2B8A" w:rsidRDefault="00FB2B8A" w:rsidP="00FB2B8A">
            <w:r>
              <w:t>Mar 28</w:t>
            </w:r>
          </w:p>
          <w:p w14:paraId="5661C3AB" w14:textId="5D74B9C4" w:rsidR="00FB2B8A" w:rsidRDefault="00FB2B8A" w:rsidP="00FB2B8A">
            <w:r>
              <w:t>#20</w:t>
            </w:r>
          </w:p>
        </w:tc>
        <w:tc>
          <w:tcPr>
            <w:tcW w:w="8363" w:type="dxa"/>
          </w:tcPr>
          <w:p w14:paraId="7F9C4DCF" w14:textId="3191CE98" w:rsidR="00FB2B8A" w:rsidRDefault="00FB2B8A" w:rsidP="00FB2B8A">
            <w:r w:rsidRPr="00FB2B8A">
              <w:rPr>
                <w:b/>
                <w:bCs/>
              </w:rPr>
              <w:t>Case study 2 Mobile Payments for the Developing World: Presentation</w:t>
            </w:r>
          </w:p>
        </w:tc>
      </w:tr>
      <w:tr w:rsidR="00FB2B8A" w14:paraId="26A40AD0" w14:textId="77777777" w:rsidTr="00C14F42">
        <w:tc>
          <w:tcPr>
            <w:tcW w:w="985" w:type="dxa"/>
          </w:tcPr>
          <w:p w14:paraId="529F6776" w14:textId="77777777" w:rsidR="00FB2B8A" w:rsidRDefault="00FB2B8A" w:rsidP="00FB2B8A">
            <w:r>
              <w:t>Mar 30</w:t>
            </w:r>
          </w:p>
          <w:p w14:paraId="71D6B799" w14:textId="32B3F464" w:rsidR="00FB2B8A" w:rsidRDefault="00FB2B8A" w:rsidP="00FB2B8A">
            <w:r>
              <w:t>#21</w:t>
            </w:r>
          </w:p>
        </w:tc>
        <w:tc>
          <w:tcPr>
            <w:tcW w:w="8363" w:type="dxa"/>
          </w:tcPr>
          <w:p w14:paraId="2DAB7B40" w14:textId="4AEF9EC1" w:rsidR="00FB2B8A" w:rsidRPr="00FB2B8A" w:rsidRDefault="00FB2B8A" w:rsidP="00FB2B8A">
            <w:pPr>
              <w:rPr>
                <w:b/>
                <w:bCs/>
              </w:rPr>
            </w:pPr>
            <w:r w:rsidRPr="00FB2B8A">
              <w:rPr>
                <w:b/>
                <w:bCs/>
              </w:rPr>
              <w:t xml:space="preserve">Case study 2 Mobile Payments for the Developing World: Presentation </w:t>
            </w:r>
          </w:p>
        </w:tc>
      </w:tr>
      <w:tr w:rsidR="00FB2B8A" w14:paraId="1F5411AE" w14:textId="77777777" w:rsidTr="00C14F42">
        <w:tc>
          <w:tcPr>
            <w:tcW w:w="985" w:type="dxa"/>
          </w:tcPr>
          <w:p w14:paraId="4B90BEBC" w14:textId="77777777" w:rsidR="00FB2B8A" w:rsidRDefault="00FB2B8A" w:rsidP="00FB2B8A">
            <w:r>
              <w:t>Apr 4</w:t>
            </w:r>
          </w:p>
          <w:p w14:paraId="1383E5EA" w14:textId="6404EEDD" w:rsidR="00FB2B8A" w:rsidRDefault="00FB2B8A" w:rsidP="00FB2B8A">
            <w:r>
              <w:t>#22</w:t>
            </w:r>
          </w:p>
        </w:tc>
        <w:tc>
          <w:tcPr>
            <w:tcW w:w="8363" w:type="dxa"/>
          </w:tcPr>
          <w:p w14:paraId="4617EFB7" w14:textId="7332970E" w:rsidR="00FB2B8A" w:rsidRPr="00FB2B8A" w:rsidRDefault="00FB2B8A" w:rsidP="00FB2B8A">
            <w:pPr>
              <w:rPr>
                <w:b/>
                <w:bCs/>
              </w:rPr>
            </w:pPr>
            <w:r>
              <w:rPr>
                <w:b/>
                <w:bCs/>
              </w:rPr>
              <w:t xml:space="preserve">Cybersecurity </w:t>
            </w:r>
          </w:p>
        </w:tc>
      </w:tr>
      <w:tr w:rsidR="00FB2B8A" w14:paraId="2EBFDA8A" w14:textId="77777777" w:rsidTr="00C14F42">
        <w:tc>
          <w:tcPr>
            <w:tcW w:w="985" w:type="dxa"/>
          </w:tcPr>
          <w:p w14:paraId="1009322D" w14:textId="77777777" w:rsidR="00FB2B8A" w:rsidRDefault="00FB2B8A" w:rsidP="00FB2B8A">
            <w:r>
              <w:t>Apr 6</w:t>
            </w:r>
          </w:p>
          <w:p w14:paraId="7E3F88C1" w14:textId="103A6338" w:rsidR="00FB2B8A" w:rsidRDefault="00FB2B8A" w:rsidP="00FB2B8A">
            <w:r>
              <w:t xml:space="preserve">#23 </w:t>
            </w:r>
          </w:p>
        </w:tc>
        <w:tc>
          <w:tcPr>
            <w:tcW w:w="8363" w:type="dxa"/>
          </w:tcPr>
          <w:p w14:paraId="666E40FB" w14:textId="5F6592D9" w:rsidR="00FB2B8A" w:rsidRDefault="00FB2B8A" w:rsidP="00FB2B8A">
            <w:r>
              <w:rPr>
                <w:b/>
                <w:bCs/>
              </w:rPr>
              <w:t>Beyond</w:t>
            </w:r>
            <w:r w:rsidRPr="00F42A4F">
              <w:rPr>
                <w:b/>
                <w:bCs/>
              </w:rPr>
              <w:t xml:space="preserve"> Fintech</w:t>
            </w:r>
            <w:r>
              <w:rPr>
                <w:b/>
                <w:bCs/>
              </w:rPr>
              <w:t xml:space="preserve">: </w:t>
            </w:r>
            <w:proofErr w:type="spellStart"/>
            <w:r>
              <w:rPr>
                <w:b/>
                <w:bCs/>
              </w:rPr>
              <w:t>Suptech</w:t>
            </w:r>
            <w:proofErr w:type="spellEnd"/>
          </w:p>
        </w:tc>
      </w:tr>
      <w:tr w:rsidR="00FB2B8A" w14:paraId="4426FED4" w14:textId="77777777" w:rsidTr="00C14F42">
        <w:tc>
          <w:tcPr>
            <w:tcW w:w="985" w:type="dxa"/>
          </w:tcPr>
          <w:p w14:paraId="354FFAC2" w14:textId="77777777" w:rsidR="00FB2B8A" w:rsidRDefault="00FB2B8A" w:rsidP="00FB2B8A">
            <w:r>
              <w:t>Apr 11</w:t>
            </w:r>
          </w:p>
          <w:p w14:paraId="112FB58E" w14:textId="443616A7" w:rsidR="00FB2B8A" w:rsidRDefault="00FB2B8A" w:rsidP="00FB2B8A">
            <w:r>
              <w:t>#24</w:t>
            </w:r>
          </w:p>
        </w:tc>
        <w:tc>
          <w:tcPr>
            <w:tcW w:w="8363" w:type="dxa"/>
          </w:tcPr>
          <w:p w14:paraId="6E54BEC2" w14:textId="190BCAB6" w:rsidR="00FB2B8A" w:rsidRPr="00F42A4F" w:rsidRDefault="00FB2B8A" w:rsidP="00FB2B8A">
            <w:pPr>
              <w:rPr>
                <w:b/>
                <w:bCs/>
              </w:rPr>
            </w:pPr>
            <w:r>
              <w:rPr>
                <w:b/>
                <w:bCs/>
              </w:rPr>
              <w:t>Beyond</w:t>
            </w:r>
            <w:r w:rsidRPr="00F42A4F">
              <w:rPr>
                <w:b/>
                <w:bCs/>
              </w:rPr>
              <w:t xml:space="preserve"> Fintech</w:t>
            </w:r>
            <w:r>
              <w:rPr>
                <w:b/>
                <w:bCs/>
              </w:rPr>
              <w:t xml:space="preserve">: </w:t>
            </w:r>
            <w:proofErr w:type="spellStart"/>
            <w:r>
              <w:rPr>
                <w:b/>
                <w:bCs/>
              </w:rPr>
              <w:t>Regtech</w:t>
            </w:r>
            <w:proofErr w:type="spellEnd"/>
          </w:p>
        </w:tc>
      </w:tr>
      <w:tr w:rsidR="00FB2B8A" w14:paraId="43ED61C3" w14:textId="77777777" w:rsidTr="00C14F42">
        <w:tc>
          <w:tcPr>
            <w:tcW w:w="985" w:type="dxa"/>
          </w:tcPr>
          <w:p w14:paraId="7BB2EB99" w14:textId="7C3D1BA8" w:rsidR="00FB2B8A" w:rsidRDefault="00FB2B8A" w:rsidP="00FB2B8A">
            <w:r>
              <w:t>Apr 13</w:t>
            </w:r>
          </w:p>
          <w:p w14:paraId="53C3D8DB" w14:textId="6A0FD032" w:rsidR="00FB2B8A" w:rsidRDefault="00FB2B8A" w:rsidP="00FB2B8A">
            <w:r>
              <w:t>#25</w:t>
            </w:r>
          </w:p>
        </w:tc>
        <w:tc>
          <w:tcPr>
            <w:tcW w:w="8363" w:type="dxa"/>
          </w:tcPr>
          <w:p w14:paraId="122D5233" w14:textId="77777777" w:rsidR="00FB2B8A" w:rsidRDefault="00FB2B8A" w:rsidP="00FB2B8A">
            <w:pPr>
              <w:rPr>
                <w:b/>
                <w:bCs/>
              </w:rPr>
            </w:pPr>
            <w:r w:rsidRPr="00F42A4F">
              <w:rPr>
                <w:b/>
                <w:bCs/>
              </w:rPr>
              <w:t xml:space="preserve">The Future of Fintech  </w:t>
            </w:r>
          </w:p>
          <w:p w14:paraId="1B631A1C" w14:textId="77777777" w:rsidR="00FB2B8A" w:rsidRDefault="00FB2B8A" w:rsidP="00FB2B8A"/>
        </w:tc>
      </w:tr>
      <w:tr w:rsidR="00FB2B8A" w14:paraId="263B5490" w14:textId="77777777" w:rsidTr="00C14F42">
        <w:tc>
          <w:tcPr>
            <w:tcW w:w="985" w:type="dxa"/>
          </w:tcPr>
          <w:p w14:paraId="6D2FF936" w14:textId="3371EFA1" w:rsidR="00FB2B8A" w:rsidRDefault="00FB2B8A" w:rsidP="00FB2B8A">
            <w:r>
              <w:lastRenderedPageBreak/>
              <w:t>Apr 18</w:t>
            </w:r>
          </w:p>
          <w:p w14:paraId="1CA6AE14" w14:textId="4F5AE5D5" w:rsidR="00FB2B8A" w:rsidRDefault="00FB2B8A" w:rsidP="00FB2B8A">
            <w:r>
              <w:t>#26</w:t>
            </w:r>
          </w:p>
        </w:tc>
        <w:tc>
          <w:tcPr>
            <w:tcW w:w="8363" w:type="dxa"/>
          </w:tcPr>
          <w:p w14:paraId="2F36A384" w14:textId="77777777" w:rsidR="00FB2B8A" w:rsidRDefault="00FB2B8A" w:rsidP="00FB2B8A">
            <w:pPr>
              <w:rPr>
                <w:b/>
                <w:bCs/>
              </w:rPr>
            </w:pPr>
            <w:r w:rsidRPr="00FB2B8A">
              <w:rPr>
                <w:b/>
                <w:bCs/>
              </w:rPr>
              <w:t xml:space="preserve">Review Session </w:t>
            </w:r>
          </w:p>
          <w:p w14:paraId="4170FA33" w14:textId="5EB6B65B" w:rsidR="00FB2B8A" w:rsidRPr="00FB2B8A" w:rsidRDefault="00FB2B8A" w:rsidP="00FB2B8A">
            <w:pPr>
              <w:rPr>
                <w:b/>
                <w:bCs/>
              </w:rPr>
            </w:pPr>
          </w:p>
        </w:tc>
      </w:tr>
    </w:tbl>
    <w:p w14:paraId="04CC5B85" w14:textId="77777777" w:rsidR="000A717E" w:rsidRDefault="000A717E" w:rsidP="000A717E"/>
    <w:sectPr w:rsidR="000A717E">
      <w:headerReference w:type="even" r:id="rId40"/>
      <w:headerReference w:type="default" r:id="rId41"/>
      <w:footerReference w:type="even" r:id="rId42"/>
      <w:footerReference w:type="default" r:id="rId43"/>
      <w:headerReference w:type="first" r:id="rId44"/>
      <w:footerReference w:type="first" r:id="rId4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D1BC" w14:textId="77777777" w:rsidR="002C3B4F" w:rsidRDefault="002C3B4F">
      <w:r>
        <w:separator/>
      </w:r>
    </w:p>
  </w:endnote>
  <w:endnote w:type="continuationSeparator" w:id="0">
    <w:p w14:paraId="7FCF7469" w14:textId="77777777" w:rsidR="002C3B4F" w:rsidRDefault="002C3B4F">
      <w:r>
        <w:continuationSeparator/>
      </w:r>
    </w:p>
  </w:endnote>
  <w:endnote w:type="continuationNotice" w:id="1">
    <w:p w14:paraId="443567E5" w14:textId="77777777" w:rsidR="002C3B4F" w:rsidRDefault="002C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16C0" w14:textId="77777777" w:rsidR="002C3B4F" w:rsidRDefault="002C3B4F">
      <w:r>
        <w:separator/>
      </w:r>
    </w:p>
  </w:footnote>
  <w:footnote w:type="continuationSeparator" w:id="0">
    <w:p w14:paraId="5F9646B4" w14:textId="77777777" w:rsidR="002C3B4F" w:rsidRDefault="002C3B4F">
      <w:r>
        <w:continuationSeparator/>
      </w:r>
    </w:p>
  </w:footnote>
  <w:footnote w:type="continuationNotice" w:id="1">
    <w:p w14:paraId="1E86B832" w14:textId="77777777" w:rsidR="002C3B4F" w:rsidRDefault="002C3B4F"/>
  </w:footnote>
  <w:footnote w:id="2">
    <w:p w14:paraId="5194327A" w14:textId="77777777" w:rsidR="009667C7" w:rsidRPr="00BF706C" w:rsidRDefault="009667C7" w:rsidP="006A5D34">
      <w:pPr>
        <w:shd w:val="clear" w:color="auto" w:fill="FFFFFF"/>
        <w:rPr>
          <w:color w:val="201F1E"/>
          <w:sz w:val="20"/>
          <w:szCs w:val="20"/>
        </w:rPr>
      </w:pPr>
      <w:r>
        <w:rPr>
          <w:rStyle w:val="FootnoteReference"/>
        </w:rPr>
        <w:footnoteRef/>
      </w:r>
      <w:r>
        <w:t xml:space="preserve"> </w:t>
      </w:r>
      <w:r w:rsidRPr="00BF706C">
        <w:rPr>
          <w:color w:val="201F1E"/>
          <w:sz w:val="20"/>
          <w:szCs w:val="20"/>
          <w:bdr w:val="none" w:sz="0" w:space="0" w:color="auto" w:frame="1"/>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w:t>
      </w:r>
      <w:r>
        <w:rPr>
          <w:color w:val="201F1E"/>
          <w:sz w:val="20"/>
          <w:szCs w:val="20"/>
          <w:bdr w:val="none" w:sz="0" w:space="0" w:color="auto" w:frame="1"/>
        </w:rPr>
        <w:t xml:space="preserve"> </w:t>
      </w:r>
      <w:r w:rsidRPr="00BF706C">
        <w:rPr>
          <w:color w:val="201F1E"/>
          <w:sz w:val="20"/>
          <w:szCs w:val="20"/>
          <w:bdr w:val="none" w:sz="0" w:space="0" w:color="auto" w:frame="1"/>
        </w:rPr>
        <w:t>This does not change your legal name for ofﬁcial UF records</w:t>
      </w:r>
      <w:r>
        <w:rPr>
          <w:color w:val="201F1E"/>
          <w:sz w:val="20"/>
          <w:szCs w:val="20"/>
          <w:bdr w:val="none" w:sz="0" w:space="0" w:color="auto" w:frame="1"/>
        </w:rPr>
        <w:t>.</w:t>
      </w:r>
    </w:p>
    <w:p w14:paraId="3D616509" w14:textId="77777777" w:rsidR="009667C7" w:rsidRPr="00BF706C" w:rsidRDefault="009667C7" w:rsidP="006A5D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520AC4A1" w:rsidR="009667C7" w:rsidRDefault="009667C7">
    <w:pPr>
      <w:tabs>
        <w:tab w:val="center" w:pos="1440"/>
        <w:tab w:val="center" w:pos="2160"/>
        <w:tab w:val="center" w:pos="4342"/>
        <w:tab w:val="center" w:pos="6480"/>
        <w:tab w:val="center" w:pos="7932"/>
      </w:tabs>
      <w:spacing w:line="259" w:lineRule="auto"/>
    </w:pPr>
    <w:r>
      <w:t xml:space="preserve">UF Law </w:t>
    </w:r>
    <w:r w:rsidR="00B47272">
      <w:t xml:space="preserve">         </w:t>
    </w:r>
    <w:r>
      <w:tab/>
      <w:t xml:space="preserve"> </w:t>
    </w:r>
    <w:r>
      <w:tab/>
    </w:r>
    <w:r w:rsidR="000A717E">
      <w:rPr>
        <w:lang w:eastAsia="zh-CN"/>
      </w:rPr>
      <w:t xml:space="preserve">Fintech </w:t>
    </w:r>
    <w:r>
      <w:rPr>
        <w:rFonts w:hint="eastAsia"/>
        <w:lang w:eastAsia="zh-CN"/>
      </w:rPr>
      <w:t>–</w:t>
    </w:r>
    <w:r>
      <w:t xml:space="preserve"> </w:t>
    </w:r>
    <w:r w:rsidR="000A717E">
      <w:t>Spring</w:t>
    </w:r>
    <w:r>
      <w:t xml:space="preserve"> 202</w:t>
    </w:r>
    <w:r w:rsidR="000A717E">
      <w:t>3</w:t>
    </w:r>
    <w:r>
      <w:t xml:space="preserve"> </w:t>
    </w:r>
    <w:r>
      <w:tab/>
      <w:t xml:space="preserve">        </w:t>
    </w:r>
    <w:r>
      <w:tab/>
      <w:t xml:space="preserve">Professor </w:t>
    </w:r>
    <w:r w:rsidR="00B47272">
      <w:rPr>
        <w:rFonts w:hint="eastAsia"/>
        <w:lang w:eastAsia="zh-CN"/>
      </w:rPr>
      <w:t>Jiang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16E"/>
    <w:multiLevelType w:val="hybridMultilevel"/>
    <w:tmpl w:val="1F1C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7877"/>
    <w:multiLevelType w:val="hybridMultilevel"/>
    <w:tmpl w:val="7460F9D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E94767"/>
    <w:multiLevelType w:val="hybridMultilevel"/>
    <w:tmpl w:val="7460F9D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16D2B"/>
    <w:multiLevelType w:val="hybridMultilevel"/>
    <w:tmpl w:val="FDC29D2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D81AD6"/>
    <w:multiLevelType w:val="hybridMultilevel"/>
    <w:tmpl w:val="D8F6E8D8"/>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941A0F"/>
    <w:multiLevelType w:val="hybridMultilevel"/>
    <w:tmpl w:val="ED7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209DF"/>
    <w:multiLevelType w:val="hybridMultilevel"/>
    <w:tmpl w:val="C908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470E2"/>
    <w:multiLevelType w:val="hybridMultilevel"/>
    <w:tmpl w:val="FDC29D2E"/>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B5720"/>
    <w:multiLevelType w:val="hybridMultilevel"/>
    <w:tmpl w:val="7E8C22A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242383"/>
    <w:multiLevelType w:val="hybridMultilevel"/>
    <w:tmpl w:val="0FB4E4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61319"/>
    <w:multiLevelType w:val="hybridMultilevel"/>
    <w:tmpl w:val="A8F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5BB1"/>
    <w:multiLevelType w:val="hybridMultilevel"/>
    <w:tmpl w:val="3E6ACC5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2D6B39"/>
    <w:multiLevelType w:val="hybridMultilevel"/>
    <w:tmpl w:val="41A2411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1B03FF"/>
    <w:multiLevelType w:val="hybridMultilevel"/>
    <w:tmpl w:val="3E6ACC5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815C44"/>
    <w:multiLevelType w:val="hybridMultilevel"/>
    <w:tmpl w:val="A754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A73A4"/>
    <w:multiLevelType w:val="hybridMultilevel"/>
    <w:tmpl w:val="526C4B34"/>
    <w:lvl w:ilvl="0" w:tplc="9454C15C">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F7E9E"/>
    <w:multiLevelType w:val="hybridMultilevel"/>
    <w:tmpl w:val="FDC29D2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EB284C"/>
    <w:multiLevelType w:val="hybridMultilevel"/>
    <w:tmpl w:val="19FE7644"/>
    <w:lvl w:ilvl="0" w:tplc="9454C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13A8A"/>
    <w:multiLevelType w:val="hybridMultilevel"/>
    <w:tmpl w:val="195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41F6B"/>
    <w:multiLevelType w:val="hybridMultilevel"/>
    <w:tmpl w:val="C9CAF7A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26F17"/>
    <w:multiLevelType w:val="hybridMultilevel"/>
    <w:tmpl w:val="4F1A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E19E1"/>
    <w:multiLevelType w:val="hybridMultilevel"/>
    <w:tmpl w:val="EB3019FC"/>
    <w:lvl w:ilvl="0" w:tplc="9454C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84082"/>
    <w:multiLevelType w:val="hybridMultilevel"/>
    <w:tmpl w:val="315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A56626"/>
    <w:multiLevelType w:val="hybridMultilevel"/>
    <w:tmpl w:val="76C04042"/>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90FC3"/>
    <w:multiLevelType w:val="hybridMultilevel"/>
    <w:tmpl w:val="65280F5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8" w15:restartNumberingAfterBreak="0">
    <w:nsid w:val="73E4518F"/>
    <w:multiLevelType w:val="hybridMultilevel"/>
    <w:tmpl w:val="99E8F472"/>
    <w:lvl w:ilvl="0" w:tplc="9454C1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86748"/>
    <w:multiLevelType w:val="hybridMultilevel"/>
    <w:tmpl w:val="3E6ACC5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93540250">
    <w:abstractNumId w:val="30"/>
  </w:num>
  <w:num w:numId="2" w16cid:durableId="1971012407">
    <w:abstractNumId w:val="16"/>
  </w:num>
  <w:num w:numId="3" w16cid:durableId="95056298">
    <w:abstractNumId w:val="24"/>
  </w:num>
  <w:num w:numId="4" w16cid:durableId="505244757">
    <w:abstractNumId w:val="27"/>
  </w:num>
  <w:num w:numId="5" w16cid:durableId="1388647274">
    <w:abstractNumId w:val="10"/>
  </w:num>
  <w:num w:numId="6" w16cid:durableId="1898513219">
    <w:abstractNumId w:val="0"/>
  </w:num>
  <w:num w:numId="7" w16cid:durableId="1359351463">
    <w:abstractNumId w:val="19"/>
  </w:num>
  <w:num w:numId="8" w16cid:durableId="1222400379">
    <w:abstractNumId w:val="21"/>
  </w:num>
  <w:num w:numId="9" w16cid:durableId="51852751">
    <w:abstractNumId w:val="9"/>
  </w:num>
  <w:num w:numId="10" w16cid:durableId="202598400">
    <w:abstractNumId w:val="23"/>
  </w:num>
  <w:num w:numId="11" w16cid:durableId="421145523">
    <w:abstractNumId w:val="5"/>
  </w:num>
  <w:num w:numId="12" w16cid:durableId="712776851">
    <w:abstractNumId w:val="6"/>
  </w:num>
  <w:num w:numId="13" w16cid:durableId="1901137034">
    <w:abstractNumId w:val="14"/>
  </w:num>
  <w:num w:numId="14" w16cid:durableId="1725985898">
    <w:abstractNumId w:val="15"/>
  </w:num>
  <w:num w:numId="15" w16cid:durableId="1771243786">
    <w:abstractNumId w:val="11"/>
  </w:num>
  <w:num w:numId="16" w16cid:durableId="1766729609">
    <w:abstractNumId w:val="26"/>
  </w:num>
  <w:num w:numId="17" w16cid:durableId="1506550592">
    <w:abstractNumId w:val="18"/>
  </w:num>
  <w:num w:numId="18" w16cid:durableId="1380787778">
    <w:abstractNumId w:val="28"/>
  </w:num>
  <w:num w:numId="19" w16cid:durableId="811873089">
    <w:abstractNumId w:val="12"/>
  </w:num>
  <w:num w:numId="20" w16cid:durableId="782307618">
    <w:abstractNumId w:val="1"/>
  </w:num>
  <w:num w:numId="21" w16cid:durableId="1541626968">
    <w:abstractNumId w:val="22"/>
  </w:num>
  <w:num w:numId="22" w16cid:durableId="1003320629">
    <w:abstractNumId w:val="4"/>
  </w:num>
  <w:num w:numId="23" w16cid:durableId="1835146078">
    <w:abstractNumId w:val="13"/>
  </w:num>
  <w:num w:numId="24" w16cid:durableId="86195219">
    <w:abstractNumId w:val="29"/>
  </w:num>
  <w:num w:numId="25" w16cid:durableId="275719572">
    <w:abstractNumId w:val="20"/>
  </w:num>
  <w:num w:numId="26" w16cid:durableId="2003703773">
    <w:abstractNumId w:val="2"/>
  </w:num>
  <w:num w:numId="27" w16cid:durableId="1010261166">
    <w:abstractNumId w:val="7"/>
  </w:num>
  <w:num w:numId="28" w16cid:durableId="1270889187">
    <w:abstractNumId w:val="17"/>
  </w:num>
  <w:num w:numId="29" w16cid:durableId="1462114966">
    <w:abstractNumId w:val="25"/>
  </w:num>
  <w:num w:numId="30" w16cid:durableId="1752048371">
    <w:abstractNumId w:val="3"/>
  </w:num>
  <w:num w:numId="31" w16cid:durableId="110218895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1291"/>
    <w:rsid w:val="000065D4"/>
    <w:rsid w:val="00007C76"/>
    <w:rsid w:val="00007CBA"/>
    <w:rsid w:val="00011AF6"/>
    <w:rsid w:val="00012276"/>
    <w:rsid w:val="00012816"/>
    <w:rsid w:val="00015FB7"/>
    <w:rsid w:val="00017585"/>
    <w:rsid w:val="00020101"/>
    <w:rsid w:val="000223B5"/>
    <w:rsid w:val="000258F9"/>
    <w:rsid w:val="00040457"/>
    <w:rsid w:val="00040B0A"/>
    <w:rsid w:val="000463EC"/>
    <w:rsid w:val="00054F25"/>
    <w:rsid w:val="000613F1"/>
    <w:rsid w:val="00062264"/>
    <w:rsid w:val="0006289B"/>
    <w:rsid w:val="00063D2F"/>
    <w:rsid w:val="000671F6"/>
    <w:rsid w:val="000702D2"/>
    <w:rsid w:val="000729C8"/>
    <w:rsid w:val="00073671"/>
    <w:rsid w:val="0007578F"/>
    <w:rsid w:val="00080707"/>
    <w:rsid w:val="000838FA"/>
    <w:rsid w:val="000859CF"/>
    <w:rsid w:val="000935FE"/>
    <w:rsid w:val="00097473"/>
    <w:rsid w:val="000A037C"/>
    <w:rsid w:val="000A323B"/>
    <w:rsid w:val="000A37DB"/>
    <w:rsid w:val="000A3CF0"/>
    <w:rsid w:val="000A5242"/>
    <w:rsid w:val="000A6F11"/>
    <w:rsid w:val="000A717E"/>
    <w:rsid w:val="000B1E3C"/>
    <w:rsid w:val="000B2830"/>
    <w:rsid w:val="000B3436"/>
    <w:rsid w:val="000B360F"/>
    <w:rsid w:val="000B768D"/>
    <w:rsid w:val="000C2723"/>
    <w:rsid w:val="000C2E14"/>
    <w:rsid w:val="000C45FC"/>
    <w:rsid w:val="000C5A95"/>
    <w:rsid w:val="000D1562"/>
    <w:rsid w:val="000D2CDE"/>
    <w:rsid w:val="000D58D9"/>
    <w:rsid w:val="000D5A73"/>
    <w:rsid w:val="000D6AE5"/>
    <w:rsid w:val="000E014F"/>
    <w:rsid w:val="000E03D1"/>
    <w:rsid w:val="000E4DD1"/>
    <w:rsid w:val="000F3B96"/>
    <w:rsid w:val="000F6D98"/>
    <w:rsid w:val="001003BA"/>
    <w:rsid w:val="00104CEB"/>
    <w:rsid w:val="00107AED"/>
    <w:rsid w:val="00111AC4"/>
    <w:rsid w:val="00116056"/>
    <w:rsid w:val="00117C31"/>
    <w:rsid w:val="001200C0"/>
    <w:rsid w:val="0012227E"/>
    <w:rsid w:val="0012350D"/>
    <w:rsid w:val="001238B2"/>
    <w:rsid w:val="00127E07"/>
    <w:rsid w:val="00133B43"/>
    <w:rsid w:val="0013463C"/>
    <w:rsid w:val="0013473A"/>
    <w:rsid w:val="00135C3B"/>
    <w:rsid w:val="00136EAE"/>
    <w:rsid w:val="0014224E"/>
    <w:rsid w:val="001431FA"/>
    <w:rsid w:val="00143D86"/>
    <w:rsid w:val="00143E24"/>
    <w:rsid w:val="00144780"/>
    <w:rsid w:val="00153606"/>
    <w:rsid w:val="00155A54"/>
    <w:rsid w:val="0016211E"/>
    <w:rsid w:val="00162522"/>
    <w:rsid w:val="00165EC7"/>
    <w:rsid w:val="00166F9C"/>
    <w:rsid w:val="001704DC"/>
    <w:rsid w:val="00174281"/>
    <w:rsid w:val="001772F6"/>
    <w:rsid w:val="00180A9B"/>
    <w:rsid w:val="0018240B"/>
    <w:rsid w:val="0018459A"/>
    <w:rsid w:val="00185A47"/>
    <w:rsid w:val="001866DE"/>
    <w:rsid w:val="0019030B"/>
    <w:rsid w:val="001925EA"/>
    <w:rsid w:val="0019279A"/>
    <w:rsid w:val="0019375B"/>
    <w:rsid w:val="00195EED"/>
    <w:rsid w:val="001A5766"/>
    <w:rsid w:val="001A7349"/>
    <w:rsid w:val="001B379B"/>
    <w:rsid w:val="001B3BEE"/>
    <w:rsid w:val="001B4333"/>
    <w:rsid w:val="001B5E91"/>
    <w:rsid w:val="001C196B"/>
    <w:rsid w:val="001C52AB"/>
    <w:rsid w:val="001C643B"/>
    <w:rsid w:val="001C69C6"/>
    <w:rsid w:val="001D21F8"/>
    <w:rsid w:val="001D24E1"/>
    <w:rsid w:val="001E2603"/>
    <w:rsid w:val="001E2FD6"/>
    <w:rsid w:val="001E49AA"/>
    <w:rsid w:val="001E75AB"/>
    <w:rsid w:val="002059F0"/>
    <w:rsid w:val="0021022A"/>
    <w:rsid w:val="00211B13"/>
    <w:rsid w:val="00236FA1"/>
    <w:rsid w:val="00237589"/>
    <w:rsid w:val="00241107"/>
    <w:rsid w:val="00245B76"/>
    <w:rsid w:val="002663B1"/>
    <w:rsid w:val="00270EB8"/>
    <w:rsid w:val="00272347"/>
    <w:rsid w:val="002750B3"/>
    <w:rsid w:val="0027516D"/>
    <w:rsid w:val="002765D0"/>
    <w:rsid w:val="00276AFF"/>
    <w:rsid w:val="002813DA"/>
    <w:rsid w:val="002816C3"/>
    <w:rsid w:val="00282D04"/>
    <w:rsid w:val="00282D94"/>
    <w:rsid w:val="002838C0"/>
    <w:rsid w:val="0028652C"/>
    <w:rsid w:val="00286E8C"/>
    <w:rsid w:val="002921EC"/>
    <w:rsid w:val="00292AAA"/>
    <w:rsid w:val="00292B18"/>
    <w:rsid w:val="00297456"/>
    <w:rsid w:val="002A2451"/>
    <w:rsid w:val="002A2D89"/>
    <w:rsid w:val="002A69F5"/>
    <w:rsid w:val="002A6EA4"/>
    <w:rsid w:val="002B2DBD"/>
    <w:rsid w:val="002B591D"/>
    <w:rsid w:val="002C0562"/>
    <w:rsid w:val="002C11F0"/>
    <w:rsid w:val="002C17A4"/>
    <w:rsid w:val="002C3412"/>
    <w:rsid w:val="002C3B4F"/>
    <w:rsid w:val="002C5934"/>
    <w:rsid w:val="002C7116"/>
    <w:rsid w:val="002C7486"/>
    <w:rsid w:val="002D0916"/>
    <w:rsid w:val="002D2176"/>
    <w:rsid w:val="002D52ED"/>
    <w:rsid w:val="002D625C"/>
    <w:rsid w:val="002E1E93"/>
    <w:rsid w:val="002E26F8"/>
    <w:rsid w:val="002F2B55"/>
    <w:rsid w:val="002F408B"/>
    <w:rsid w:val="002F4921"/>
    <w:rsid w:val="002F568D"/>
    <w:rsid w:val="00303A6E"/>
    <w:rsid w:val="0030769D"/>
    <w:rsid w:val="0031469E"/>
    <w:rsid w:val="00316431"/>
    <w:rsid w:val="00317E71"/>
    <w:rsid w:val="003263DA"/>
    <w:rsid w:val="00327217"/>
    <w:rsid w:val="003328A2"/>
    <w:rsid w:val="0033440D"/>
    <w:rsid w:val="0034371F"/>
    <w:rsid w:val="00343725"/>
    <w:rsid w:val="00345FCA"/>
    <w:rsid w:val="00345FFA"/>
    <w:rsid w:val="0035048D"/>
    <w:rsid w:val="003527BA"/>
    <w:rsid w:val="003562D0"/>
    <w:rsid w:val="003569D3"/>
    <w:rsid w:val="00375FFD"/>
    <w:rsid w:val="00382C95"/>
    <w:rsid w:val="00394311"/>
    <w:rsid w:val="003956F1"/>
    <w:rsid w:val="00395F77"/>
    <w:rsid w:val="00396A08"/>
    <w:rsid w:val="003A214B"/>
    <w:rsid w:val="003A2549"/>
    <w:rsid w:val="003A4F3A"/>
    <w:rsid w:val="003A6625"/>
    <w:rsid w:val="003B1B94"/>
    <w:rsid w:val="003B72A8"/>
    <w:rsid w:val="003C0560"/>
    <w:rsid w:val="003C22F9"/>
    <w:rsid w:val="003C4710"/>
    <w:rsid w:val="003D6B2F"/>
    <w:rsid w:val="003D7E7D"/>
    <w:rsid w:val="003E518C"/>
    <w:rsid w:val="003F10BE"/>
    <w:rsid w:val="003F1D05"/>
    <w:rsid w:val="003F1D07"/>
    <w:rsid w:val="003F5250"/>
    <w:rsid w:val="003F5418"/>
    <w:rsid w:val="003F59C1"/>
    <w:rsid w:val="003F5E61"/>
    <w:rsid w:val="00405A14"/>
    <w:rsid w:val="00406487"/>
    <w:rsid w:val="0040771A"/>
    <w:rsid w:val="00414D6D"/>
    <w:rsid w:val="00415418"/>
    <w:rsid w:val="00417215"/>
    <w:rsid w:val="0041721E"/>
    <w:rsid w:val="004213D5"/>
    <w:rsid w:val="004221C7"/>
    <w:rsid w:val="004227BF"/>
    <w:rsid w:val="004276CA"/>
    <w:rsid w:val="00430700"/>
    <w:rsid w:val="00430E8A"/>
    <w:rsid w:val="004411F9"/>
    <w:rsid w:val="00444249"/>
    <w:rsid w:val="00444D51"/>
    <w:rsid w:val="0044543F"/>
    <w:rsid w:val="0045139E"/>
    <w:rsid w:val="004600ED"/>
    <w:rsid w:val="004631FF"/>
    <w:rsid w:val="004632E7"/>
    <w:rsid w:val="00475E03"/>
    <w:rsid w:val="004850FF"/>
    <w:rsid w:val="00486D86"/>
    <w:rsid w:val="004876D5"/>
    <w:rsid w:val="00490395"/>
    <w:rsid w:val="00492042"/>
    <w:rsid w:val="004A0380"/>
    <w:rsid w:val="004A16D7"/>
    <w:rsid w:val="004A1C88"/>
    <w:rsid w:val="004A54E4"/>
    <w:rsid w:val="004A6C08"/>
    <w:rsid w:val="004B7A87"/>
    <w:rsid w:val="004C207E"/>
    <w:rsid w:val="004C284F"/>
    <w:rsid w:val="004C303A"/>
    <w:rsid w:val="004D0796"/>
    <w:rsid w:val="004D2F19"/>
    <w:rsid w:val="004D33D4"/>
    <w:rsid w:val="004D36AF"/>
    <w:rsid w:val="004D5316"/>
    <w:rsid w:val="004D5AF4"/>
    <w:rsid w:val="004E0D1E"/>
    <w:rsid w:val="004E13DA"/>
    <w:rsid w:val="004F0085"/>
    <w:rsid w:val="004F0D93"/>
    <w:rsid w:val="004F3898"/>
    <w:rsid w:val="004F4319"/>
    <w:rsid w:val="004F63A7"/>
    <w:rsid w:val="005000A4"/>
    <w:rsid w:val="005000D5"/>
    <w:rsid w:val="0050584B"/>
    <w:rsid w:val="00506DD8"/>
    <w:rsid w:val="00511B22"/>
    <w:rsid w:val="005125FE"/>
    <w:rsid w:val="00512912"/>
    <w:rsid w:val="00514193"/>
    <w:rsid w:val="00515C5C"/>
    <w:rsid w:val="00515D10"/>
    <w:rsid w:val="00516E82"/>
    <w:rsid w:val="0052043A"/>
    <w:rsid w:val="00523E74"/>
    <w:rsid w:val="00524428"/>
    <w:rsid w:val="00525F6F"/>
    <w:rsid w:val="00534F43"/>
    <w:rsid w:val="005356CE"/>
    <w:rsid w:val="005365A8"/>
    <w:rsid w:val="00540339"/>
    <w:rsid w:val="00542B95"/>
    <w:rsid w:val="005435FC"/>
    <w:rsid w:val="00543714"/>
    <w:rsid w:val="00546231"/>
    <w:rsid w:val="00546B6D"/>
    <w:rsid w:val="00554F4B"/>
    <w:rsid w:val="00557CE8"/>
    <w:rsid w:val="00562151"/>
    <w:rsid w:val="00564AC6"/>
    <w:rsid w:val="00564E25"/>
    <w:rsid w:val="00571291"/>
    <w:rsid w:val="00571440"/>
    <w:rsid w:val="00572717"/>
    <w:rsid w:val="0057605D"/>
    <w:rsid w:val="00580982"/>
    <w:rsid w:val="00584C4C"/>
    <w:rsid w:val="00586C29"/>
    <w:rsid w:val="005911BF"/>
    <w:rsid w:val="005961A5"/>
    <w:rsid w:val="005A4A86"/>
    <w:rsid w:val="005A60C8"/>
    <w:rsid w:val="005C2251"/>
    <w:rsid w:val="005C273F"/>
    <w:rsid w:val="005C33D5"/>
    <w:rsid w:val="005D5C30"/>
    <w:rsid w:val="005D7242"/>
    <w:rsid w:val="005E067E"/>
    <w:rsid w:val="005E1F1F"/>
    <w:rsid w:val="005E27F2"/>
    <w:rsid w:val="005E2F90"/>
    <w:rsid w:val="005F4609"/>
    <w:rsid w:val="00603815"/>
    <w:rsid w:val="00603F9D"/>
    <w:rsid w:val="00607D68"/>
    <w:rsid w:val="0061239E"/>
    <w:rsid w:val="00612F44"/>
    <w:rsid w:val="00613374"/>
    <w:rsid w:val="00615540"/>
    <w:rsid w:val="006219CC"/>
    <w:rsid w:val="00622DD3"/>
    <w:rsid w:val="006314BA"/>
    <w:rsid w:val="00634C31"/>
    <w:rsid w:val="006355D6"/>
    <w:rsid w:val="00636677"/>
    <w:rsid w:val="006372C4"/>
    <w:rsid w:val="00646313"/>
    <w:rsid w:val="006468B2"/>
    <w:rsid w:val="006555BF"/>
    <w:rsid w:val="0066150A"/>
    <w:rsid w:val="00666AA7"/>
    <w:rsid w:val="00666B09"/>
    <w:rsid w:val="00672D43"/>
    <w:rsid w:val="00675B3D"/>
    <w:rsid w:val="00685AC3"/>
    <w:rsid w:val="0069293F"/>
    <w:rsid w:val="0069536D"/>
    <w:rsid w:val="006968CD"/>
    <w:rsid w:val="00697839"/>
    <w:rsid w:val="006A1C8B"/>
    <w:rsid w:val="006A5D34"/>
    <w:rsid w:val="006B0C34"/>
    <w:rsid w:val="006B21B3"/>
    <w:rsid w:val="006B4A37"/>
    <w:rsid w:val="006B4C61"/>
    <w:rsid w:val="006B54DC"/>
    <w:rsid w:val="006C03AC"/>
    <w:rsid w:val="006C6197"/>
    <w:rsid w:val="006C73FD"/>
    <w:rsid w:val="006C78A2"/>
    <w:rsid w:val="006C7C5E"/>
    <w:rsid w:val="006C7C6E"/>
    <w:rsid w:val="006D34D9"/>
    <w:rsid w:val="006E076C"/>
    <w:rsid w:val="006E6695"/>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37D"/>
    <w:rsid w:val="00741F36"/>
    <w:rsid w:val="00751A08"/>
    <w:rsid w:val="0075212D"/>
    <w:rsid w:val="00752713"/>
    <w:rsid w:val="00754B8A"/>
    <w:rsid w:val="007565D2"/>
    <w:rsid w:val="0076196C"/>
    <w:rsid w:val="0076367E"/>
    <w:rsid w:val="0076385D"/>
    <w:rsid w:val="007648FE"/>
    <w:rsid w:val="0076632A"/>
    <w:rsid w:val="00771401"/>
    <w:rsid w:val="00775D24"/>
    <w:rsid w:val="007801F4"/>
    <w:rsid w:val="00785CA8"/>
    <w:rsid w:val="00786049"/>
    <w:rsid w:val="00786A20"/>
    <w:rsid w:val="007903A0"/>
    <w:rsid w:val="00790557"/>
    <w:rsid w:val="007905DF"/>
    <w:rsid w:val="00793717"/>
    <w:rsid w:val="0079526E"/>
    <w:rsid w:val="00796671"/>
    <w:rsid w:val="007A0317"/>
    <w:rsid w:val="007A1643"/>
    <w:rsid w:val="007A70AC"/>
    <w:rsid w:val="007B01B0"/>
    <w:rsid w:val="007B2390"/>
    <w:rsid w:val="007B5C81"/>
    <w:rsid w:val="007B5ECF"/>
    <w:rsid w:val="007B65AF"/>
    <w:rsid w:val="007B70C9"/>
    <w:rsid w:val="007C0F74"/>
    <w:rsid w:val="007C271E"/>
    <w:rsid w:val="007C5DEC"/>
    <w:rsid w:val="007D306A"/>
    <w:rsid w:val="007D4865"/>
    <w:rsid w:val="007D48C0"/>
    <w:rsid w:val="007D5ADF"/>
    <w:rsid w:val="007D62C4"/>
    <w:rsid w:val="007D6940"/>
    <w:rsid w:val="007E25A9"/>
    <w:rsid w:val="007E7CBA"/>
    <w:rsid w:val="007F2EC3"/>
    <w:rsid w:val="007F3BD4"/>
    <w:rsid w:val="007F3E78"/>
    <w:rsid w:val="007F41FE"/>
    <w:rsid w:val="007FC820"/>
    <w:rsid w:val="00803581"/>
    <w:rsid w:val="008057C9"/>
    <w:rsid w:val="00821C9C"/>
    <w:rsid w:val="00822245"/>
    <w:rsid w:val="00825D2B"/>
    <w:rsid w:val="00827C15"/>
    <w:rsid w:val="008318AE"/>
    <w:rsid w:val="0083266E"/>
    <w:rsid w:val="00832D06"/>
    <w:rsid w:val="00833273"/>
    <w:rsid w:val="00834482"/>
    <w:rsid w:val="0083607B"/>
    <w:rsid w:val="00840D7B"/>
    <w:rsid w:val="00841F16"/>
    <w:rsid w:val="008470B0"/>
    <w:rsid w:val="00851B4A"/>
    <w:rsid w:val="00853E30"/>
    <w:rsid w:val="0085464A"/>
    <w:rsid w:val="008567FD"/>
    <w:rsid w:val="008605EC"/>
    <w:rsid w:val="008611F8"/>
    <w:rsid w:val="00862206"/>
    <w:rsid w:val="0086460A"/>
    <w:rsid w:val="0086640E"/>
    <w:rsid w:val="0087051E"/>
    <w:rsid w:val="00870666"/>
    <w:rsid w:val="008727B8"/>
    <w:rsid w:val="0087295E"/>
    <w:rsid w:val="00872F96"/>
    <w:rsid w:val="00876D4F"/>
    <w:rsid w:val="00881220"/>
    <w:rsid w:val="008863A8"/>
    <w:rsid w:val="008864BB"/>
    <w:rsid w:val="00890B2C"/>
    <w:rsid w:val="008954A6"/>
    <w:rsid w:val="008A4D54"/>
    <w:rsid w:val="008A6CFC"/>
    <w:rsid w:val="008A6D94"/>
    <w:rsid w:val="008B2603"/>
    <w:rsid w:val="008B2A9F"/>
    <w:rsid w:val="008B4053"/>
    <w:rsid w:val="008B5EA8"/>
    <w:rsid w:val="008C073E"/>
    <w:rsid w:val="008C2A75"/>
    <w:rsid w:val="008C6D77"/>
    <w:rsid w:val="008D1DD2"/>
    <w:rsid w:val="008D77A5"/>
    <w:rsid w:val="008E2FEE"/>
    <w:rsid w:val="008E3B19"/>
    <w:rsid w:val="008E6DB7"/>
    <w:rsid w:val="008E7639"/>
    <w:rsid w:val="008E766E"/>
    <w:rsid w:val="008F01F5"/>
    <w:rsid w:val="008F32E4"/>
    <w:rsid w:val="008F387F"/>
    <w:rsid w:val="008F4E37"/>
    <w:rsid w:val="00903AF8"/>
    <w:rsid w:val="009067CE"/>
    <w:rsid w:val="00913EBF"/>
    <w:rsid w:val="00915234"/>
    <w:rsid w:val="0091536A"/>
    <w:rsid w:val="00920696"/>
    <w:rsid w:val="0092217C"/>
    <w:rsid w:val="009310DE"/>
    <w:rsid w:val="009315DF"/>
    <w:rsid w:val="009360C3"/>
    <w:rsid w:val="00937444"/>
    <w:rsid w:val="0094573D"/>
    <w:rsid w:val="009513E3"/>
    <w:rsid w:val="00955A6B"/>
    <w:rsid w:val="00956C98"/>
    <w:rsid w:val="009571E9"/>
    <w:rsid w:val="00963992"/>
    <w:rsid w:val="0096538B"/>
    <w:rsid w:val="009667C7"/>
    <w:rsid w:val="00972486"/>
    <w:rsid w:val="009726D1"/>
    <w:rsid w:val="00980442"/>
    <w:rsid w:val="009809DB"/>
    <w:rsid w:val="00982BFF"/>
    <w:rsid w:val="00983532"/>
    <w:rsid w:val="0098498E"/>
    <w:rsid w:val="00985345"/>
    <w:rsid w:val="00985813"/>
    <w:rsid w:val="00993A07"/>
    <w:rsid w:val="00995453"/>
    <w:rsid w:val="0099720E"/>
    <w:rsid w:val="009A4269"/>
    <w:rsid w:val="009B013B"/>
    <w:rsid w:val="009B0AB1"/>
    <w:rsid w:val="009B2029"/>
    <w:rsid w:val="009B52BB"/>
    <w:rsid w:val="009B79C1"/>
    <w:rsid w:val="009C0765"/>
    <w:rsid w:val="009C19E5"/>
    <w:rsid w:val="009C40C0"/>
    <w:rsid w:val="009D40F0"/>
    <w:rsid w:val="009E1C23"/>
    <w:rsid w:val="009E5757"/>
    <w:rsid w:val="009E59E8"/>
    <w:rsid w:val="009E5C62"/>
    <w:rsid w:val="009E5E5A"/>
    <w:rsid w:val="009F0BE8"/>
    <w:rsid w:val="009F173B"/>
    <w:rsid w:val="009F4C02"/>
    <w:rsid w:val="00A001B5"/>
    <w:rsid w:val="00A007B9"/>
    <w:rsid w:val="00A023FB"/>
    <w:rsid w:val="00A02F3C"/>
    <w:rsid w:val="00A03486"/>
    <w:rsid w:val="00A05D21"/>
    <w:rsid w:val="00A111F6"/>
    <w:rsid w:val="00A16B1D"/>
    <w:rsid w:val="00A17F0F"/>
    <w:rsid w:val="00A250AF"/>
    <w:rsid w:val="00A33C45"/>
    <w:rsid w:val="00A3431C"/>
    <w:rsid w:val="00A34A69"/>
    <w:rsid w:val="00A431A8"/>
    <w:rsid w:val="00A4321C"/>
    <w:rsid w:val="00A454A5"/>
    <w:rsid w:val="00A46359"/>
    <w:rsid w:val="00A470FA"/>
    <w:rsid w:val="00A47F11"/>
    <w:rsid w:val="00A55CEE"/>
    <w:rsid w:val="00A56727"/>
    <w:rsid w:val="00A62D04"/>
    <w:rsid w:val="00A64ECE"/>
    <w:rsid w:val="00A73CA2"/>
    <w:rsid w:val="00A73E45"/>
    <w:rsid w:val="00A85271"/>
    <w:rsid w:val="00A86FA4"/>
    <w:rsid w:val="00A9588F"/>
    <w:rsid w:val="00AA1813"/>
    <w:rsid w:val="00AA3CF7"/>
    <w:rsid w:val="00AA5067"/>
    <w:rsid w:val="00AA797F"/>
    <w:rsid w:val="00AB16B1"/>
    <w:rsid w:val="00AB6A2B"/>
    <w:rsid w:val="00AC0C22"/>
    <w:rsid w:val="00AC6F64"/>
    <w:rsid w:val="00AD1F7F"/>
    <w:rsid w:val="00AD397E"/>
    <w:rsid w:val="00AD420D"/>
    <w:rsid w:val="00AD451C"/>
    <w:rsid w:val="00AD7289"/>
    <w:rsid w:val="00AE3D09"/>
    <w:rsid w:val="00AF0E29"/>
    <w:rsid w:val="00AF4056"/>
    <w:rsid w:val="00AF4D53"/>
    <w:rsid w:val="00AF67E3"/>
    <w:rsid w:val="00AF72CF"/>
    <w:rsid w:val="00B01D25"/>
    <w:rsid w:val="00B06841"/>
    <w:rsid w:val="00B1507D"/>
    <w:rsid w:val="00B215F8"/>
    <w:rsid w:val="00B252B4"/>
    <w:rsid w:val="00B27A05"/>
    <w:rsid w:val="00B35FED"/>
    <w:rsid w:val="00B40DA1"/>
    <w:rsid w:val="00B41CF2"/>
    <w:rsid w:val="00B41DB7"/>
    <w:rsid w:val="00B47272"/>
    <w:rsid w:val="00B559EA"/>
    <w:rsid w:val="00B5638B"/>
    <w:rsid w:val="00B71F9B"/>
    <w:rsid w:val="00B76357"/>
    <w:rsid w:val="00B768C7"/>
    <w:rsid w:val="00B76E4F"/>
    <w:rsid w:val="00B85C61"/>
    <w:rsid w:val="00B90C6E"/>
    <w:rsid w:val="00B94D06"/>
    <w:rsid w:val="00BA3979"/>
    <w:rsid w:val="00BA6742"/>
    <w:rsid w:val="00BA6894"/>
    <w:rsid w:val="00BA7DA3"/>
    <w:rsid w:val="00BB42FA"/>
    <w:rsid w:val="00BB64DC"/>
    <w:rsid w:val="00BB76AD"/>
    <w:rsid w:val="00BC014F"/>
    <w:rsid w:val="00BC07A9"/>
    <w:rsid w:val="00BC3100"/>
    <w:rsid w:val="00BC6DCA"/>
    <w:rsid w:val="00BD042A"/>
    <w:rsid w:val="00BD2894"/>
    <w:rsid w:val="00BD5838"/>
    <w:rsid w:val="00BE11E3"/>
    <w:rsid w:val="00BE374B"/>
    <w:rsid w:val="00BE58A2"/>
    <w:rsid w:val="00C0018F"/>
    <w:rsid w:val="00C0048A"/>
    <w:rsid w:val="00C02E97"/>
    <w:rsid w:val="00C03190"/>
    <w:rsid w:val="00C031B8"/>
    <w:rsid w:val="00C05ACC"/>
    <w:rsid w:val="00C110E2"/>
    <w:rsid w:val="00C12C9B"/>
    <w:rsid w:val="00C140AB"/>
    <w:rsid w:val="00C14F42"/>
    <w:rsid w:val="00C15068"/>
    <w:rsid w:val="00C16D46"/>
    <w:rsid w:val="00C201C0"/>
    <w:rsid w:val="00C202A2"/>
    <w:rsid w:val="00C2238A"/>
    <w:rsid w:val="00C225BA"/>
    <w:rsid w:val="00C236E1"/>
    <w:rsid w:val="00C24F37"/>
    <w:rsid w:val="00C2715A"/>
    <w:rsid w:val="00C27F37"/>
    <w:rsid w:val="00C33DB2"/>
    <w:rsid w:val="00C37D08"/>
    <w:rsid w:val="00C41B11"/>
    <w:rsid w:val="00C44A12"/>
    <w:rsid w:val="00C47DEC"/>
    <w:rsid w:val="00C50C4B"/>
    <w:rsid w:val="00C50E02"/>
    <w:rsid w:val="00C50E26"/>
    <w:rsid w:val="00C6017D"/>
    <w:rsid w:val="00C64C03"/>
    <w:rsid w:val="00C668F7"/>
    <w:rsid w:val="00C66A9B"/>
    <w:rsid w:val="00C8265B"/>
    <w:rsid w:val="00C82F21"/>
    <w:rsid w:val="00C830FF"/>
    <w:rsid w:val="00C9001B"/>
    <w:rsid w:val="00C926AE"/>
    <w:rsid w:val="00C929A5"/>
    <w:rsid w:val="00C93291"/>
    <w:rsid w:val="00C9409F"/>
    <w:rsid w:val="00C95A51"/>
    <w:rsid w:val="00CA2753"/>
    <w:rsid w:val="00CA482A"/>
    <w:rsid w:val="00CA6EC6"/>
    <w:rsid w:val="00CB3AC7"/>
    <w:rsid w:val="00CB7B52"/>
    <w:rsid w:val="00CC6399"/>
    <w:rsid w:val="00CC796D"/>
    <w:rsid w:val="00CD0D47"/>
    <w:rsid w:val="00CE1242"/>
    <w:rsid w:val="00CE2B8B"/>
    <w:rsid w:val="00CE3149"/>
    <w:rsid w:val="00CF04AD"/>
    <w:rsid w:val="00CF06A3"/>
    <w:rsid w:val="00CF2748"/>
    <w:rsid w:val="00CF2C3D"/>
    <w:rsid w:val="00CF3B55"/>
    <w:rsid w:val="00CF5C05"/>
    <w:rsid w:val="00D03289"/>
    <w:rsid w:val="00D05FD8"/>
    <w:rsid w:val="00D1196A"/>
    <w:rsid w:val="00D11D0A"/>
    <w:rsid w:val="00D165D4"/>
    <w:rsid w:val="00D20593"/>
    <w:rsid w:val="00D255AF"/>
    <w:rsid w:val="00D27A20"/>
    <w:rsid w:val="00D342A9"/>
    <w:rsid w:val="00D3566F"/>
    <w:rsid w:val="00D36015"/>
    <w:rsid w:val="00D466A2"/>
    <w:rsid w:val="00D47EC4"/>
    <w:rsid w:val="00D563FC"/>
    <w:rsid w:val="00D56BE2"/>
    <w:rsid w:val="00D63750"/>
    <w:rsid w:val="00D64074"/>
    <w:rsid w:val="00D65805"/>
    <w:rsid w:val="00D74ABD"/>
    <w:rsid w:val="00D74EBB"/>
    <w:rsid w:val="00D8152D"/>
    <w:rsid w:val="00D8222E"/>
    <w:rsid w:val="00D8665F"/>
    <w:rsid w:val="00D9003D"/>
    <w:rsid w:val="00DA0E64"/>
    <w:rsid w:val="00DA68FE"/>
    <w:rsid w:val="00DB041C"/>
    <w:rsid w:val="00DB178C"/>
    <w:rsid w:val="00DB18D3"/>
    <w:rsid w:val="00DB2253"/>
    <w:rsid w:val="00DB7EDC"/>
    <w:rsid w:val="00DC0D81"/>
    <w:rsid w:val="00DC23B1"/>
    <w:rsid w:val="00DC571D"/>
    <w:rsid w:val="00DC69A1"/>
    <w:rsid w:val="00DD00D1"/>
    <w:rsid w:val="00DE382A"/>
    <w:rsid w:val="00DE6F74"/>
    <w:rsid w:val="00DE7A92"/>
    <w:rsid w:val="00DF3D4D"/>
    <w:rsid w:val="00DF777F"/>
    <w:rsid w:val="00E02F11"/>
    <w:rsid w:val="00E047EC"/>
    <w:rsid w:val="00E0654D"/>
    <w:rsid w:val="00E06E76"/>
    <w:rsid w:val="00E07CEA"/>
    <w:rsid w:val="00E15A20"/>
    <w:rsid w:val="00E242C2"/>
    <w:rsid w:val="00E35213"/>
    <w:rsid w:val="00E36BDD"/>
    <w:rsid w:val="00E455FF"/>
    <w:rsid w:val="00E51398"/>
    <w:rsid w:val="00E533DD"/>
    <w:rsid w:val="00E53D5A"/>
    <w:rsid w:val="00E5426A"/>
    <w:rsid w:val="00E66A2A"/>
    <w:rsid w:val="00E7112A"/>
    <w:rsid w:val="00E75A3D"/>
    <w:rsid w:val="00E77E91"/>
    <w:rsid w:val="00E83044"/>
    <w:rsid w:val="00E83693"/>
    <w:rsid w:val="00E844E6"/>
    <w:rsid w:val="00E92E80"/>
    <w:rsid w:val="00EA15FD"/>
    <w:rsid w:val="00EB44BB"/>
    <w:rsid w:val="00EB556E"/>
    <w:rsid w:val="00EC1D7A"/>
    <w:rsid w:val="00EC230A"/>
    <w:rsid w:val="00EC428F"/>
    <w:rsid w:val="00EC73C6"/>
    <w:rsid w:val="00ED3C56"/>
    <w:rsid w:val="00ED5A2B"/>
    <w:rsid w:val="00EE6B7E"/>
    <w:rsid w:val="00EF3EE1"/>
    <w:rsid w:val="00EF4349"/>
    <w:rsid w:val="00EF5824"/>
    <w:rsid w:val="00F01119"/>
    <w:rsid w:val="00F07E2C"/>
    <w:rsid w:val="00F11A7C"/>
    <w:rsid w:val="00F1627B"/>
    <w:rsid w:val="00F26E54"/>
    <w:rsid w:val="00F30EE1"/>
    <w:rsid w:val="00F44F23"/>
    <w:rsid w:val="00F50F9F"/>
    <w:rsid w:val="00F51D08"/>
    <w:rsid w:val="00F64A28"/>
    <w:rsid w:val="00F747F2"/>
    <w:rsid w:val="00F84457"/>
    <w:rsid w:val="00F861BF"/>
    <w:rsid w:val="00F91C4B"/>
    <w:rsid w:val="00F92D91"/>
    <w:rsid w:val="00F96CFA"/>
    <w:rsid w:val="00FA42A0"/>
    <w:rsid w:val="00FB0EA9"/>
    <w:rsid w:val="00FB2B8A"/>
    <w:rsid w:val="00FB569D"/>
    <w:rsid w:val="00FC0BBC"/>
    <w:rsid w:val="00FC1A71"/>
    <w:rsid w:val="00FC2736"/>
    <w:rsid w:val="00FC4C5B"/>
    <w:rsid w:val="00FD060E"/>
    <w:rsid w:val="00FD08F7"/>
    <w:rsid w:val="00FD1AB5"/>
    <w:rsid w:val="00FE0A00"/>
    <w:rsid w:val="00FE3873"/>
    <w:rsid w:val="00FE3E89"/>
    <w:rsid w:val="00FE42C8"/>
    <w:rsid w:val="00FE4A3F"/>
    <w:rsid w:val="00FE4CA2"/>
    <w:rsid w:val="00FE7CB8"/>
    <w:rsid w:val="00FF418B"/>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table" w:styleId="TableGrid">
    <w:name w:val="Table Grid"/>
    <w:basedOn w:val="TableNormal"/>
    <w:uiPriority w:val="39"/>
    <w:rsid w:val="000A717E"/>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FB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sp.harvard.edu/product/UV7736-PDF-ENG" TargetMode="External"/><Relationship Id="rId18" Type="http://schemas.openxmlformats.org/officeDocument/2006/relationships/hyperlink" Target="https://www.dcsx.cw/wp-content/uploads/2020/06/Publication-7-A-An-introduction-to-Crowdfunding-final.pdf" TargetMode="External"/><Relationship Id="rId26" Type="http://schemas.openxmlformats.org/officeDocument/2006/relationships/hyperlink" Target="https://columbialawreview.org/content/are-robots-good-fiduciaries-regulating-robo-advisors-under-the-investment-advisers-act-of-1940-2/" TargetMode="External"/><Relationship Id="rId39" Type="http://schemas.openxmlformats.org/officeDocument/2006/relationships/hyperlink" Target="https://www.morganlewis.com/-/media/files/supplemental/2022/california-v-occ-decision-finreg-blog-pdf.pdf" TargetMode="External"/><Relationship Id="rId21" Type="http://schemas.openxmlformats.org/officeDocument/2006/relationships/hyperlink" Target="https://www.sec.gov/info/smallbus/secg/rccomplianceguide-051316" TargetMode="External"/><Relationship Id="rId34" Type="http://schemas.openxmlformats.org/officeDocument/2006/relationships/hyperlink" Target="https://caselaw.findlaw.com/us-2nd-circuit/1701613.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duke.edu/thefinregblog/2021/10/07/should-the-states-or-federal-government-regulate-fintech/" TargetMode="External"/><Relationship Id="rId29" Type="http://schemas.openxmlformats.org/officeDocument/2006/relationships/hyperlink" Target="https://www.law.upenn.edu/live/files/6308-baker-and-dellaert-regulating-robo-advice-acr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24" Type="http://schemas.openxmlformats.org/officeDocument/2006/relationships/hyperlink" Target="https://www2.deloitte.com/content/dam/Deloitte/de/Documents/financial-services/Deloitte-Robo-safe.pdf" TargetMode="External"/><Relationship Id="rId32" Type="http://schemas.openxmlformats.org/officeDocument/2006/relationships/hyperlink" Target="https://scholarship.law.vanderbilt.edu/cgi/viewcontent.cgi?article=1154&amp;context=vjtl" TargetMode="External"/><Relationship Id="rId37" Type="http://schemas.openxmlformats.org/officeDocument/2006/relationships/hyperlink" Target="https://www.bis.org/publ/cgfs_fsb1.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uides.loc.gov/fintech/21st-century" TargetMode="External"/><Relationship Id="rId23" Type="http://schemas.openxmlformats.org/officeDocument/2006/relationships/hyperlink" Target="https://www.sec.gov/education/smallbusiness/exemptofferings/regcrowdfunding" TargetMode="External"/><Relationship Id="rId28" Type="http://schemas.openxmlformats.org/officeDocument/2006/relationships/hyperlink" Target="https://imperiallawoffice.com/blog/overview-of-securities-and-exchange-commission-rules-of-robo-advisors" TargetMode="External"/><Relationship Id="rId36" Type="http://schemas.openxmlformats.org/officeDocument/2006/relationships/hyperlink" Target="https://www.skadden.com/insights/publications/2022/02/district-court-upholds-occ-and-fdic-valid-when-made-rules"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guides.loc.gov/fintech/21st-century/crowdfunding" TargetMode="External"/><Relationship Id="rId31" Type="http://schemas.openxmlformats.org/officeDocument/2006/relationships/hyperlink" Target="https://blog.quantinsti.com/high-frequency-tradin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ufl.edu/ugrad/1617/regulations/info/attendance.aspx" TargetMode="External"/><Relationship Id="rId14" Type="http://schemas.openxmlformats.org/officeDocument/2006/relationships/hyperlink" Target="https://crsreports.congress.gov/product/pdf/R/R46333" TargetMode="External"/><Relationship Id="rId22" Type="http://schemas.openxmlformats.org/officeDocument/2006/relationships/hyperlink" Target="https://www.finra.org/registration-exams-ce/funding-portals" TargetMode="External"/><Relationship Id="rId27" Type="http://schemas.openxmlformats.org/officeDocument/2006/relationships/hyperlink" Target="https://www.sec.gov/enforce/34-95087-s" TargetMode="External"/><Relationship Id="rId30" Type="http://schemas.openxmlformats.org/officeDocument/2006/relationships/hyperlink" Target="https://scholarship.law.vanderbilt.edu/cgi/viewcontent.cgi?article=1154&amp;context=vjtl" TargetMode="External"/><Relationship Id="rId35" Type="http://schemas.openxmlformats.org/officeDocument/2006/relationships/hyperlink" Target="https://www.davispolk.com/sites/default/files/madden-true-lender-federal-regulatory-fix-whitepaper_final.pdf" TargetMode="External"/><Relationship Id="rId43" Type="http://schemas.openxmlformats.org/officeDocument/2006/relationships/footer" Target="footer2.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12" Type="http://schemas.openxmlformats.org/officeDocument/2006/relationships/hyperlink" Target="https://www.spglobal.com/marketintelligence/en/documents/an-introduction-to-fintech-key-sectors-and-trends.pdf" TargetMode="External"/><Relationship Id="rId17" Type="http://schemas.openxmlformats.org/officeDocument/2006/relationships/hyperlink" Target="https://single-market-economy.ec.europa.eu/access-finance/guide-crowdfunding/what-crowdfunding/crowdfunding-explained_en" TargetMode="External"/><Relationship Id="rId25" Type="http://schemas.openxmlformats.org/officeDocument/2006/relationships/hyperlink" Target="https://www.sec.gov/investment/im-guidance-2017-02.pdf" TargetMode="External"/><Relationship Id="rId33" Type="http://schemas.openxmlformats.org/officeDocument/2006/relationships/hyperlink" Target="https://www.mtrustcompany.com/sites/default/files/uploads/docs/Marketplace-Lending-Whitepaper.pdf" TargetMode="External"/><Relationship Id="rId38" Type="http://schemas.openxmlformats.org/officeDocument/2006/relationships/hyperlink" Target="https://casetext.com/case/people-v-fed-deposit-ins-corp" TargetMode="External"/><Relationship Id="rId46" Type="http://schemas.openxmlformats.org/officeDocument/2006/relationships/fontTable" Target="fontTable.xml"/><Relationship Id="rId20" Type="http://schemas.openxmlformats.org/officeDocument/2006/relationships/hyperlink" Target="https://www.sec.gov/files/regcf_whitepaper.pdf"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3024</Words>
  <Characters>17238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2023-01-05T20:01:00Z</dcterms:created>
  <dcterms:modified xsi:type="dcterms:W3CDTF">2023-01-05T20:01:00Z</dcterms:modified>
</cp:coreProperties>
</file>