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30DD401" w:rsidR="00DC571D" w:rsidRPr="00AA2DEF" w:rsidRDefault="7D2B3368" w:rsidP="7D2B3368">
      <w:pPr>
        <w:spacing w:line="259" w:lineRule="auto"/>
        <w:ind w:left="-90"/>
        <w:jc w:val="center"/>
      </w:pPr>
      <w:r w:rsidRPr="7D2B3368">
        <w:rPr>
          <w:b/>
          <w:bCs/>
        </w:rPr>
        <w:t>Gator TeamChild Juvenile Law Clinic</w:t>
      </w:r>
    </w:p>
    <w:p w14:paraId="5352C854" w14:textId="77777777" w:rsidR="00DC571D" w:rsidRPr="00F335E2" w:rsidRDefault="7D2B3368" w:rsidP="7D2B3368">
      <w:pPr>
        <w:spacing w:after="8" w:line="265" w:lineRule="auto"/>
        <w:ind w:left="1791" w:right="1718"/>
        <w:jc w:val="center"/>
        <w:rPr>
          <w:b/>
          <w:bCs/>
          <w:sz w:val="22"/>
          <w:szCs w:val="22"/>
        </w:rPr>
      </w:pPr>
      <w:r w:rsidRPr="7D2B3368">
        <w:rPr>
          <w:b/>
          <w:bCs/>
          <w:sz w:val="22"/>
          <w:szCs w:val="22"/>
        </w:rPr>
        <w:t xml:space="preserve">UNIVERSITY OF FLORIDA LEVIN COLLEGE OF LAW </w:t>
      </w:r>
    </w:p>
    <w:p w14:paraId="1C42F52C" w14:textId="30591918" w:rsidR="001E2603" w:rsidRPr="00F335E2" w:rsidRDefault="7D2B3368" w:rsidP="7D2B3368">
      <w:pPr>
        <w:spacing w:after="8" w:line="265" w:lineRule="auto"/>
        <w:ind w:left="1791" w:right="1718"/>
        <w:jc w:val="center"/>
        <w:rPr>
          <w:b/>
          <w:bCs/>
          <w:smallCaps/>
          <w:sz w:val="22"/>
          <w:szCs w:val="22"/>
        </w:rPr>
      </w:pPr>
      <w:r w:rsidRPr="7D2B3368">
        <w:rPr>
          <w:b/>
          <w:bCs/>
          <w:smallCaps/>
          <w:sz w:val="22"/>
          <w:szCs w:val="22"/>
        </w:rPr>
        <w:t xml:space="preserve">Spring, 2023 SYLLABUS – LAW 6940 – 3 CREDITS </w:t>
      </w:r>
    </w:p>
    <w:p w14:paraId="6A1B78BB" w14:textId="77777777" w:rsidR="0044543F" w:rsidRPr="00F335E2" w:rsidRDefault="0044543F" w:rsidP="7D2B3368">
      <w:pPr>
        <w:spacing w:after="8" w:line="265" w:lineRule="auto"/>
        <w:ind w:left="1791" w:right="1718"/>
        <w:jc w:val="center"/>
        <w:rPr>
          <w:b/>
          <w:bCs/>
          <w:sz w:val="22"/>
          <w:szCs w:val="22"/>
        </w:rPr>
      </w:pPr>
    </w:p>
    <w:p w14:paraId="47E47726" w14:textId="6E3A4C85" w:rsidR="006A5D34" w:rsidRPr="00F335E2" w:rsidRDefault="7D2B3368" w:rsidP="7D2B3368">
      <w:pPr>
        <w:rPr>
          <w:sz w:val="22"/>
          <w:szCs w:val="22"/>
        </w:rPr>
      </w:pPr>
      <w:r w:rsidRPr="7D2B3368">
        <w:rPr>
          <w:sz w:val="22"/>
          <w:szCs w:val="22"/>
        </w:rPr>
        <w:t xml:space="preserve">Professor </w:t>
      </w:r>
      <w:r w:rsidRPr="7D2B3368">
        <w:rPr>
          <w:sz w:val="22"/>
          <w:szCs w:val="22"/>
          <w:lang w:eastAsia="zh-CN"/>
        </w:rPr>
        <w:t>Stacey Steinberg</w:t>
      </w:r>
    </w:p>
    <w:p w14:paraId="22BBBF3A" w14:textId="2A45B83D" w:rsidR="006A5D34" w:rsidRPr="00F335E2" w:rsidRDefault="7D2B3368" w:rsidP="7D2B3368">
      <w:pPr>
        <w:rPr>
          <w:sz w:val="22"/>
          <w:szCs w:val="22"/>
        </w:rPr>
      </w:pPr>
      <w:r w:rsidRPr="7D2B3368">
        <w:rPr>
          <w:sz w:val="22"/>
          <w:szCs w:val="22"/>
        </w:rPr>
        <w:t>Virgil Hawkins Civil Clinics, Bruton-Geer Hall</w:t>
      </w:r>
    </w:p>
    <w:p w14:paraId="17A3E66B" w14:textId="596117B6" w:rsidR="006A5D34" w:rsidRPr="00F335E2" w:rsidRDefault="7D2B3368" w:rsidP="7D2B3368">
      <w:pPr>
        <w:rPr>
          <w:sz w:val="22"/>
          <w:szCs w:val="22"/>
        </w:rPr>
      </w:pPr>
      <w:r w:rsidRPr="7D2B3368">
        <w:rPr>
          <w:sz w:val="22"/>
          <w:szCs w:val="22"/>
        </w:rPr>
        <w:t xml:space="preserve">Office Phone: </w:t>
      </w:r>
      <w:r w:rsidRPr="7D2B3368">
        <w:rPr>
          <w:sz w:val="22"/>
          <w:szCs w:val="22"/>
          <w:lang w:eastAsia="zh-CN"/>
        </w:rPr>
        <w:t>352.273.0800</w:t>
      </w:r>
    </w:p>
    <w:p w14:paraId="05CB6241" w14:textId="796D019D" w:rsidR="006A5D34" w:rsidRPr="00F335E2" w:rsidRDefault="7D2B3368" w:rsidP="7D2B3368">
      <w:pPr>
        <w:rPr>
          <w:sz w:val="22"/>
          <w:szCs w:val="22"/>
        </w:rPr>
      </w:pPr>
      <w:r w:rsidRPr="7D2B3368">
        <w:rPr>
          <w:sz w:val="22"/>
          <w:szCs w:val="22"/>
        </w:rPr>
        <w:t xml:space="preserve">Email: </w:t>
      </w:r>
      <w:r w:rsidRPr="7D2B3368">
        <w:rPr>
          <w:sz w:val="22"/>
          <w:szCs w:val="22"/>
          <w:lang w:eastAsia="zh-CN"/>
        </w:rPr>
        <w:t>steinberg@law.ufl.edu</w:t>
      </w:r>
    </w:p>
    <w:p w14:paraId="668500BF" w14:textId="55D25884" w:rsidR="006A5D34" w:rsidRPr="00F335E2" w:rsidRDefault="7D2B3368" w:rsidP="7D2B3368">
      <w:pPr>
        <w:rPr>
          <w:sz w:val="22"/>
          <w:szCs w:val="22"/>
          <w:lang w:eastAsia="zh-CN"/>
        </w:rPr>
      </w:pPr>
      <w:r w:rsidRPr="7D2B3368">
        <w:rPr>
          <w:sz w:val="22"/>
          <w:szCs w:val="22"/>
        </w:rPr>
        <w:t xml:space="preserve">Office Hours: </w:t>
      </w:r>
      <w:r w:rsidRPr="7D2B3368">
        <w:rPr>
          <w:sz w:val="22"/>
          <w:szCs w:val="22"/>
          <w:lang w:eastAsia="zh-CN"/>
        </w:rPr>
        <w:t>Mondays and Wednesdays 9-10 AM</w:t>
      </w:r>
    </w:p>
    <w:p w14:paraId="177A94E1" w14:textId="77777777" w:rsidR="006A5D34" w:rsidRPr="00F335E2" w:rsidRDefault="006A5D34" w:rsidP="7D2B3368">
      <w:pPr>
        <w:rPr>
          <w:sz w:val="22"/>
          <w:szCs w:val="22"/>
        </w:rPr>
      </w:pPr>
    </w:p>
    <w:p w14:paraId="329582A2" w14:textId="4E2366E4" w:rsidR="00242088" w:rsidRPr="00F335E2" w:rsidRDefault="7D2B3368" w:rsidP="7D2B3368">
      <w:pPr>
        <w:shd w:val="clear" w:color="auto" w:fill="FFFFFF" w:themeFill="background1"/>
        <w:rPr>
          <w:sz w:val="22"/>
          <w:szCs w:val="22"/>
          <w:lang w:eastAsia="zh-CN"/>
        </w:rPr>
      </w:pPr>
      <w:r w:rsidRPr="7D2B3368">
        <w:rPr>
          <w:b/>
          <w:bCs/>
          <w:sz w:val="22"/>
          <w:szCs w:val="22"/>
          <w:u w:val="single"/>
        </w:rPr>
        <w:t xml:space="preserve">MEETING TIME: </w:t>
      </w:r>
      <w:r w:rsidRPr="7D2B3368">
        <w:rPr>
          <w:sz w:val="22"/>
          <w:szCs w:val="22"/>
          <w:lang w:eastAsia="zh-CN"/>
        </w:rPr>
        <w:t>Mondays 1:15-3:15 PM</w:t>
      </w:r>
    </w:p>
    <w:p w14:paraId="38422F12" w14:textId="42B65FD1" w:rsidR="006A5D34" w:rsidRPr="00F335E2" w:rsidRDefault="7D2B3368" w:rsidP="7D2B3368">
      <w:pPr>
        <w:rPr>
          <w:sz w:val="22"/>
          <w:szCs w:val="22"/>
          <w:u w:val="single"/>
        </w:rPr>
      </w:pPr>
      <w:r w:rsidRPr="7D2B3368">
        <w:rPr>
          <w:b/>
          <w:bCs/>
          <w:sz w:val="22"/>
          <w:szCs w:val="22"/>
          <w:u w:val="single"/>
        </w:rPr>
        <w:t>LOCATION:</w:t>
      </w:r>
      <w:r w:rsidRPr="7D2B3368">
        <w:rPr>
          <w:sz w:val="22"/>
          <w:szCs w:val="22"/>
          <w:u w:val="single"/>
        </w:rPr>
        <w:t xml:space="preserve"> </w:t>
      </w:r>
      <w:r w:rsidRPr="7D2B3368">
        <w:rPr>
          <w:sz w:val="22"/>
          <w:szCs w:val="22"/>
          <w:lang w:eastAsia="zh-CN"/>
        </w:rPr>
        <w:t>MLAC213</w:t>
      </w:r>
    </w:p>
    <w:p w14:paraId="154C7CCF" w14:textId="77777777" w:rsidR="006A5D34" w:rsidRPr="00F335E2" w:rsidRDefault="006A5D34" w:rsidP="7D2B3368">
      <w:pPr>
        <w:rPr>
          <w:sz w:val="22"/>
          <w:szCs w:val="22"/>
        </w:rPr>
      </w:pPr>
    </w:p>
    <w:p w14:paraId="5373273B" w14:textId="5D669376" w:rsidR="00B47272" w:rsidRPr="00F335E2" w:rsidRDefault="7D2B3368" w:rsidP="7D2B3368">
      <w:pPr>
        <w:rPr>
          <w:b/>
          <w:bCs/>
          <w:sz w:val="22"/>
          <w:szCs w:val="22"/>
          <w:u w:val="single"/>
        </w:rPr>
      </w:pPr>
      <w:r w:rsidRPr="7D2B3368">
        <w:rPr>
          <w:b/>
          <w:bCs/>
          <w:sz w:val="22"/>
          <w:szCs w:val="22"/>
          <w:u w:val="single"/>
        </w:rPr>
        <w:t>COURSE DESCRIPTION AND OBJECTIVES:</w:t>
      </w:r>
    </w:p>
    <w:p w14:paraId="3945E9CD" w14:textId="718904B3" w:rsidR="00663752" w:rsidRDefault="7D2B3368" w:rsidP="7D2B3368">
      <w:pPr>
        <w:shd w:val="clear" w:color="auto" w:fill="FFFFFF" w:themeFill="background1"/>
        <w:spacing w:before="180" w:after="180"/>
      </w:pPr>
      <w:r w:rsidRPr="7D2B3368">
        <w:t xml:space="preserve">The Gator TeamChild Juvenile Law and Policy Clinic provides free legal services to children and gives students an opportunity to advocate for children regarding a broad spectrum of issues. The Clinic is a full-service law firm, providing representation primarily in dependency, </w:t>
      </w:r>
      <w:proofErr w:type="gramStart"/>
      <w:r w:rsidRPr="7D2B3368">
        <w:t>delinquency</w:t>
      </w:r>
      <w:proofErr w:type="gramEnd"/>
      <w:r w:rsidRPr="7D2B3368">
        <w:t xml:space="preserve"> and educational proceedings.</w:t>
      </w:r>
    </w:p>
    <w:p w14:paraId="3271F568" w14:textId="15BD0825" w:rsidR="00663752" w:rsidRDefault="7D2B3368" w:rsidP="7D2B3368">
      <w:pPr>
        <w:shd w:val="clear" w:color="auto" w:fill="FFFFFF" w:themeFill="background1"/>
        <w:spacing w:before="180" w:after="180"/>
      </w:pPr>
      <w:r w:rsidRPr="7D2B3368">
        <w:t>The Clinic provides presentations to outside agencies, high school and university classes, and others interested in juvenile law. Students will be required to present on a variety of topics related to juvenile law during the semester.</w:t>
      </w:r>
    </w:p>
    <w:p w14:paraId="1F079BE1" w14:textId="0B698A13" w:rsidR="00663752" w:rsidRPr="007C7AB8" w:rsidRDefault="7D2B3368" w:rsidP="7D2B3368">
      <w:pPr>
        <w:shd w:val="clear" w:color="auto" w:fill="FFFFFF" w:themeFill="background1"/>
        <w:spacing w:before="180" w:after="180"/>
      </w:pPr>
      <w:r w:rsidRPr="7D2B3368">
        <w:t>The Clinic writes policy papers, white papers, and other documents aimed at informing young people, their families, and their communities about issues related to juvenile law and children’s rights. Students will be required to contribute to these written documents during the semester.</w:t>
      </w:r>
    </w:p>
    <w:p w14:paraId="61212C92" w14:textId="77777777" w:rsidR="00561911" w:rsidRPr="00F335E2" w:rsidRDefault="00561911" w:rsidP="7D2B3368">
      <w:pPr>
        <w:rPr>
          <w:b/>
          <w:bCs/>
          <w:sz w:val="22"/>
          <w:szCs w:val="22"/>
          <w:u w:val="single"/>
        </w:rPr>
      </w:pPr>
    </w:p>
    <w:p w14:paraId="69B96114" w14:textId="433406A2" w:rsidR="006A5D34" w:rsidRPr="00F335E2" w:rsidRDefault="7D2B3368" w:rsidP="7D2B3368">
      <w:pPr>
        <w:rPr>
          <w:b/>
          <w:bCs/>
          <w:sz w:val="22"/>
          <w:szCs w:val="22"/>
          <w:u w:val="single"/>
        </w:rPr>
      </w:pPr>
      <w:r w:rsidRPr="7D2B3368">
        <w:rPr>
          <w:b/>
          <w:bCs/>
          <w:sz w:val="22"/>
          <w:szCs w:val="22"/>
          <w:u w:val="single"/>
        </w:rPr>
        <w:t>STUDENT LEARNING OUTCOMES:</w:t>
      </w:r>
    </w:p>
    <w:p w14:paraId="43C1AC20" w14:textId="580DE49F" w:rsidR="7D2B3368" w:rsidRDefault="7D2B3368" w:rsidP="7D2B3368">
      <w:pPr>
        <w:rPr>
          <w:b/>
          <w:bCs/>
          <w:u w:val="single"/>
        </w:rPr>
      </w:pPr>
    </w:p>
    <w:p w14:paraId="37C00B9B" w14:textId="057217A2" w:rsidR="00441046" w:rsidRPr="00663752" w:rsidRDefault="7D2B3368" w:rsidP="7D2B3368">
      <w:pPr>
        <w:pStyle w:val="paragraph"/>
        <w:shd w:val="clear" w:color="auto" w:fill="FFFFFF" w:themeFill="background1"/>
        <w:spacing w:before="0" w:beforeAutospacing="0" w:after="0" w:afterAutospacing="0"/>
        <w:textAlignment w:val="baseline"/>
        <w:rPr>
          <w:rStyle w:val="eop"/>
        </w:rPr>
      </w:pPr>
      <w:r w:rsidRPr="7D2B3368">
        <w:rPr>
          <w:rStyle w:val="normaltextrun"/>
        </w:rPr>
        <w:t>Upon completion of this course, students should know how to:</w:t>
      </w:r>
      <w:r w:rsidRPr="7D2B3368">
        <w:rPr>
          <w:rStyle w:val="eop"/>
        </w:rPr>
        <w:t> </w:t>
      </w:r>
    </w:p>
    <w:p w14:paraId="6A9B81ED" w14:textId="22055965" w:rsidR="7D2B3368" w:rsidRDefault="7D2B3368" w:rsidP="7D2B3368">
      <w:pPr>
        <w:numPr>
          <w:ilvl w:val="0"/>
          <w:numId w:val="43"/>
        </w:numPr>
        <w:spacing w:beforeAutospacing="1" w:afterAutospacing="1"/>
        <w:ind w:left="375"/>
        <w:rPr>
          <w:rFonts w:asciiTheme="minorHAnsi" w:eastAsiaTheme="minorEastAsia" w:hAnsiTheme="minorHAnsi" w:cstheme="minorBidi"/>
        </w:rPr>
      </w:pPr>
      <w:r w:rsidRPr="7D2B3368">
        <w:t>Understand the dependency and delinquency court system</w:t>
      </w:r>
    </w:p>
    <w:p w14:paraId="0033ABAD" w14:textId="77777777" w:rsidR="00663752" w:rsidRPr="007C7AB8"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7D2B3368">
        <w:t>Interact with professionals from various agencies and in opposing positions</w:t>
      </w:r>
    </w:p>
    <w:p w14:paraId="6AF5A15F" w14:textId="77777777" w:rsidR="00663752" w:rsidRPr="007C7AB8"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7D2B3368">
        <w:t>Utilize law office case management systems</w:t>
      </w:r>
    </w:p>
    <w:p w14:paraId="6C3C9705" w14:textId="698A2F2A" w:rsidR="00663752"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7D2B3368">
        <w:t>Navigate systems embedded within various administrative agencies</w:t>
      </w:r>
    </w:p>
    <w:p w14:paraId="6B7A8F07" w14:textId="477515F2" w:rsidR="00663752" w:rsidRPr="007C7AB8"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7D2B3368">
        <w:t>Speak and write about legal issues to various audiences including non-lawyers</w:t>
      </w:r>
    </w:p>
    <w:p w14:paraId="3109D29E" w14:textId="77777777" w:rsidR="006A5D34" w:rsidRPr="00F335E2" w:rsidRDefault="006A5D34" w:rsidP="7D2B3368">
      <w:pPr>
        <w:rPr>
          <w:b/>
          <w:bCs/>
          <w:sz w:val="22"/>
          <w:szCs w:val="22"/>
          <w:u w:val="single"/>
        </w:rPr>
      </w:pPr>
    </w:p>
    <w:p w14:paraId="0212562F" w14:textId="7F9E8AD0" w:rsidR="00DA68FE" w:rsidRPr="00F335E2" w:rsidRDefault="7D2B3368" w:rsidP="7D2B3368">
      <w:pPr>
        <w:rPr>
          <w:sz w:val="22"/>
          <w:szCs w:val="22"/>
        </w:rPr>
      </w:pPr>
      <w:r w:rsidRPr="7D2B3368">
        <w:rPr>
          <w:b/>
          <w:bCs/>
          <w:sz w:val="22"/>
          <w:szCs w:val="22"/>
          <w:u w:val="single"/>
        </w:rPr>
        <w:t>REQUIRED READING MATERIALS:</w:t>
      </w:r>
    </w:p>
    <w:p w14:paraId="76392F21" w14:textId="77777777" w:rsidR="00642145" w:rsidRDefault="00642145" w:rsidP="7D2B3368">
      <w:pPr>
        <w:autoSpaceDE w:val="0"/>
        <w:autoSpaceDN w:val="0"/>
        <w:adjustRightInd w:val="0"/>
        <w:rPr>
          <w:sz w:val="22"/>
          <w:szCs w:val="22"/>
        </w:rPr>
      </w:pPr>
    </w:p>
    <w:p w14:paraId="27D29B67" w14:textId="64504378" w:rsidR="00B47272" w:rsidRPr="00F335E2" w:rsidRDefault="7D2B3368" w:rsidP="7D2B3368">
      <w:pPr>
        <w:autoSpaceDE w:val="0"/>
        <w:autoSpaceDN w:val="0"/>
        <w:adjustRightInd w:val="0"/>
        <w:rPr>
          <w:sz w:val="22"/>
          <w:szCs w:val="22"/>
        </w:rPr>
      </w:pPr>
      <w:r w:rsidRPr="7D2B3368">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7D2B3368">
        <w:rPr>
          <w:rFonts w:eastAsia="Baskerville Old Face"/>
          <w:sz w:val="22"/>
          <w:szCs w:val="22"/>
        </w:rPr>
        <w:t xml:space="preserve"> </w:t>
      </w:r>
    </w:p>
    <w:p w14:paraId="031B2321" w14:textId="32660670" w:rsidR="00561911" w:rsidRPr="00F335E2" w:rsidRDefault="00561911" w:rsidP="7D2B3368">
      <w:pPr>
        <w:rPr>
          <w:sz w:val="22"/>
          <w:szCs w:val="22"/>
        </w:rPr>
      </w:pPr>
    </w:p>
    <w:p w14:paraId="2795A657" w14:textId="38F67FCB" w:rsidR="00242088" w:rsidRPr="00F335E2" w:rsidRDefault="7D2B3368" w:rsidP="7D2B3368">
      <w:pPr>
        <w:rPr>
          <w:b/>
          <w:bCs/>
          <w:sz w:val="22"/>
          <w:szCs w:val="22"/>
          <w:u w:val="single"/>
        </w:rPr>
      </w:pPr>
      <w:r w:rsidRPr="7D2B3368">
        <w:rPr>
          <w:b/>
          <w:bCs/>
          <w:sz w:val="22"/>
          <w:szCs w:val="22"/>
          <w:u w:val="single"/>
        </w:rPr>
        <w:t>COURSE EXPECTATIONS AND GRADING EVALUATION:</w:t>
      </w:r>
    </w:p>
    <w:p w14:paraId="6651B224" w14:textId="2DDC08A2" w:rsidR="7D2B3368" w:rsidRDefault="7D2B3368" w:rsidP="7D2B3368">
      <w:pPr>
        <w:rPr>
          <w:b/>
          <w:bCs/>
          <w:u w:val="single"/>
        </w:rPr>
      </w:pPr>
    </w:p>
    <w:p w14:paraId="1AC4F048" w14:textId="48AE8E05" w:rsidR="00663752" w:rsidRPr="007C7AB8" w:rsidRDefault="00663752" w:rsidP="7D2B3368">
      <w:pPr>
        <w:shd w:val="clear" w:color="auto" w:fill="FFFFFF" w:themeFill="background1"/>
      </w:pPr>
      <w:r w:rsidRPr="7D2B3368">
        <w:lastRenderedPageBreak/>
        <w:t>This course is graded Satisfactory or Unsatisfactory.  For Further information on current UF LAW grading policies, see: </w:t>
      </w:r>
      <w:hyperlink r:id="rId8" w:tgtFrame="_blank" w:history="1">
        <w:r w:rsidRPr="7D2B3368">
          <w:rPr>
            <w:u w:val="single"/>
          </w:rPr>
          <w:t>https://catalog.ufl.edu/ugrad/current/regulations/info/grades.aspx</w:t>
        </w:r>
        <w:r w:rsidRPr="7D2B3368">
          <w:rPr>
            <w:u w:val="single"/>
            <w:bdr w:val="none" w:sz="0" w:space="0" w:color="auto" w:frame="1"/>
          </w:rPr>
          <w:t> (Links to an external site.)Links to an external site.</w:t>
        </w:r>
      </w:hyperlink>
      <w:r w:rsidRPr="7D2B3368">
        <w:t xml:space="preserve">. Your grade will be based on written assignments, class participation, management of case assignments (see minimum case requirements below), quality of preparation and performance during class exercises and role plays and class attendance.  There is no final exam. </w:t>
      </w:r>
    </w:p>
    <w:p w14:paraId="7A45F485" w14:textId="0358DB3C" w:rsidR="00663752" w:rsidRPr="007C7AB8" w:rsidRDefault="00663752" w:rsidP="7D2B3368">
      <w:pPr>
        <w:shd w:val="clear" w:color="auto" w:fill="FFFFFF" w:themeFill="background1"/>
      </w:pPr>
    </w:p>
    <w:p w14:paraId="448859EC" w14:textId="77777777" w:rsidR="00663752" w:rsidRPr="007C7AB8" w:rsidRDefault="00663752" w:rsidP="7D2B3368">
      <w:pPr>
        <w:shd w:val="clear" w:color="auto" w:fill="FFFFFF" w:themeFill="background1"/>
      </w:pPr>
      <w:r w:rsidRPr="7D2B3368">
        <w:t>A S+ will be awarded to students who perform exceptionally throughout the semester. </w:t>
      </w:r>
    </w:p>
    <w:p w14:paraId="44A3B7C6" w14:textId="77777777" w:rsidR="00642145" w:rsidRDefault="00642145" w:rsidP="7D2B3368">
      <w:pPr>
        <w:pStyle w:val="paragraph"/>
        <w:shd w:val="clear" w:color="auto" w:fill="FFFFFF" w:themeFill="background1"/>
        <w:spacing w:before="0" w:beforeAutospacing="0" w:after="0" w:afterAutospacing="0"/>
        <w:textAlignment w:val="baseline"/>
        <w:rPr>
          <w:rStyle w:val="eop"/>
        </w:rPr>
      </w:pPr>
    </w:p>
    <w:p w14:paraId="4F169D69" w14:textId="5D3BDF06" w:rsidR="00242088" w:rsidRPr="00642145" w:rsidRDefault="7D2B3368" w:rsidP="7D2B3368">
      <w:pPr>
        <w:spacing w:before="120" w:after="200"/>
        <w:rPr>
          <w:b/>
          <w:bCs/>
          <w:sz w:val="22"/>
          <w:szCs w:val="22"/>
          <w:u w:val="single"/>
        </w:rPr>
      </w:pPr>
      <w:r w:rsidRPr="7D2B3368">
        <w:rPr>
          <w:b/>
          <w:bCs/>
          <w:sz w:val="22"/>
          <w:szCs w:val="22"/>
          <w:u w:val="single"/>
        </w:rPr>
        <w:t>CLASS ATTENDANCE POLICY:</w:t>
      </w:r>
    </w:p>
    <w:p w14:paraId="206235F6" w14:textId="0B10582C" w:rsidR="00242088" w:rsidRPr="00642145" w:rsidRDefault="001C0EA6" w:rsidP="7D2B3368">
      <w:pPr>
        <w:spacing w:before="120" w:after="200"/>
        <w:rPr>
          <w:b/>
          <w:bCs/>
          <w:sz w:val="22"/>
          <w:szCs w:val="22"/>
          <w:u w:val="single"/>
        </w:rPr>
      </w:pPr>
      <w:r>
        <w:br/>
      </w:r>
      <w:r w:rsidR="7D2B3368" w:rsidRPr="7D2B3368">
        <w:rPr>
          <w:sz w:val="22"/>
          <w:szCs w:val="22"/>
        </w:rPr>
        <w:t xml:space="preserve">Attendance in class is required by both the ABA and the Law School. Attendance will be taken at each class meeting.  Students are allowed two absences during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r w:rsidR="7D2B3368" w:rsidRPr="7D2B3368">
          <w:rPr>
            <w:rStyle w:val="Hyperlink"/>
            <w:color w:val="auto"/>
            <w:sz w:val="22"/>
            <w:szCs w:val="22"/>
          </w:rPr>
          <w:t>here</w:t>
        </w:r>
      </w:hyperlink>
      <w:r w:rsidR="7D2B3368" w:rsidRPr="7D2B3368">
        <w:rPr>
          <w:sz w:val="22"/>
          <w:szCs w:val="22"/>
        </w:rPr>
        <w:t>.</w:t>
      </w:r>
    </w:p>
    <w:p w14:paraId="6E82A317" w14:textId="5C9995D7" w:rsidR="00AA2DEF" w:rsidRPr="00AA2DEF" w:rsidRDefault="00AA2DEF" w:rsidP="7D2B3368">
      <w:pPr>
        <w:rPr>
          <w:b/>
          <w:bCs/>
          <w:sz w:val="22"/>
          <w:szCs w:val="22"/>
          <w:u w:val="single"/>
          <w:bdr w:val="none" w:sz="0" w:space="0" w:color="auto" w:frame="1"/>
          <w:shd w:val="clear" w:color="auto" w:fill="FFFFFF"/>
        </w:rPr>
      </w:pPr>
      <w:r w:rsidRPr="7D2B3368">
        <w:rPr>
          <w:b/>
          <w:bCs/>
          <w:sz w:val="22"/>
          <w:szCs w:val="22"/>
          <w:u w:val="single"/>
          <w:bdr w:val="none" w:sz="0" w:space="0" w:color="auto" w:frame="1"/>
          <w:shd w:val="clear" w:color="auto" w:fill="FFFFFF"/>
        </w:rPr>
        <w:t xml:space="preserve">UF LEVIN COLLEGE OF LAW </w:t>
      </w:r>
      <w:r w:rsidR="003C6E38" w:rsidRPr="7D2B3368">
        <w:rPr>
          <w:b/>
          <w:bCs/>
          <w:sz w:val="22"/>
          <w:szCs w:val="22"/>
          <w:u w:val="single"/>
          <w:bdr w:val="none" w:sz="0" w:space="0" w:color="auto" w:frame="1"/>
          <w:shd w:val="clear" w:color="auto" w:fill="FFFFFF"/>
        </w:rPr>
        <w:t xml:space="preserve">STANDARD SYLLABUS </w:t>
      </w:r>
      <w:r w:rsidRPr="7D2B3368">
        <w:rPr>
          <w:b/>
          <w:bCs/>
          <w:sz w:val="22"/>
          <w:szCs w:val="22"/>
          <w:u w:val="single"/>
          <w:bdr w:val="none" w:sz="0" w:space="0" w:color="auto" w:frame="1"/>
          <w:shd w:val="clear" w:color="auto" w:fill="FFFFFF"/>
        </w:rPr>
        <w:t>POLICIES:</w:t>
      </w:r>
    </w:p>
    <w:p w14:paraId="2BD4721C" w14:textId="35812B28" w:rsidR="7D2B3368" w:rsidRDefault="7D2B3368" w:rsidP="7D2B3368">
      <w:pPr>
        <w:rPr>
          <w:sz w:val="22"/>
          <w:szCs w:val="22"/>
        </w:rPr>
      </w:pPr>
    </w:p>
    <w:p w14:paraId="6FE070EB" w14:textId="3EBABEC7" w:rsidR="00AA2DEF" w:rsidRDefault="00AA2DEF" w:rsidP="7D2B3368">
      <w:pPr>
        <w:rPr>
          <w:sz w:val="22"/>
          <w:szCs w:val="22"/>
        </w:rPr>
      </w:pPr>
      <w:r w:rsidRPr="7D2B3368">
        <w:rPr>
          <w:sz w:val="22"/>
          <w:szCs w:val="22"/>
          <w:bdr w:val="none" w:sz="0" w:space="0" w:color="auto" w:frame="1"/>
          <w:shd w:val="clear" w:color="auto" w:fill="FFFFFF"/>
        </w:rPr>
        <w:t xml:space="preserve">Other information about UF Levin College of Law policies, including compliance with the UF Honor Code, Grading, Accommodations, and Course Evaluations can be found at this link: </w:t>
      </w:r>
      <w:hyperlink r:id="rId10">
        <w:r w:rsidR="7D2B3368" w:rsidRPr="7D2B3368">
          <w:rPr>
            <w:rStyle w:val="Hyperlink"/>
            <w:sz w:val="22"/>
            <w:szCs w:val="22"/>
          </w:rPr>
          <w:t>https://ufl.instructure.com/courses/427635/files/74674656?wrap=1</w:t>
        </w:r>
      </w:hyperlink>
      <w:r w:rsidR="00F14D25" w:rsidRPr="7D2B3368">
        <w:rPr>
          <w:sz w:val="22"/>
          <w:szCs w:val="22"/>
        </w:rPr>
        <w:t>.</w:t>
      </w:r>
    </w:p>
    <w:p w14:paraId="599FF817" w14:textId="68FD7B32" w:rsidR="00663752" w:rsidRDefault="00663752" w:rsidP="7D2B3368">
      <w:pPr>
        <w:rPr>
          <w:sz w:val="22"/>
          <w:szCs w:val="22"/>
        </w:rPr>
      </w:pPr>
    </w:p>
    <w:p w14:paraId="51801E91" w14:textId="77777777" w:rsidR="00663752" w:rsidRPr="00663752" w:rsidRDefault="7D2B3368" w:rsidP="7D2B3368">
      <w:pPr>
        <w:shd w:val="clear" w:color="auto" w:fill="FFFFFF" w:themeFill="background1"/>
        <w:spacing w:before="180" w:after="180"/>
        <w:rPr>
          <w:b/>
          <w:bCs/>
          <w:u w:val="single"/>
        </w:rPr>
      </w:pPr>
      <w:r w:rsidRPr="7D2B3368">
        <w:rPr>
          <w:b/>
          <w:bCs/>
          <w:u w:val="single"/>
        </w:rPr>
        <w:t>CLASS RECORDINGS</w:t>
      </w:r>
    </w:p>
    <w:p w14:paraId="4424AB92" w14:textId="77777777" w:rsidR="00663752" w:rsidRDefault="7D2B3368" w:rsidP="7D2B3368">
      <w:pPr>
        <w:shd w:val="clear" w:color="auto" w:fill="FFFFFF" w:themeFill="background1"/>
        <w:spacing w:before="180" w:after="180"/>
        <w:rPr>
          <w:b/>
          <w:bCs/>
          <w:u w:val="single"/>
        </w:rPr>
      </w:pPr>
      <w:r w:rsidRPr="7D2B3368">
        <w:t>GTC is a legal live-client clinic and as such must adhere to the Florida Bar Rules of Professional Conduct.  According to Rule 4-1.6, all information relating to a client's representation </w:t>
      </w:r>
      <w:r w:rsidRPr="7D2B3368">
        <w:rPr>
          <w:b/>
          <w:bCs/>
        </w:rPr>
        <w:t>is confidential</w:t>
      </w:r>
      <w:r w:rsidRPr="7D2B3368">
        <w:t xml:space="preserve"> and may not be voluntarily disclosed by the lawyer without either the client's consent or the application of a relevant exception to the confidentiality rule. </w:t>
      </w:r>
      <w:r w:rsidRPr="7D2B3368">
        <w:rPr>
          <w:b/>
          <w:bCs/>
          <w:u w:val="single"/>
        </w:rPr>
        <w:t>Because client information is frequently discussed during class, GTC classes will not be recorded, and student recording of the classes is prohibited.</w:t>
      </w:r>
    </w:p>
    <w:p w14:paraId="5F6C1C22" w14:textId="64547394" w:rsidR="00663752" w:rsidRPr="00663752" w:rsidRDefault="7D2B3368" w:rsidP="7D2B3368">
      <w:pPr>
        <w:shd w:val="clear" w:color="auto" w:fill="FFFFFF" w:themeFill="background1"/>
        <w:spacing w:before="180" w:after="180"/>
        <w:rPr>
          <w:b/>
          <w:bCs/>
          <w:u w:val="single"/>
        </w:rPr>
      </w:pPr>
      <w:r w:rsidRPr="7D2B3368">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D6709E2" w14:textId="77777777" w:rsidR="00AA2DEF" w:rsidRPr="00F14D25" w:rsidRDefault="00AA2DEF" w:rsidP="7D2B3368">
      <w:pPr>
        <w:rPr>
          <w:sz w:val="22"/>
          <w:szCs w:val="22"/>
          <w:bdr w:val="none" w:sz="0" w:space="0" w:color="auto" w:frame="1"/>
          <w:shd w:val="clear" w:color="auto" w:fill="FFFFFF"/>
        </w:rPr>
      </w:pPr>
    </w:p>
    <w:p w14:paraId="2DACCBE3" w14:textId="16573382" w:rsidR="00AA2DEF" w:rsidRPr="00F335E2" w:rsidRDefault="7D2B3368" w:rsidP="7D2B3368">
      <w:pPr>
        <w:rPr>
          <w:rFonts w:eastAsia="Baskerville Old Face"/>
          <w:sz w:val="22"/>
          <w:szCs w:val="22"/>
        </w:rPr>
      </w:pPr>
      <w:r w:rsidRPr="7D2B3368">
        <w:rPr>
          <w:b/>
          <w:bCs/>
          <w:sz w:val="22"/>
          <w:szCs w:val="22"/>
          <w:u w:val="single"/>
        </w:rPr>
        <w:t>ABA OUT-OF-CLASS HOURS REQUIREMENTS</w:t>
      </w:r>
    </w:p>
    <w:p w14:paraId="501B821B" w14:textId="17E07F62" w:rsidR="00AA2DEF" w:rsidRPr="00F335E2" w:rsidRDefault="00AA2DEF" w:rsidP="7D2B3368">
      <w:pPr>
        <w:rPr>
          <w:rFonts w:eastAsia="Baskerville Old Face"/>
          <w:sz w:val="22"/>
          <w:szCs w:val="22"/>
        </w:rPr>
      </w:pPr>
    </w:p>
    <w:p w14:paraId="204705B0" w14:textId="44DB0E88" w:rsidR="00AA2DEF" w:rsidRPr="00F335E2" w:rsidRDefault="7D2B3368" w:rsidP="7D2B3368">
      <w:pPr>
        <w:rPr>
          <w:rFonts w:eastAsia="Baskerville Old Face"/>
          <w:sz w:val="22"/>
          <w:szCs w:val="22"/>
        </w:rPr>
      </w:pPr>
      <w:r w:rsidRPr="7D2B3368">
        <w:rPr>
          <w:rFonts w:eastAsia="Baskerville Old Face"/>
          <w:sz w:val="22"/>
          <w:szCs w:val="22"/>
        </w:rPr>
        <w:t xml:space="preserve">ABA Standard 310 requires that students devote 120 minutes to out-of-class preparation for every “classroom hour” of in-class instruction. Each weekly class is approximately 2 hours in length, requiring at least </w:t>
      </w:r>
      <w:r w:rsidRPr="7D2B3368">
        <w:rPr>
          <w:rFonts w:eastAsia="Baskerville Old Face"/>
          <w:b/>
          <w:bCs/>
          <w:sz w:val="22"/>
          <w:szCs w:val="22"/>
        </w:rPr>
        <w:t>8 hours of preparation</w:t>
      </w:r>
      <w:r w:rsidRPr="7D2B3368">
        <w:rPr>
          <w:rFonts w:eastAsia="Baskerville Old Face"/>
          <w:sz w:val="22"/>
          <w:szCs w:val="22"/>
        </w:rPr>
        <w:t xml:space="preserve"> outside of class including reading the assigned materials, preparing presentations and documents, and assisting clients.</w:t>
      </w:r>
      <w:r w:rsidR="007836B3">
        <w:rPr>
          <w:rFonts w:eastAsia="Baskerville Old Face"/>
          <w:sz w:val="22"/>
          <w:szCs w:val="22"/>
        </w:rPr>
        <w:t xml:space="preserve"> You will be required to record many of your out of class hours for this course. More details will be provided in class.</w:t>
      </w:r>
    </w:p>
    <w:p w14:paraId="6DEFDF7E" w14:textId="265DCC40" w:rsidR="001C0EA6" w:rsidRPr="00F335E2" w:rsidRDefault="001C0EA6" w:rsidP="7D2B3368">
      <w:pPr>
        <w:rPr>
          <w:rFonts w:eastAsia="Baskerville Old Face"/>
          <w:sz w:val="22"/>
          <w:szCs w:val="22"/>
        </w:rPr>
      </w:pPr>
    </w:p>
    <w:p w14:paraId="595E471D" w14:textId="77777777" w:rsidR="001C0EA6" w:rsidRPr="00F335E2" w:rsidRDefault="7D2B3368" w:rsidP="7D2B3368">
      <w:pPr>
        <w:rPr>
          <w:b/>
          <w:bCs/>
          <w:sz w:val="22"/>
          <w:szCs w:val="22"/>
          <w:u w:val="single"/>
        </w:rPr>
      </w:pPr>
      <w:r w:rsidRPr="7D2B3368">
        <w:rPr>
          <w:b/>
          <w:bCs/>
          <w:sz w:val="22"/>
          <w:szCs w:val="22"/>
          <w:u w:val="single"/>
        </w:rPr>
        <w:lastRenderedPageBreak/>
        <w:t xml:space="preserve">COURSE SCHEDULE OF TOPICS AND ASSIGNMENTS </w:t>
      </w:r>
    </w:p>
    <w:p w14:paraId="3A834A2E" w14:textId="5048D5FC" w:rsidR="7D2B3368" w:rsidRDefault="7D2B3368" w:rsidP="7D2B3368">
      <w:pPr>
        <w:rPr>
          <w:sz w:val="22"/>
          <w:szCs w:val="22"/>
        </w:rPr>
      </w:pPr>
    </w:p>
    <w:p w14:paraId="2DD28BB9" w14:textId="76DE7714" w:rsidR="00B942A3" w:rsidRDefault="7D2B3368" w:rsidP="7D2B3368">
      <w:pPr>
        <w:rPr>
          <w:sz w:val="22"/>
          <w:szCs w:val="22"/>
        </w:rPr>
      </w:pPr>
      <w:r w:rsidRPr="7D2B3368">
        <w:rPr>
          <w:sz w:val="22"/>
          <w:szCs w:val="22"/>
        </w:rPr>
        <w:t xml:space="preserve">This syllabus is offered as a guide to the direction of the course. Our pace will depend in part on the level of interest and the level of difficulty of each section and is subject to change. </w:t>
      </w:r>
    </w:p>
    <w:p w14:paraId="2F6A566B" w14:textId="74B279DE" w:rsidR="00931A9D" w:rsidRPr="00F335E2" w:rsidRDefault="00931A9D" w:rsidP="7D2B3368"/>
    <w:p w14:paraId="1D82225C" w14:textId="310D5E74" w:rsidR="00931A9D" w:rsidRDefault="00931A9D" w:rsidP="00931A9D">
      <w:pPr>
        <w:rPr>
          <w:rFonts w:eastAsia="Calibri"/>
          <w:b/>
          <w:u w:val="single"/>
        </w:rPr>
      </w:pPr>
      <w:r w:rsidRPr="0085212F">
        <w:rPr>
          <w:rFonts w:eastAsia="Calibri"/>
          <w:b/>
          <w:u w:val="single"/>
        </w:rPr>
        <w:t>Week One (</w:t>
      </w:r>
      <w:r>
        <w:rPr>
          <w:rFonts w:eastAsia="Calibri"/>
          <w:b/>
          <w:u w:val="single"/>
        </w:rPr>
        <w:t xml:space="preserve">Week of </w:t>
      </w:r>
      <w:r w:rsidR="00C13917">
        <w:rPr>
          <w:rFonts w:eastAsia="Calibri"/>
          <w:b/>
          <w:u w:val="single"/>
        </w:rPr>
        <w:t>January 16</w:t>
      </w:r>
      <w:r w:rsidRPr="008C31C1">
        <w:rPr>
          <w:rFonts w:eastAsia="Calibri"/>
          <w:b/>
          <w:u w:val="single"/>
          <w:vertAlign w:val="superscript"/>
        </w:rPr>
        <w:t>th</w:t>
      </w:r>
      <w:r>
        <w:rPr>
          <w:rFonts w:eastAsia="Calibri"/>
          <w:b/>
          <w:u w:val="single"/>
        </w:rPr>
        <w:t>)</w:t>
      </w:r>
    </w:p>
    <w:p w14:paraId="021FBF92" w14:textId="77777777" w:rsidR="00C13917" w:rsidRDefault="00C13917" w:rsidP="00931A9D">
      <w:pPr>
        <w:rPr>
          <w:rFonts w:eastAsia="Calibri"/>
        </w:rPr>
      </w:pPr>
    </w:p>
    <w:p w14:paraId="59D6F39D" w14:textId="5421270B" w:rsidR="00931A9D" w:rsidRDefault="00931A9D" w:rsidP="00931A9D">
      <w:pPr>
        <w:rPr>
          <w:rFonts w:eastAsia="Calibri"/>
          <w:color w:val="0000FF"/>
          <w:u w:val="single"/>
        </w:rPr>
      </w:pPr>
      <w:r w:rsidRPr="00C13917">
        <w:rPr>
          <w:rFonts w:eastAsia="Calibri"/>
          <w:i/>
          <w:iCs/>
        </w:rPr>
        <w:t>Read</w:t>
      </w:r>
      <w:r w:rsidRPr="0085212F">
        <w:rPr>
          <w:rFonts w:eastAsia="Calibri"/>
        </w:rPr>
        <w:t xml:space="preserve">: </w:t>
      </w:r>
      <w:hyperlink r:id="rId11" w:history="1">
        <w:r w:rsidRPr="0085212F">
          <w:rPr>
            <w:rFonts w:eastAsia="Calibri"/>
            <w:color w:val="0000FF"/>
            <w:u w:val="single"/>
          </w:rPr>
          <w:t>ABA Model Act Governing the Representation of Children in Abuse, Neglect, and Dependency Proceedings</w:t>
        </w:r>
      </w:hyperlink>
    </w:p>
    <w:p w14:paraId="35D5F428" w14:textId="46F2DA35" w:rsidR="00113F55" w:rsidRDefault="7D2B3368" w:rsidP="00113F55">
      <w:pPr>
        <w:rPr>
          <w:rFonts w:eastAsia="Calibri"/>
        </w:rPr>
      </w:pPr>
      <w:r w:rsidRPr="7D2B3368">
        <w:rPr>
          <w:rFonts w:eastAsia="Calibri"/>
        </w:rPr>
        <w:t xml:space="preserve">Dependency Flowchart #1: </w:t>
      </w:r>
      <w:hyperlink r:id="rId12">
        <w:r w:rsidRPr="7D2B3368">
          <w:rPr>
            <w:rStyle w:val="Hyperlink"/>
            <w:rFonts w:eastAsia="Calibri"/>
          </w:rPr>
          <w:t>https://www.flcourts.gov/content/download/215991/file/Floridas_Dependency_Flow_Chart_page1.pdf</w:t>
        </w:r>
      </w:hyperlink>
      <w:r w:rsidRPr="7D2B3368">
        <w:rPr>
          <w:rFonts w:eastAsia="Calibri"/>
        </w:rPr>
        <w:t xml:space="preserve">, Dependency Flowchart #2: </w:t>
      </w:r>
      <w:hyperlink r:id="rId13">
        <w:r w:rsidRPr="7D2B3368">
          <w:rPr>
            <w:rStyle w:val="Hyperlink"/>
            <w:rFonts w:eastAsia="Calibri"/>
          </w:rPr>
          <w:t>https://www.flcourts.gov/content/download/215992/file/Floridas_Dependency_Flow_Chart_page2.pdf</w:t>
        </w:r>
      </w:hyperlink>
      <w:r w:rsidRPr="7D2B3368">
        <w:rPr>
          <w:rFonts w:eastAsia="Calibri"/>
        </w:rPr>
        <w:t xml:space="preserve">, </w:t>
      </w:r>
    </w:p>
    <w:p w14:paraId="1E410CD3" w14:textId="77777777" w:rsidR="00C13917" w:rsidRDefault="00C13917" w:rsidP="00931A9D">
      <w:pPr>
        <w:rPr>
          <w:color w:val="2D3B45"/>
        </w:rPr>
      </w:pPr>
    </w:p>
    <w:p w14:paraId="6957BC70" w14:textId="4BE015E0" w:rsidR="00931A9D" w:rsidRDefault="00931A9D" w:rsidP="00931A9D">
      <w:pPr>
        <w:rPr>
          <w:rFonts w:eastAsia="Calibri"/>
          <w:b/>
          <w:u w:val="single"/>
        </w:rPr>
      </w:pPr>
      <w:r w:rsidRPr="0085212F">
        <w:rPr>
          <w:rFonts w:eastAsia="Calibri"/>
          <w:b/>
          <w:u w:val="single"/>
        </w:rPr>
        <w:t xml:space="preserve">Week Two (Week of </w:t>
      </w:r>
      <w:r w:rsidR="00C13917">
        <w:rPr>
          <w:rFonts w:eastAsia="Calibri"/>
          <w:b/>
          <w:u w:val="single"/>
        </w:rPr>
        <w:t>January 23</w:t>
      </w:r>
      <w:r w:rsidR="00C13917" w:rsidRPr="00C13917">
        <w:rPr>
          <w:rFonts w:eastAsia="Calibri"/>
          <w:b/>
          <w:u w:val="single"/>
          <w:vertAlign w:val="superscript"/>
        </w:rPr>
        <w:t>rd</w:t>
      </w:r>
      <w:r w:rsidRPr="0085212F">
        <w:rPr>
          <w:rFonts w:eastAsia="Calibri"/>
          <w:b/>
          <w:u w:val="single"/>
        </w:rPr>
        <w:t>)</w:t>
      </w:r>
    </w:p>
    <w:p w14:paraId="6EB40F5C" w14:textId="01D1CDED" w:rsidR="00C13917" w:rsidRDefault="00C13917" w:rsidP="00931A9D">
      <w:pPr>
        <w:rPr>
          <w:rFonts w:eastAsia="Calibri"/>
          <w:b/>
          <w:u w:val="single"/>
        </w:rPr>
      </w:pPr>
    </w:p>
    <w:p w14:paraId="68D59BD1" w14:textId="48476133" w:rsidR="00113F55" w:rsidRDefault="00113F55" w:rsidP="00113F55">
      <w:pPr>
        <w:shd w:val="clear" w:color="auto" w:fill="FFFFFF"/>
        <w:spacing w:before="180" w:after="180"/>
        <w:rPr>
          <w:color w:val="2D3B45"/>
        </w:rPr>
      </w:pPr>
      <w:r w:rsidRPr="00C13917">
        <w:rPr>
          <w:i/>
          <w:iCs/>
          <w:color w:val="2D3B45"/>
        </w:rPr>
        <w:t>Lecture Topic</w:t>
      </w:r>
      <w:r w:rsidRPr="0085212F">
        <w:rPr>
          <w:color w:val="2D3B45"/>
        </w:rPr>
        <w:t>: Gator TeamChild: Overview of the Clinic Experience</w:t>
      </w:r>
      <w:r>
        <w:rPr>
          <w:color w:val="2D3B45"/>
        </w:rPr>
        <w:t xml:space="preserve">; </w:t>
      </w:r>
      <w:r w:rsidRPr="0085212F">
        <w:rPr>
          <w:color w:val="2D3B45"/>
        </w:rPr>
        <w:t>The Dependency Court Process</w:t>
      </w:r>
      <w:r>
        <w:rPr>
          <w:color w:val="2D3B45"/>
        </w:rPr>
        <w:t>; How to Review Docket Lines; presentation assignments</w:t>
      </w:r>
    </w:p>
    <w:p w14:paraId="623F9D73" w14:textId="7AC8E1B5" w:rsidR="00113F55" w:rsidRDefault="7D2B3368" w:rsidP="7D2B3368">
      <w:pPr>
        <w:shd w:val="clear" w:color="auto" w:fill="FFFFFF" w:themeFill="background1"/>
        <w:spacing w:before="180" w:after="180"/>
        <w:rPr>
          <w:color w:val="2D3B45"/>
        </w:rPr>
      </w:pPr>
      <w:r w:rsidRPr="7D2B3368">
        <w:rPr>
          <w:color w:val="2D3B45"/>
        </w:rPr>
        <w:t>Before class next week:</w:t>
      </w:r>
    </w:p>
    <w:p w14:paraId="2A648110" w14:textId="3E1B9B27" w:rsidR="00113F55" w:rsidRDefault="00113F55" w:rsidP="00931A9D">
      <w:pPr>
        <w:rPr>
          <w:rFonts w:eastAsia="Calibri"/>
        </w:rPr>
      </w:pPr>
      <w:r w:rsidRPr="00C13917">
        <w:rPr>
          <w:rFonts w:eastAsia="Calibri"/>
          <w:i/>
          <w:iCs/>
        </w:rPr>
        <w:t>Read</w:t>
      </w:r>
      <w:r>
        <w:rPr>
          <w:rFonts w:eastAsia="Calibri"/>
        </w:rPr>
        <w:t>: Read docket lines of CD’s case</w:t>
      </w:r>
      <w:r w:rsidR="007836B3">
        <w:rPr>
          <w:rFonts w:eastAsia="Calibri"/>
        </w:rPr>
        <w:t xml:space="preserve">; </w:t>
      </w:r>
      <w:hyperlink r:id="rId14" w:history="1">
        <w:r w:rsidR="00327CEE" w:rsidRPr="00327CEE">
          <w:rPr>
            <w:rStyle w:val="Hyperlink"/>
            <w:rFonts w:eastAsia="Calibri"/>
          </w:rPr>
          <w:t>Protecting the educational rights of students in foster care: Legal considerations for educational professionals</w:t>
        </w:r>
      </w:hyperlink>
      <w:r w:rsidR="00327CEE">
        <w:rPr>
          <w:rFonts w:eastAsia="Calibri"/>
        </w:rPr>
        <w:t>, Farnsworth et. al.</w:t>
      </w:r>
      <w:r w:rsidR="007836B3">
        <w:rPr>
          <w:rFonts w:eastAsia="Calibri"/>
        </w:rPr>
        <w:t xml:space="preserve">; </w:t>
      </w:r>
      <w:hyperlink r:id="rId15" w:history="1">
        <w:r w:rsidR="00327CEE" w:rsidRPr="00327CEE">
          <w:rPr>
            <w:rStyle w:val="Hyperlink"/>
            <w:rFonts w:eastAsia="Calibri"/>
          </w:rPr>
          <w:t>Advocating for Children with Disabilities in Child Protection Cases</w:t>
        </w:r>
      </w:hyperlink>
      <w:r w:rsidR="00327CEE">
        <w:rPr>
          <w:rFonts w:eastAsia="Calibri"/>
        </w:rPr>
        <w:t>, Joshua Kay</w:t>
      </w:r>
    </w:p>
    <w:p w14:paraId="2D9BB0AD" w14:textId="77777777" w:rsidR="00113F55" w:rsidRDefault="00113F55" w:rsidP="00931A9D">
      <w:pPr>
        <w:rPr>
          <w:rFonts w:eastAsia="Calibri"/>
          <w:i/>
          <w:iCs/>
        </w:rPr>
      </w:pPr>
    </w:p>
    <w:p w14:paraId="582C3648" w14:textId="6DA9FEAA" w:rsidR="00931A9D" w:rsidRDefault="00931A9D" w:rsidP="00931A9D">
      <w:pPr>
        <w:rPr>
          <w:rFonts w:eastAsia="Calibri"/>
          <w:b/>
          <w:u w:val="single"/>
        </w:rPr>
      </w:pPr>
      <w:r w:rsidRPr="0085212F">
        <w:rPr>
          <w:rFonts w:eastAsia="Calibri"/>
          <w:b/>
          <w:u w:val="single"/>
        </w:rPr>
        <w:t xml:space="preserve">Week Three (Week of </w:t>
      </w:r>
      <w:r w:rsidR="00C13917">
        <w:rPr>
          <w:rFonts w:eastAsia="Calibri"/>
          <w:b/>
          <w:u w:val="single"/>
        </w:rPr>
        <w:t>January 30</w:t>
      </w:r>
      <w:r w:rsidR="00C13917" w:rsidRPr="00C13917">
        <w:rPr>
          <w:rFonts w:eastAsia="Calibri"/>
          <w:b/>
          <w:u w:val="single"/>
          <w:vertAlign w:val="superscript"/>
        </w:rPr>
        <w:t>th</w:t>
      </w:r>
      <w:r w:rsidRPr="0085212F">
        <w:rPr>
          <w:rFonts w:eastAsia="Calibri"/>
          <w:b/>
          <w:u w:val="single"/>
        </w:rPr>
        <w:t>)</w:t>
      </w:r>
    </w:p>
    <w:p w14:paraId="502B446E" w14:textId="77777777" w:rsidR="00C13917" w:rsidRPr="0085212F" w:rsidRDefault="00C13917" w:rsidP="00931A9D">
      <w:pPr>
        <w:rPr>
          <w:rFonts w:eastAsia="Calibri"/>
          <w:b/>
          <w:u w:val="single"/>
        </w:rPr>
      </w:pPr>
    </w:p>
    <w:p w14:paraId="65E9A830" w14:textId="77777777" w:rsidR="00113F55" w:rsidRDefault="00113F55" w:rsidP="00113F55">
      <w:pPr>
        <w:rPr>
          <w:rFonts w:eastAsia="Calibri"/>
        </w:rPr>
      </w:pPr>
      <w:r w:rsidRPr="00C13917">
        <w:rPr>
          <w:rFonts w:eastAsia="Calibri"/>
          <w:i/>
          <w:iCs/>
        </w:rPr>
        <w:t>Lecture Topic</w:t>
      </w:r>
      <w:r>
        <w:rPr>
          <w:rFonts w:eastAsia="Calibri"/>
        </w:rPr>
        <w:t>: Overview of CD’s case</w:t>
      </w:r>
    </w:p>
    <w:p w14:paraId="0659581B" w14:textId="77777777" w:rsidR="00113F55" w:rsidRDefault="00113F55" w:rsidP="00113F55">
      <w:pPr>
        <w:rPr>
          <w:rFonts w:eastAsia="Calibri"/>
        </w:rPr>
      </w:pPr>
    </w:p>
    <w:p w14:paraId="4ED14953" w14:textId="77777777" w:rsidR="00113F55" w:rsidRDefault="00113F55" w:rsidP="00113F55">
      <w:pPr>
        <w:rPr>
          <w:rFonts w:eastAsia="Calibri"/>
        </w:rPr>
      </w:pPr>
      <w:r>
        <w:rPr>
          <w:rFonts w:eastAsia="Calibri"/>
        </w:rPr>
        <w:t>Before class next week:</w:t>
      </w:r>
    </w:p>
    <w:p w14:paraId="4FAD45EF" w14:textId="77777777" w:rsidR="00C13917" w:rsidRPr="0085212F" w:rsidRDefault="00C13917" w:rsidP="00931A9D">
      <w:pPr>
        <w:rPr>
          <w:rFonts w:eastAsia="Calibri"/>
        </w:rPr>
      </w:pPr>
    </w:p>
    <w:p w14:paraId="53E84192" w14:textId="63FCD403" w:rsidR="00113F55" w:rsidRDefault="00113F55" w:rsidP="00113F55">
      <w:r w:rsidRPr="00C13917">
        <w:rPr>
          <w:rFonts w:eastAsia="Calibri"/>
          <w:i/>
          <w:iCs/>
        </w:rPr>
        <w:t>Read</w:t>
      </w:r>
      <w:r w:rsidRPr="0085212F">
        <w:rPr>
          <w:rFonts w:eastAsia="Calibri"/>
        </w:rPr>
        <w:t xml:space="preserve">: </w:t>
      </w:r>
      <w:r>
        <w:rPr>
          <w:rFonts w:eastAsia="Calibri"/>
        </w:rPr>
        <w:t xml:space="preserve">Read docket lines of TG’s case, Delinquency Flowchart: </w:t>
      </w:r>
      <w:hyperlink r:id="rId16" w:history="1">
        <w:r w:rsidRPr="004D4D45">
          <w:rPr>
            <w:rStyle w:val="Hyperlink"/>
            <w:rFonts w:eastAsia="Calibri"/>
          </w:rPr>
          <w:t>https://www.flcourts.gov/content/download/402738/file/Delinquency-Flowchart-2018.pdf</w:t>
        </w:r>
      </w:hyperlink>
      <w:r>
        <w:rPr>
          <w:rFonts w:eastAsia="Calibri"/>
        </w:rPr>
        <w:t xml:space="preserve">, </w:t>
      </w:r>
    </w:p>
    <w:p w14:paraId="3095742F" w14:textId="774E1C07" w:rsidR="00327CEE" w:rsidRDefault="00327CEE" w:rsidP="00113F55">
      <w:pPr>
        <w:rPr>
          <w:rFonts w:eastAsia="Calibri"/>
        </w:rPr>
      </w:pPr>
    </w:p>
    <w:p w14:paraId="56B978AC" w14:textId="77777777" w:rsidR="00327CEE" w:rsidRPr="00327CEE" w:rsidRDefault="00894B08" w:rsidP="00327CEE">
      <w:pPr>
        <w:rPr>
          <w:rFonts w:eastAsia="Calibri"/>
        </w:rPr>
      </w:pPr>
      <w:hyperlink r:id="rId17" w:history="1">
        <w:hyperlink r:id="rId18" w:history="1">
          <w:r w:rsidR="00327CEE" w:rsidRPr="00327CEE">
            <w:rPr>
              <w:rStyle w:val="Hyperlink"/>
              <w:rFonts w:eastAsia="Calibri"/>
            </w:rPr>
            <w:t>Amy Russell, Multidisciplinary Response to Youth with Sexual Behavior Problems, 40 Wm. Mitchell L. Rev. 1058 (2014)</w:t>
          </w:r>
        </w:hyperlink>
      </w:hyperlink>
    </w:p>
    <w:p w14:paraId="507637E8" w14:textId="77777777" w:rsidR="00327CEE" w:rsidRDefault="00327CEE" w:rsidP="00327CEE">
      <w:pPr>
        <w:rPr>
          <w:rFonts w:eastAsia="Calibri"/>
          <w:i/>
          <w:iCs/>
        </w:rPr>
      </w:pPr>
    </w:p>
    <w:p w14:paraId="3F81CF57" w14:textId="2D7A8612" w:rsidR="00327CEE" w:rsidRDefault="00327CEE" w:rsidP="00327CEE">
      <w:pPr>
        <w:rPr>
          <w:rFonts w:eastAsia="Calibri"/>
        </w:rPr>
      </w:pPr>
      <w:r w:rsidRPr="0052007F">
        <w:rPr>
          <w:rFonts w:eastAsia="Calibri"/>
          <w:i/>
          <w:iCs/>
        </w:rPr>
        <w:t>Listen to</w:t>
      </w:r>
      <w:r>
        <w:rPr>
          <w:rFonts w:eastAsia="Calibri"/>
        </w:rPr>
        <w:t xml:space="preserve">: Sexual Behavior in Youth: What’s Normal? What’s Not? And What Can We Do About It? </w:t>
      </w:r>
      <w:hyperlink r:id="rId19" w:history="1">
        <w:r w:rsidRPr="004D4D45">
          <w:rPr>
            <w:rStyle w:val="Hyperlink"/>
            <w:rFonts w:eastAsia="Calibri"/>
          </w:rPr>
          <w:t>https://podcasts.apple.com/us/podcast/one-in-ten/id1462683950?i=1000540896560</w:t>
        </w:r>
      </w:hyperlink>
    </w:p>
    <w:p w14:paraId="71FC22F4" w14:textId="77777777" w:rsidR="00327CEE" w:rsidRPr="0085212F" w:rsidRDefault="00327CEE" w:rsidP="00327CEE">
      <w:pPr>
        <w:rPr>
          <w:rFonts w:eastAsia="Calibri"/>
        </w:rPr>
      </w:pPr>
    </w:p>
    <w:p w14:paraId="0A963527" w14:textId="77777777" w:rsidR="00327CEE" w:rsidRDefault="00327CEE" w:rsidP="00113F55">
      <w:pPr>
        <w:rPr>
          <w:rFonts w:eastAsia="Calibri"/>
        </w:rPr>
      </w:pPr>
    </w:p>
    <w:p w14:paraId="2485C1D8" w14:textId="63A898E2" w:rsidR="00931A9D" w:rsidRPr="00113F55" w:rsidRDefault="00931A9D" w:rsidP="00931A9D">
      <w:pPr>
        <w:rPr>
          <w:rFonts w:eastAsia="Calibri"/>
          <w:b/>
          <w:u w:val="single"/>
        </w:rPr>
      </w:pPr>
      <w:r w:rsidRPr="0085212F">
        <w:rPr>
          <w:rFonts w:eastAsia="Calibri"/>
          <w:b/>
          <w:u w:val="single"/>
        </w:rPr>
        <w:t xml:space="preserve">Week Four (Week of </w:t>
      </w:r>
      <w:r w:rsidR="0052007F">
        <w:rPr>
          <w:rFonts w:eastAsia="Calibri"/>
          <w:b/>
          <w:u w:val="single"/>
        </w:rPr>
        <w:t>February 6</w:t>
      </w:r>
      <w:r w:rsidRPr="00904185">
        <w:rPr>
          <w:rFonts w:eastAsia="Calibri"/>
          <w:b/>
          <w:u w:val="single"/>
          <w:vertAlign w:val="superscript"/>
        </w:rPr>
        <w:t>th</w:t>
      </w:r>
      <w:r>
        <w:rPr>
          <w:rFonts w:eastAsia="Calibri"/>
          <w:b/>
          <w:u w:val="single"/>
        </w:rPr>
        <w:t>)</w:t>
      </w:r>
    </w:p>
    <w:p w14:paraId="4C87F0FA" w14:textId="77777777" w:rsidR="00C13917" w:rsidRDefault="00C13917" w:rsidP="00931A9D">
      <w:pPr>
        <w:rPr>
          <w:rFonts w:eastAsia="Calibri"/>
        </w:rPr>
      </w:pPr>
    </w:p>
    <w:p w14:paraId="3A6A5263" w14:textId="6DBD7B60" w:rsidR="00931A9D" w:rsidRDefault="00931A9D" w:rsidP="00931A9D">
      <w:pPr>
        <w:rPr>
          <w:rFonts w:eastAsia="Calibri"/>
        </w:rPr>
      </w:pPr>
      <w:r w:rsidRPr="0052007F">
        <w:rPr>
          <w:rFonts w:eastAsia="Calibri"/>
          <w:i/>
          <w:iCs/>
        </w:rPr>
        <w:t>Lecture Topic</w:t>
      </w:r>
      <w:r>
        <w:rPr>
          <w:rFonts w:eastAsia="Calibri"/>
        </w:rPr>
        <w:t xml:space="preserve">: Overview of Delinquency Process; </w:t>
      </w:r>
      <w:r w:rsidR="00C13917">
        <w:rPr>
          <w:rFonts w:eastAsia="Calibri"/>
        </w:rPr>
        <w:t>Overview of TG’s case</w:t>
      </w:r>
    </w:p>
    <w:p w14:paraId="1FB86313" w14:textId="7FBD9103" w:rsidR="004D61C6" w:rsidRDefault="004D61C6" w:rsidP="00931A9D">
      <w:pPr>
        <w:rPr>
          <w:rFonts w:eastAsia="Calibri"/>
        </w:rPr>
      </w:pPr>
    </w:p>
    <w:p w14:paraId="26711A60" w14:textId="21C605C4" w:rsidR="004D61C6" w:rsidRDefault="004D61C6" w:rsidP="00931A9D">
      <w:pPr>
        <w:rPr>
          <w:rFonts w:eastAsia="Calibri"/>
        </w:rPr>
      </w:pPr>
      <w:r>
        <w:rPr>
          <w:rFonts w:eastAsia="Calibri"/>
        </w:rPr>
        <w:lastRenderedPageBreak/>
        <w:t>Before class next week:</w:t>
      </w:r>
    </w:p>
    <w:p w14:paraId="6FF2975D" w14:textId="77777777" w:rsidR="00113F55" w:rsidRDefault="00113F55" w:rsidP="00931A9D">
      <w:pPr>
        <w:rPr>
          <w:rFonts w:eastAsia="Calibri"/>
        </w:rPr>
      </w:pPr>
    </w:p>
    <w:p w14:paraId="01BB9507" w14:textId="3E51410C" w:rsidR="00327CEE" w:rsidRDefault="00113F55" w:rsidP="00113F55">
      <w:pPr>
        <w:rPr>
          <w:rFonts w:eastAsia="Calibri"/>
        </w:rPr>
      </w:pPr>
      <w:r w:rsidRPr="00C13917">
        <w:rPr>
          <w:rFonts w:eastAsia="Calibri"/>
          <w:i/>
          <w:iCs/>
        </w:rPr>
        <w:t>Read</w:t>
      </w:r>
      <w:r w:rsidRPr="0085212F">
        <w:rPr>
          <w:rFonts w:eastAsia="Calibri"/>
        </w:rPr>
        <w:t xml:space="preserve">: </w:t>
      </w:r>
      <w:r>
        <w:rPr>
          <w:rFonts w:eastAsia="Calibri"/>
        </w:rPr>
        <w:t>Read docket lines of CK’s case</w:t>
      </w:r>
      <w:r w:rsidR="007836B3">
        <w:rPr>
          <w:rFonts w:eastAsia="Calibri"/>
        </w:rPr>
        <w:t xml:space="preserve">; </w:t>
      </w:r>
      <w:hyperlink r:id="rId20" w:history="1">
        <w:r w:rsidR="007836B3" w:rsidRPr="007836B3">
          <w:rPr>
            <w:rStyle w:val="Hyperlink"/>
            <w:rFonts w:eastAsia="Calibri"/>
          </w:rPr>
          <w:t>Sarah Katz, Trauma-Informed Practice: The Future of Child Welfare?, 28 Widener Commonwealth L. Rev. 51 (2019)</w:t>
        </w:r>
      </w:hyperlink>
    </w:p>
    <w:p w14:paraId="499B8E27" w14:textId="77777777" w:rsidR="00C13917" w:rsidRDefault="00C13917" w:rsidP="00931A9D">
      <w:pPr>
        <w:rPr>
          <w:rFonts w:eastAsia="Calibri"/>
        </w:rPr>
      </w:pPr>
    </w:p>
    <w:p w14:paraId="1BE76E6B" w14:textId="13EA7909" w:rsidR="00931A9D" w:rsidRDefault="00931A9D" w:rsidP="00931A9D">
      <w:pPr>
        <w:rPr>
          <w:rFonts w:eastAsia="Calibri"/>
          <w:b/>
          <w:u w:val="single"/>
        </w:rPr>
      </w:pPr>
      <w:r w:rsidRPr="0085212F">
        <w:rPr>
          <w:rFonts w:eastAsia="Calibri"/>
          <w:b/>
          <w:u w:val="single"/>
        </w:rPr>
        <w:t xml:space="preserve">Week Five (Week of </w:t>
      </w:r>
      <w:r w:rsidR="0052007F">
        <w:rPr>
          <w:rFonts w:eastAsia="Calibri"/>
          <w:b/>
          <w:u w:val="single"/>
        </w:rPr>
        <w:t>February 13</w:t>
      </w:r>
      <w:r w:rsidR="0052007F" w:rsidRPr="0052007F">
        <w:rPr>
          <w:rFonts w:eastAsia="Calibri"/>
          <w:b/>
          <w:u w:val="single"/>
          <w:vertAlign w:val="superscript"/>
        </w:rPr>
        <w:t>th</w:t>
      </w:r>
      <w:r w:rsidRPr="0085212F">
        <w:rPr>
          <w:rFonts w:eastAsia="Calibri"/>
          <w:b/>
          <w:u w:val="single"/>
        </w:rPr>
        <w:t>)</w:t>
      </w:r>
    </w:p>
    <w:p w14:paraId="32F61BD9" w14:textId="5C1E23B8" w:rsidR="0052007F" w:rsidRDefault="0052007F" w:rsidP="00931A9D">
      <w:pPr>
        <w:rPr>
          <w:rFonts w:eastAsia="Calibri"/>
          <w:b/>
          <w:u w:val="single"/>
        </w:rPr>
      </w:pPr>
    </w:p>
    <w:p w14:paraId="1FAD75FC" w14:textId="62F25D2A" w:rsidR="0093384D" w:rsidRDefault="0093384D" w:rsidP="00931A9D">
      <w:pPr>
        <w:rPr>
          <w:rFonts w:eastAsia="Calibri"/>
          <w:bCs/>
        </w:rPr>
      </w:pPr>
      <w:r w:rsidRPr="00113F55">
        <w:rPr>
          <w:rFonts w:eastAsia="Calibri"/>
          <w:bCs/>
          <w:i/>
          <w:iCs/>
        </w:rPr>
        <w:t>Lecture Topic</w:t>
      </w:r>
      <w:r>
        <w:rPr>
          <w:rFonts w:eastAsia="Calibri"/>
          <w:bCs/>
        </w:rPr>
        <w:t>: Discussion of your presentation goals.</w:t>
      </w:r>
      <w:r w:rsidR="00113F55">
        <w:rPr>
          <w:rFonts w:eastAsia="Calibri"/>
          <w:bCs/>
        </w:rPr>
        <w:t xml:space="preserve"> Meet with your group and b</w:t>
      </w:r>
      <w:r>
        <w:rPr>
          <w:rFonts w:eastAsia="Calibri"/>
          <w:bCs/>
        </w:rPr>
        <w:t xml:space="preserve">egin working on presentation. </w:t>
      </w:r>
    </w:p>
    <w:p w14:paraId="4621A6E3" w14:textId="32151D9F" w:rsidR="004D61C6" w:rsidRDefault="004D61C6" w:rsidP="00931A9D">
      <w:pPr>
        <w:rPr>
          <w:rFonts w:eastAsia="Calibri"/>
          <w:bCs/>
        </w:rPr>
      </w:pPr>
    </w:p>
    <w:p w14:paraId="03F80127" w14:textId="477D02F5" w:rsidR="00113F55" w:rsidRDefault="00113F55" w:rsidP="00931A9D">
      <w:pPr>
        <w:rPr>
          <w:rFonts w:eastAsia="Calibri"/>
          <w:bCs/>
        </w:rPr>
      </w:pPr>
      <w:r w:rsidRPr="00113F55">
        <w:rPr>
          <w:rFonts w:eastAsia="Calibri"/>
          <w:bCs/>
          <w:i/>
          <w:iCs/>
        </w:rPr>
        <w:t>Thursday special class</w:t>
      </w:r>
      <w:r>
        <w:rPr>
          <w:rFonts w:eastAsia="Calibri"/>
          <w:bCs/>
        </w:rPr>
        <w:t>:</w:t>
      </w:r>
    </w:p>
    <w:p w14:paraId="0F548645" w14:textId="38AFBEFD" w:rsidR="0093384D" w:rsidRDefault="0093384D" w:rsidP="00931A9D">
      <w:pPr>
        <w:rPr>
          <w:rFonts w:eastAsia="Calibri"/>
          <w:bCs/>
        </w:rPr>
      </w:pPr>
    </w:p>
    <w:p w14:paraId="241A80D4" w14:textId="6F1E29C9" w:rsidR="0093384D" w:rsidRDefault="0093384D" w:rsidP="00931A9D">
      <w:pPr>
        <w:rPr>
          <w:rFonts w:eastAsia="Calibri"/>
          <w:bCs/>
        </w:rPr>
      </w:pPr>
      <w:r>
        <w:rPr>
          <w:rFonts w:eastAsia="Calibri"/>
          <w:bCs/>
        </w:rPr>
        <w:t xml:space="preserve">Attend </w:t>
      </w:r>
      <w:proofErr w:type="spellStart"/>
      <w:r>
        <w:rPr>
          <w:rFonts w:eastAsia="Calibri"/>
          <w:bCs/>
        </w:rPr>
        <w:t>Weyrauch</w:t>
      </w:r>
      <w:proofErr w:type="spellEnd"/>
      <w:r>
        <w:rPr>
          <w:rFonts w:eastAsia="Calibri"/>
          <w:bCs/>
        </w:rPr>
        <w:t xml:space="preserve"> Lecture on Thursday, February 16</w:t>
      </w:r>
      <w:r w:rsidRPr="0093384D">
        <w:rPr>
          <w:rFonts w:eastAsia="Calibri"/>
          <w:bCs/>
          <w:vertAlign w:val="superscript"/>
        </w:rPr>
        <w:t>th</w:t>
      </w:r>
      <w:r>
        <w:rPr>
          <w:rFonts w:eastAsia="Calibri"/>
          <w:bCs/>
        </w:rPr>
        <w:t xml:space="preserve"> at noon. </w:t>
      </w:r>
    </w:p>
    <w:p w14:paraId="7335F9BB" w14:textId="78BA628E" w:rsidR="004D61C6" w:rsidRDefault="004D61C6" w:rsidP="00931A9D">
      <w:pPr>
        <w:rPr>
          <w:rFonts w:eastAsia="Calibri"/>
          <w:bCs/>
        </w:rPr>
      </w:pPr>
    </w:p>
    <w:p w14:paraId="7173D9BB" w14:textId="30478E48" w:rsidR="004D61C6" w:rsidRDefault="004D61C6" w:rsidP="00931A9D">
      <w:pPr>
        <w:rPr>
          <w:rFonts w:eastAsia="Calibri"/>
          <w:bCs/>
        </w:rPr>
      </w:pPr>
      <w:r>
        <w:rPr>
          <w:rFonts w:eastAsia="Calibri"/>
          <w:bCs/>
        </w:rPr>
        <w:t>Before class next week:</w:t>
      </w:r>
    </w:p>
    <w:p w14:paraId="2DE3F07A" w14:textId="77777777" w:rsidR="004D61C6" w:rsidRDefault="004D61C6" w:rsidP="004D61C6">
      <w:pPr>
        <w:rPr>
          <w:rFonts w:eastAsia="Calibri"/>
        </w:rPr>
      </w:pPr>
    </w:p>
    <w:p w14:paraId="12359D65" w14:textId="3FE36A87" w:rsidR="004D61C6" w:rsidRPr="00C260E0" w:rsidRDefault="004D61C6" w:rsidP="00931A9D">
      <w:pPr>
        <w:rPr>
          <w:rStyle w:val="Hyperlink"/>
          <w:rFonts w:eastAsia="Calibri"/>
        </w:rPr>
      </w:pPr>
      <w:r w:rsidRPr="0093384D">
        <w:rPr>
          <w:rFonts w:eastAsia="Calibri"/>
          <w:i/>
          <w:iCs/>
        </w:rPr>
        <w:t xml:space="preserve">Listen </w:t>
      </w:r>
      <w:proofErr w:type="gramStart"/>
      <w:r w:rsidRPr="0093384D">
        <w:rPr>
          <w:rFonts w:eastAsia="Calibri"/>
          <w:i/>
          <w:iCs/>
        </w:rPr>
        <w:t>to</w:t>
      </w:r>
      <w:r>
        <w:rPr>
          <w:rFonts w:eastAsia="Calibri"/>
        </w:rPr>
        <w:t>:</w:t>
      </w:r>
      <w:proofErr w:type="gramEnd"/>
      <w:r>
        <w:rPr>
          <w:rFonts w:eastAsia="Calibri"/>
        </w:rPr>
        <w:t xml:space="preserve"> U.S. Supreme Court Case </w:t>
      </w:r>
      <w:proofErr w:type="spellStart"/>
      <w:r>
        <w:rPr>
          <w:rFonts w:eastAsia="Calibri"/>
        </w:rPr>
        <w:t>Endrew</w:t>
      </w:r>
      <w:proofErr w:type="spellEnd"/>
      <w:r>
        <w:rPr>
          <w:rFonts w:eastAsia="Calibri"/>
        </w:rPr>
        <w:t xml:space="preserve"> F. v. Douglas County School District </w:t>
      </w:r>
      <w:hyperlink r:id="rId21" w:history="1">
        <w:r w:rsidRPr="004506F5">
          <w:rPr>
            <w:rStyle w:val="Hyperlink"/>
            <w:rFonts w:eastAsia="Calibri"/>
          </w:rPr>
          <w:t>https://podcasts.apple.com/us/podcast/lets-talk-sped-law/id1500200391?i=1000502466274</w:t>
        </w:r>
      </w:hyperlink>
    </w:p>
    <w:p w14:paraId="43A5F2B5" w14:textId="77777777" w:rsidR="0093384D" w:rsidRDefault="0093384D" w:rsidP="00931A9D">
      <w:pPr>
        <w:rPr>
          <w:rStyle w:val="Hyperlink"/>
          <w:rFonts w:eastAsia="Calibri"/>
        </w:rPr>
      </w:pPr>
    </w:p>
    <w:p w14:paraId="6B758161" w14:textId="44D7F37D" w:rsidR="0093384D" w:rsidRPr="004D61C6" w:rsidRDefault="00931A9D" w:rsidP="00931A9D">
      <w:pPr>
        <w:rPr>
          <w:rFonts w:eastAsia="Calibri"/>
          <w:b/>
          <w:u w:val="single"/>
        </w:rPr>
      </w:pPr>
      <w:r w:rsidRPr="0085212F">
        <w:rPr>
          <w:rFonts w:eastAsia="Calibri"/>
          <w:b/>
          <w:u w:val="single"/>
        </w:rPr>
        <w:t xml:space="preserve">Week Six (Week of </w:t>
      </w:r>
      <w:r w:rsidR="0093384D">
        <w:rPr>
          <w:rFonts w:eastAsia="Calibri"/>
          <w:b/>
          <w:u w:val="single"/>
        </w:rPr>
        <w:t>February 20</w:t>
      </w:r>
      <w:r w:rsidR="0093384D" w:rsidRPr="0093384D">
        <w:rPr>
          <w:rFonts w:eastAsia="Calibri"/>
          <w:b/>
          <w:u w:val="single"/>
          <w:vertAlign w:val="superscript"/>
        </w:rPr>
        <w:t>th</w:t>
      </w:r>
      <w:r w:rsidRPr="0085212F">
        <w:rPr>
          <w:rFonts w:eastAsia="Calibri"/>
          <w:b/>
          <w:u w:val="single"/>
        </w:rPr>
        <w:t xml:space="preserve">) </w:t>
      </w:r>
    </w:p>
    <w:p w14:paraId="3E13F01C" w14:textId="77777777" w:rsidR="004D61C6" w:rsidRDefault="00113F55" w:rsidP="00113F55">
      <w:pPr>
        <w:rPr>
          <w:rFonts w:eastAsia="Calibri"/>
          <w:bCs/>
        </w:rPr>
      </w:pPr>
      <w:r w:rsidRPr="00113F55">
        <w:rPr>
          <w:rFonts w:eastAsia="Calibri"/>
          <w:bCs/>
          <w:i/>
          <w:iCs/>
        </w:rPr>
        <w:t>Lecture topic</w:t>
      </w:r>
      <w:r>
        <w:rPr>
          <w:rFonts w:eastAsia="Calibri"/>
          <w:bCs/>
        </w:rPr>
        <w:t xml:space="preserve">: </w:t>
      </w:r>
      <w:r w:rsidR="004D61C6">
        <w:rPr>
          <w:rFonts w:eastAsia="Calibri"/>
          <w:bCs/>
        </w:rPr>
        <w:t>Special education law</w:t>
      </w:r>
    </w:p>
    <w:p w14:paraId="7F37013D" w14:textId="77777777" w:rsidR="004D61C6" w:rsidRDefault="004D61C6" w:rsidP="00113F55">
      <w:pPr>
        <w:rPr>
          <w:rFonts w:eastAsia="Calibri"/>
          <w:bCs/>
        </w:rPr>
      </w:pPr>
    </w:p>
    <w:p w14:paraId="39DF44E4" w14:textId="2BA4E099" w:rsidR="00113F55" w:rsidRDefault="00113F55" w:rsidP="00113F55">
      <w:pPr>
        <w:rPr>
          <w:rFonts w:eastAsia="Calibri"/>
          <w:bCs/>
        </w:rPr>
      </w:pPr>
      <w:r>
        <w:rPr>
          <w:rFonts w:eastAsia="Calibri"/>
          <w:bCs/>
        </w:rPr>
        <w:t xml:space="preserve">Meet with your group at least two times this </w:t>
      </w:r>
      <w:r w:rsidR="004B1091">
        <w:rPr>
          <w:rFonts w:eastAsia="Calibri"/>
          <w:bCs/>
        </w:rPr>
        <w:t>week and</w:t>
      </w:r>
      <w:r>
        <w:rPr>
          <w:rFonts w:eastAsia="Calibri"/>
          <w:bCs/>
        </w:rPr>
        <w:t xml:space="preserve"> submit an outline of your presentation by Friday. </w:t>
      </w:r>
    </w:p>
    <w:p w14:paraId="7AEBDB1A" w14:textId="77777777" w:rsidR="0093384D" w:rsidRDefault="0093384D" w:rsidP="00931A9D">
      <w:pPr>
        <w:rPr>
          <w:rFonts w:eastAsia="Calibri"/>
        </w:rPr>
      </w:pPr>
    </w:p>
    <w:p w14:paraId="0B90C1CB" w14:textId="4D554E64" w:rsidR="00931A9D" w:rsidRPr="0085212F" w:rsidRDefault="00931A9D" w:rsidP="00931A9D">
      <w:pPr>
        <w:rPr>
          <w:rFonts w:eastAsia="Calibri"/>
          <w:b/>
          <w:u w:val="single"/>
        </w:rPr>
      </w:pPr>
      <w:r w:rsidRPr="0085212F">
        <w:rPr>
          <w:rFonts w:eastAsia="Calibri"/>
          <w:b/>
          <w:u w:val="single"/>
        </w:rPr>
        <w:t xml:space="preserve">Week Seven (Week of </w:t>
      </w:r>
      <w:r w:rsidR="0093384D">
        <w:rPr>
          <w:rFonts w:eastAsia="Calibri"/>
          <w:b/>
          <w:u w:val="single"/>
        </w:rPr>
        <w:t>February 27</w:t>
      </w:r>
      <w:r w:rsidR="0093384D" w:rsidRPr="0093384D">
        <w:rPr>
          <w:rFonts w:eastAsia="Calibri"/>
          <w:b/>
          <w:u w:val="single"/>
          <w:vertAlign w:val="superscript"/>
        </w:rPr>
        <w:t>th</w:t>
      </w:r>
      <w:r w:rsidRPr="0085212F">
        <w:rPr>
          <w:rFonts w:eastAsia="Calibri"/>
          <w:b/>
          <w:u w:val="single"/>
        </w:rPr>
        <w:t>)</w:t>
      </w:r>
    </w:p>
    <w:p w14:paraId="5BB7E081" w14:textId="05158295" w:rsidR="00113F55" w:rsidRDefault="5DE55BD9" w:rsidP="5DE55BD9">
      <w:pPr>
        <w:shd w:val="clear" w:color="auto" w:fill="FFFFFF" w:themeFill="background1"/>
        <w:spacing w:before="180" w:after="180"/>
        <w:rPr>
          <w:rFonts w:eastAsia="Calibri"/>
        </w:rPr>
      </w:pPr>
      <w:r w:rsidRPr="5DE55BD9">
        <w:rPr>
          <w:rFonts w:eastAsia="Calibri"/>
          <w:i/>
          <w:iCs/>
        </w:rPr>
        <w:t>Lecture topic</w:t>
      </w:r>
      <w:r w:rsidRPr="5DE55BD9">
        <w:rPr>
          <w:rFonts w:eastAsia="Calibri"/>
        </w:rPr>
        <w:t>: Field trip to the Child Protection Team</w:t>
      </w:r>
    </w:p>
    <w:p w14:paraId="34B67373" w14:textId="490E5273" w:rsidR="004D61C6" w:rsidRPr="00113F55" w:rsidRDefault="004D61C6" w:rsidP="00113F55">
      <w:pPr>
        <w:shd w:val="clear" w:color="auto" w:fill="FFFFFF"/>
        <w:spacing w:before="180" w:after="180"/>
        <w:rPr>
          <w:rFonts w:eastAsia="Calibri"/>
        </w:rPr>
      </w:pPr>
      <w:r>
        <w:rPr>
          <w:rFonts w:eastAsia="Calibri"/>
        </w:rPr>
        <w:t>Before class next week:</w:t>
      </w:r>
    </w:p>
    <w:p w14:paraId="382CA003" w14:textId="587B7E44" w:rsidR="00113F55" w:rsidRDefault="007836B3" w:rsidP="00113F55">
      <w:pPr>
        <w:rPr>
          <w:color w:val="000000"/>
          <w:sz w:val="22"/>
          <w:szCs w:val="22"/>
        </w:rPr>
      </w:pPr>
      <w:r>
        <w:rPr>
          <w:rFonts w:eastAsia="Calibri"/>
          <w:i/>
          <w:iCs/>
        </w:rPr>
        <w:t>Read</w:t>
      </w:r>
      <w:r w:rsidR="00113F55">
        <w:rPr>
          <w:rFonts w:eastAsia="Calibri"/>
        </w:rPr>
        <w:t xml:space="preserve">: </w:t>
      </w:r>
      <w:r w:rsidR="00113F55">
        <w:rPr>
          <w:rFonts w:ascii="Arial" w:hAnsi="Arial" w:cs="Arial"/>
          <w:color w:val="000000"/>
          <w:sz w:val="22"/>
          <w:szCs w:val="22"/>
        </w:rPr>
        <w:br/>
      </w:r>
      <w:r w:rsidR="00113F55">
        <w:rPr>
          <w:color w:val="000000"/>
          <w:sz w:val="22"/>
          <w:szCs w:val="22"/>
        </w:rPr>
        <w:t>FTC workshops:</w:t>
      </w:r>
    </w:p>
    <w:p w14:paraId="23036331" w14:textId="77777777" w:rsidR="00113F55" w:rsidRPr="0093384D" w:rsidRDefault="00894B08" w:rsidP="00113F55">
      <w:pPr>
        <w:rPr>
          <w:color w:val="000000"/>
          <w:sz w:val="20"/>
          <w:szCs w:val="20"/>
        </w:rPr>
      </w:pPr>
      <w:hyperlink r:id="rId22" w:tooltip="https://nam10.safelinks.protection.outlook.com/?url=https%3A%2F%2Fwww.ftc.gov%2Fnews-events%2Fevents%2F2021%2F04%2Fbringing-dark-patterns-light-ftc-workshop&amp;data=05%7C01%7Csteinberg%40law.ufl.edu%7C997910acbfe24fdd681708daecf70dfd%7C0d4da0f84a314d76ace60a62331" w:history="1">
        <w:r w:rsidR="00113F55" w:rsidRPr="0093384D">
          <w:rPr>
            <w:rStyle w:val="Hyperlink"/>
            <w:color w:val="0563C1"/>
            <w:sz w:val="22"/>
            <w:szCs w:val="22"/>
          </w:rPr>
          <w:t>2021 Bringing dark patterns to light</w:t>
        </w:r>
      </w:hyperlink>
    </w:p>
    <w:p w14:paraId="540108F2" w14:textId="77777777" w:rsidR="00113F55" w:rsidRPr="0093384D" w:rsidRDefault="00894B08" w:rsidP="00113F55">
      <w:pPr>
        <w:rPr>
          <w:color w:val="000000"/>
          <w:sz w:val="20"/>
          <w:szCs w:val="20"/>
        </w:rPr>
      </w:pPr>
      <w:hyperlink r:id="rId23" w:tooltip="https://nam10.safelinks.protection.outlook.com/?url=https%3A%2F%2Fwww.ftc.gov%2Fnews-events%2Fevents%2F2022%2F10%2Fprotecting-kids-stealth-advertising-digital-media&amp;data=05%7C01%7Csteinberg%40law.ufl.edu%7C997910acbfe24fdd681708daecf70dfd%7C0d4da0f84a314d76ace" w:history="1">
        <w:r w:rsidR="00113F55" w:rsidRPr="0093384D">
          <w:rPr>
            <w:rStyle w:val="Hyperlink"/>
            <w:color w:val="0563C1"/>
            <w:sz w:val="22"/>
            <w:szCs w:val="22"/>
          </w:rPr>
          <w:t>2022 Protecting Kids from Stealth Advertising in Digital Media</w:t>
        </w:r>
      </w:hyperlink>
    </w:p>
    <w:p w14:paraId="46C103F4" w14:textId="441C0F18" w:rsidR="00113F55" w:rsidRPr="0093384D" w:rsidRDefault="00113F55" w:rsidP="00113F55">
      <w:pPr>
        <w:rPr>
          <w:color w:val="000000"/>
          <w:sz w:val="20"/>
          <w:szCs w:val="20"/>
        </w:rPr>
      </w:pPr>
      <w:r>
        <w:rPr>
          <w:color w:val="000000"/>
          <w:sz w:val="22"/>
          <w:szCs w:val="22"/>
        </w:rPr>
        <w:t xml:space="preserve">Press releases contained here: </w:t>
      </w:r>
    </w:p>
    <w:p w14:paraId="7EAC5D81" w14:textId="10A96B1C" w:rsidR="00113F55" w:rsidRPr="00113F55" w:rsidRDefault="00894B08" w:rsidP="00113F55">
      <w:pPr>
        <w:rPr>
          <w:rStyle w:val="Hyperlink"/>
          <w:color w:val="000000"/>
          <w:sz w:val="20"/>
          <w:szCs w:val="20"/>
          <w:u w:val="none"/>
        </w:rPr>
      </w:pPr>
      <w:hyperlink r:id="rId24" w:tooltip="https://nam10.safelinks.protection.outlook.com/?url=https%3A%2F%2Fwww.ftc.gov%2Fbusiness-guidance%2Fadvertising-marketing%2Fchildren&amp;data=05%7C01%7Csteinberg%40law.ufl.edu%7C997910acbfe24fdd681708daecf70dfd%7C0d4da0f84a314d76ace60a62331e1b84%7C0%7C0%7C63808284" w:history="1">
        <w:r w:rsidR="00113F55" w:rsidRPr="0093384D">
          <w:rPr>
            <w:rStyle w:val="Hyperlink"/>
            <w:color w:val="0563C1"/>
            <w:sz w:val="22"/>
            <w:szCs w:val="22"/>
          </w:rPr>
          <w:t>https://www.ftc.gov/business-guidance/advertising-marketing/children</w:t>
        </w:r>
      </w:hyperlink>
    </w:p>
    <w:p w14:paraId="7D4D50A8" w14:textId="77777777" w:rsidR="00113F55" w:rsidRPr="00113F55" w:rsidRDefault="00113F55" w:rsidP="00113F55">
      <w:pPr>
        <w:rPr>
          <w:rFonts w:eastAsia="Calibri"/>
        </w:rPr>
      </w:pPr>
    </w:p>
    <w:p w14:paraId="7257AC6B" w14:textId="502B2548" w:rsidR="0093384D" w:rsidRDefault="00931A9D" w:rsidP="00931A9D">
      <w:pPr>
        <w:rPr>
          <w:rFonts w:eastAsia="Calibri"/>
          <w:b/>
          <w:u w:val="single"/>
        </w:rPr>
      </w:pPr>
      <w:r w:rsidRPr="0085212F">
        <w:rPr>
          <w:rFonts w:eastAsia="Calibri"/>
          <w:b/>
          <w:u w:val="single"/>
        </w:rPr>
        <w:t xml:space="preserve">Week Eight (Week of </w:t>
      </w:r>
      <w:r w:rsidR="0093384D">
        <w:rPr>
          <w:rFonts w:eastAsia="Calibri"/>
          <w:b/>
          <w:u w:val="single"/>
        </w:rPr>
        <w:t>March 6</w:t>
      </w:r>
      <w:r w:rsidR="0093384D" w:rsidRPr="0093384D">
        <w:rPr>
          <w:rFonts w:eastAsia="Calibri"/>
          <w:b/>
          <w:u w:val="single"/>
          <w:vertAlign w:val="superscript"/>
        </w:rPr>
        <w:t>th</w:t>
      </w:r>
      <w:r w:rsidRPr="0085212F">
        <w:rPr>
          <w:rFonts w:eastAsia="Calibri"/>
          <w:b/>
          <w:u w:val="single"/>
        </w:rPr>
        <w:t>)</w:t>
      </w:r>
    </w:p>
    <w:p w14:paraId="4E7ED97A" w14:textId="77777777" w:rsidR="00113F55" w:rsidRPr="0093384D" w:rsidRDefault="00113F55" w:rsidP="00113F55">
      <w:pPr>
        <w:rPr>
          <w:color w:val="000000"/>
          <w:sz w:val="20"/>
          <w:szCs w:val="20"/>
        </w:rPr>
      </w:pPr>
    </w:p>
    <w:p w14:paraId="736A0205" w14:textId="13458F8A" w:rsidR="00113F55" w:rsidRDefault="5DE55BD9" w:rsidP="00113F55">
      <w:pPr>
        <w:rPr>
          <w:rFonts w:eastAsia="Calibri"/>
        </w:rPr>
      </w:pPr>
      <w:r w:rsidRPr="5DE55BD9">
        <w:rPr>
          <w:rFonts w:eastAsia="Calibri"/>
          <w:i/>
          <w:iCs/>
        </w:rPr>
        <w:t>Lecture Topic</w:t>
      </w:r>
      <w:r w:rsidRPr="5DE55BD9">
        <w:rPr>
          <w:rFonts w:eastAsia="Calibri"/>
        </w:rPr>
        <w:t>: Discussion of Dark Patterns; Discussion of presentations</w:t>
      </w:r>
    </w:p>
    <w:p w14:paraId="07AB1113" w14:textId="48BACA9D" w:rsidR="004D61C6" w:rsidRDefault="004D61C6" w:rsidP="00113F55">
      <w:pPr>
        <w:rPr>
          <w:rFonts w:eastAsia="Calibri"/>
        </w:rPr>
      </w:pPr>
    </w:p>
    <w:p w14:paraId="40FBB22A" w14:textId="080F7F37" w:rsidR="004D61C6" w:rsidRDefault="004D61C6" w:rsidP="00113F55">
      <w:pPr>
        <w:rPr>
          <w:rStyle w:val="Hyperlink"/>
          <w:rFonts w:eastAsia="Calibri"/>
          <w:color w:val="auto"/>
          <w:u w:val="none"/>
        </w:rPr>
      </w:pPr>
      <w:r w:rsidRPr="004D61C6">
        <w:rPr>
          <w:rFonts w:eastAsia="Calibri"/>
          <w:i/>
          <w:iCs/>
        </w:rPr>
        <w:t>By Friday</w:t>
      </w:r>
      <w:r>
        <w:rPr>
          <w:rFonts w:eastAsia="Calibri"/>
        </w:rPr>
        <w:t>:</w:t>
      </w:r>
    </w:p>
    <w:p w14:paraId="50CB773E" w14:textId="77777777" w:rsidR="00113F55" w:rsidRDefault="00113F55" w:rsidP="00113F55">
      <w:pPr>
        <w:rPr>
          <w:rFonts w:eastAsia="Calibri"/>
        </w:rPr>
      </w:pPr>
    </w:p>
    <w:p w14:paraId="63C5BE01" w14:textId="0A5451CA" w:rsidR="0093384D" w:rsidRDefault="5DE55BD9" w:rsidP="00931A9D">
      <w:pPr>
        <w:rPr>
          <w:rFonts w:eastAsia="Calibri"/>
        </w:rPr>
      </w:pPr>
      <w:r w:rsidRPr="5DE55BD9">
        <w:rPr>
          <w:rFonts w:eastAsia="Calibri"/>
        </w:rPr>
        <w:t>Assignment: Submit a 2–3 double-spaced page memo summarizing the current laws protecting kids online. Include footnotes or endnotes.</w:t>
      </w:r>
    </w:p>
    <w:p w14:paraId="79D9D216" w14:textId="77777777" w:rsidR="002E1A57" w:rsidRPr="007E5991" w:rsidRDefault="002E1A57" w:rsidP="00931A9D">
      <w:pPr>
        <w:rPr>
          <w:rFonts w:eastAsia="Calibri"/>
          <w:bCs/>
        </w:rPr>
      </w:pPr>
    </w:p>
    <w:p w14:paraId="1CD9BDB6" w14:textId="45F8D042" w:rsidR="00931A9D" w:rsidRDefault="00931A9D" w:rsidP="00931A9D">
      <w:pPr>
        <w:rPr>
          <w:rFonts w:eastAsia="Calibri"/>
          <w:b/>
          <w:u w:val="single"/>
        </w:rPr>
      </w:pPr>
      <w:r w:rsidRPr="0085212F">
        <w:rPr>
          <w:rFonts w:eastAsia="Calibri"/>
          <w:b/>
          <w:u w:val="single"/>
        </w:rPr>
        <w:t xml:space="preserve">Week Nine (Week of </w:t>
      </w:r>
      <w:r w:rsidR="0093384D">
        <w:rPr>
          <w:rFonts w:eastAsia="Calibri"/>
          <w:b/>
          <w:u w:val="single"/>
        </w:rPr>
        <w:t>March 13</w:t>
      </w:r>
      <w:r w:rsidR="0093384D" w:rsidRPr="0093384D">
        <w:rPr>
          <w:rFonts w:eastAsia="Calibri"/>
          <w:b/>
          <w:u w:val="single"/>
          <w:vertAlign w:val="superscript"/>
        </w:rPr>
        <w:t>th</w:t>
      </w:r>
      <w:r w:rsidR="0093384D">
        <w:rPr>
          <w:rFonts w:eastAsia="Calibri"/>
          <w:b/>
          <w:u w:val="single"/>
        </w:rPr>
        <w:t>)</w:t>
      </w:r>
      <w:r>
        <w:rPr>
          <w:rFonts w:eastAsia="Calibri"/>
          <w:b/>
          <w:u w:val="single"/>
        </w:rPr>
        <w:t xml:space="preserve"> </w:t>
      </w:r>
    </w:p>
    <w:p w14:paraId="72DBAA28" w14:textId="755A4772" w:rsidR="0093384D" w:rsidRDefault="0093384D" w:rsidP="00931A9D">
      <w:pPr>
        <w:rPr>
          <w:rFonts w:eastAsia="Calibri"/>
          <w:bCs/>
        </w:rPr>
      </w:pPr>
    </w:p>
    <w:p w14:paraId="2373C798" w14:textId="6454A264" w:rsidR="0093384D" w:rsidRDefault="0093384D" w:rsidP="00931A9D">
      <w:pPr>
        <w:rPr>
          <w:rFonts w:eastAsia="Calibri"/>
          <w:bCs/>
        </w:rPr>
      </w:pPr>
      <w:r>
        <w:rPr>
          <w:rFonts w:eastAsia="Calibri"/>
          <w:bCs/>
        </w:rPr>
        <w:t>Spring Break</w:t>
      </w:r>
    </w:p>
    <w:p w14:paraId="1DE6D4CF" w14:textId="77777777" w:rsidR="0093384D" w:rsidRPr="007E5991" w:rsidRDefault="0093384D" w:rsidP="00931A9D">
      <w:pPr>
        <w:rPr>
          <w:rFonts w:eastAsia="Calibri"/>
          <w:bCs/>
        </w:rPr>
      </w:pPr>
    </w:p>
    <w:p w14:paraId="5505F165" w14:textId="67ABFE56" w:rsidR="00931A9D" w:rsidRDefault="00931A9D" w:rsidP="00931A9D">
      <w:pPr>
        <w:rPr>
          <w:rFonts w:eastAsia="Calibri"/>
          <w:b/>
          <w:u w:val="single"/>
        </w:rPr>
      </w:pPr>
      <w:r w:rsidRPr="0085212F">
        <w:rPr>
          <w:rFonts w:eastAsia="Calibri"/>
          <w:b/>
          <w:u w:val="single"/>
        </w:rPr>
        <w:t xml:space="preserve">Week Ten (Week of </w:t>
      </w:r>
      <w:r w:rsidR="0093384D">
        <w:rPr>
          <w:rFonts w:eastAsia="Calibri"/>
          <w:b/>
          <w:u w:val="single"/>
        </w:rPr>
        <w:t>March 20</w:t>
      </w:r>
      <w:r w:rsidR="0093384D" w:rsidRPr="0093384D">
        <w:rPr>
          <w:rFonts w:eastAsia="Calibri"/>
          <w:b/>
          <w:u w:val="single"/>
          <w:vertAlign w:val="superscript"/>
        </w:rPr>
        <w:t>th</w:t>
      </w:r>
      <w:r w:rsidR="0093384D">
        <w:rPr>
          <w:rFonts w:eastAsia="Calibri"/>
          <w:b/>
          <w:u w:val="single"/>
        </w:rPr>
        <w:t>)</w:t>
      </w:r>
    </w:p>
    <w:p w14:paraId="0B99E22C" w14:textId="77777777" w:rsidR="0093384D" w:rsidRDefault="0093384D" w:rsidP="00931A9D">
      <w:pPr>
        <w:rPr>
          <w:rFonts w:eastAsia="Calibri"/>
          <w:b/>
          <w:u w:val="single"/>
        </w:rPr>
      </w:pPr>
    </w:p>
    <w:p w14:paraId="600A8FE6" w14:textId="01BF3471" w:rsidR="00931A9D" w:rsidRDefault="002E1A57" w:rsidP="00931A9D">
      <w:pPr>
        <w:rPr>
          <w:rFonts w:eastAsia="Calibri"/>
        </w:rPr>
      </w:pPr>
      <w:r w:rsidRPr="004D61C6">
        <w:rPr>
          <w:rFonts w:eastAsia="Calibri"/>
          <w:i/>
          <w:iCs/>
        </w:rPr>
        <w:t>Lecture Topic</w:t>
      </w:r>
      <w:r>
        <w:rPr>
          <w:rFonts w:eastAsia="Calibri"/>
        </w:rPr>
        <w:t>: case rounds</w:t>
      </w:r>
    </w:p>
    <w:p w14:paraId="2C17BFE6" w14:textId="2629B0E0" w:rsidR="002E1A57" w:rsidRDefault="002E1A57" w:rsidP="00931A9D">
      <w:pPr>
        <w:rPr>
          <w:rFonts w:eastAsia="Calibri"/>
        </w:rPr>
      </w:pPr>
    </w:p>
    <w:p w14:paraId="7CE73719" w14:textId="2D9B3437" w:rsidR="004D61C6" w:rsidRDefault="002E1A57" w:rsidP="00931A9D">
      <w:pPr>
        <w:rPr>
          <w:rFonts w:eastAsia="Calibri"/>
        </w:rPr>
      </w:pPr>
      <w:r>
        <w:rPr>
          <w:rFonts w:eastAsia="Calibri"/>
        </w:rPr>
        <w:t>Set a time with Professor Steinberg to run through your presentation</w:t>
      </w:r>
      <w:r w:rsidR="004D61C6">
        <w:rPr>
          <w:rFonts w:eastAsia="Calibri"/>
        </w:rPr>
        <w:t>. Submit your PowerPoint before the meeting.</w:t>
      </w:r>
    </w:p>
    <w:p w14:paraId="2C327E53" w14:textId="77777777" w:rsidR="0093384D" w:rsidRPr="0085212F" w:rsidRDefault="0093384D" w:rsidP="00931A9D">
      <w:pPr>
        <w:rPr>
          <w:rFonts w:eastAsia="Calibri"/>
        </w:rPr>
      </w:pPr>
    </w:p>
    <w:p w14:paraId="103F4D17" w14:textId="3F61141A" w:rsidR="00931A9D" w:rsidRDefault="00931A9D" w:rsidP="00931A9D">
      <w:pPr>
        <w:rPr>
          <w:rFonts w:eastAsia="Calibri"/>
          <w:b/>
          <w:u w:val="single"/>
        </w:rPr>
      </w:pPr>
      <w:r w:rsidRPr="0085212F">
        <w:rPr>
          <w:rFonts w:eastAsia="Calibri"/>
          <w:b/>
          <w:u w:val="single"/>
        </w:rPr>
        <w:t xml:space="preserve">Week Eleven (Week of </w:t>
      </w:r>
      <w:r w:rsidR="0093384D">
        <w:rPr>
          <w:rFonts w:eastAsia="Calibri"/>
          <w:b/>
          <w:u w:val="single"/>
        </w:rPr>
        <w:t>March 27</w:t>
      </w:r>
      <w:r w:rsidR="0093384D" w:rsidRPr="0093384D">
        <w:rPr>
          <w:rFonts w:eastAsia="Calibri"/>
          <w:b/>
          <w:u w:val="single"/>
          <w:vertAlign w:val="superscript"/>
        </w:rPr>
        <w:t>th</w:t>
      </w:r>
      <w:r w:rsidR="002E1A57">
        <w:rPr>
          <w:rFonts w:eastAsia="Calibri"/>
          <w:b/>
          <w:u w:val="single"/>
        </w:rPr>
        <w:t>)</w:t>
      </w:r>
    </w:p>
    <w:p w14:paraId="0A4D0B28" w14:textId="77777777" w:rsidR="002E1A57" w:rsidRPr="0085212F" w:rsidRDefault="002E1A57" w:rsidP="00931A9D">
      <w:pPr>
        <w:rPr>
          <w:rFonts w:eastAsia="Calibri"/>
          <w:b/>
          <w:u w:val="single"/>
        </w:rPr>
      </w:pPr>
    </w:p>
    <w:p w14:paraId="677D195C" w14:textId="62FECE43" w:rsidR="00931A9D" w:rsidRDefault="5DE55BD9" w:rsidP="00931A9D">
      <w:pPr>
        <w:rPr>
          <w:rFonts w:eastAsia="Calibri"/>
        </w:rPr>
      </w:pPr>
      <w:r w:rsidRPr="5DE55BD9">
        <w:rPr>
          <w:rFonts w:eastAsia="Calibri"/>
          <w:i/>
          <w:iCs/>
        </w:rPr>
        <w:t>Lecture Topic</w:t>
      </w:r>
      <w:r w:rsidRPr="5DE55BD9">
        <w:rPr>
          <w:rFonts w:eastAsia="Calibri"/>
        </w:rPr>
        <w:t>: TBD</w:t>
      </w:r>
    </w:p>
    <w:p w14:paraId="143E8B10" w14:textId="3E6995F7" w:rsidR="002E1A57" w:rsidRDefault="002E1A57" w:rsidP="00931A9D">
      <w:pPr>
        <w:rPr>
          <w:rFonts w:eastAsia="Calibri"/>
        </w:rPr>
      </w:pPr>
    </w:p>
    <w:p w14:paraId="7353C3C7" w14:textId="51919ACA" w:rsidR="5DE55BD9" w:rsidRDefault="5DE55BD9" w:rsidP="007836B3">
      <w:pPr>
        <w:rPr>
          <w:rFonts w:eastAsia="Calibri"/>
        </w:rPr>
      </w:pPr>
      <w:r w:rsidRPr="5DE55BD9">
        <w:rPr>
          <w:rFonts w:eastAsia="Calibri"/>
          <w:i/>
          <w:iCs/>
        </w:rPr>
        <w:t>By Friday</w:t>
      </w:r>
      <w:r w:rsidRPr="5DE55BD9">
        <w:rPr>
          <w:rFonts w:eastAsia="Calibri"/>
        </w:rPr>
        <w:t>:</w:t>
      </w:r>
      <w:r w:rsidR="007836B3">
        <w:rPr>
          <w:rFonts w:eastAsia="Calibri"/>
        </w:rPr>
        <w:t xml:space="preserve"> Please submit</w:t>
      </w:r>
      <w:r w:rsidRPr="5DE55BD9">
        <w:rPr>
          <w:rFonts w:eastAsia="Calibri"/>
        </w:rPr>
        <w:t xml:space="preserve"> a 2–3-page double-spaced memo proposing how the law could better protect kids online from dark design patterns. Include footnotes or endnotes.</w:t>
      </w:r>
    </w:p>
    <w:p w14:paraId="54F3E2BE" w14:textId="293BFB80" w:rsidR="5DE55BD9" w:rsidRDefault="5DE55BD9" w:rsidP="5DE55BD9"/>
    <w:p w14:paraId="4542CC7E" w14:textId="7593E56C" w:rsidR="00931A9D" w:rsidRDefault="00931A9D" w:rsidP="00931A9D">
      <w:pPr>
        <w:rPr>
          <w:rFonts w:eastAsia="Calibri"/>
          <w:b/>
          <w:u w:val="single"/>
        </w:rPr>
      </w:pPr>
      <w:r w:rsidRPr="0085212F">
        <w:rPr>
          <w:rFonts w:eastAsia="Calibri"/>
          <w:b/>
          <w:u w:val="single"/>
        </w:rPr>
        <w:t xml:space="preserve">Week Twelve (Week of </w:t>
      </w:r>
      <w:r w:rsidR="0093384D">
        <w:rPr>
          <w:rFonts w:eastAsia="Calibri"/>
          <w:b/>
          <w:u w:val="single"/>
        </w:rPr>
        <w:t>April 3</w:t>
      </w:r>
      <w:r w:rsidR="0093384D" w:rsidRPr="0093384D">
        <w:rPr>
          <w:rFonts w:eastAsia="Calibri"/>
          <w:b/>
          <w:u w:val="single"/>
          <w:vertAlign w:val="superscript"/>
        </w:rPr>
        <w:t>rd</w:t>
      </w:r>
      <w:r w:rsidR="0093384D">
        <w:rPr>
          <w:rFonts w:eastAsia="Calibri"/>
          <w:b/>
          <w:u w:val="single"/>
        </w:rPr>
        <w:t>)</w:t>
      </w:r>
    </w:p>
    <w:p w14:paraId="45D55E30" w14:textId="77777777" w:rsidR="0093384D" w:rsidRDefault="0093384D" w:rsidP="00931A9D">
      <w:pPr>
        <w:rPr>
          <w:rFonts w:eastAsia="Calibri"/>
          <w:b/>
          <w:u w:val="single"/>
        </w:rPr>
      </w:pPr>
    </w:p>
    <w:p w14:paraId="2EABD118" w14:textId="377589BD" w:rsidR="00931A9D" w:rsidRDefault="0093384D" w:rsidP="00931A9D">
      <w:pPr>
        <w:rPr>
          <w:rFonts w:eastAsia="Calibri"/>
          <w:bCs/>
        </w:rPr>
      </w:pPr>
      <w:r>
        <w:rPr>
          <w:rFonts w:eastAsia="Calibri"/>
          <w:bCs/>
        </w:rPr>
        <w:t>No class – IFAS presentation</w:t>
      </w:r>
    </w:p>
    <w:p w14:paraId="52F5A7EF" w14:textId="77777777" w:rsidR="0093384D" w:rsidRPr="00663094" w:rsidRDefault="0093384D" w:rsidP="00931A9D">
      <w:pPr>
        <w:rPr>
          <w:rFonts w:eastAsia="Calibri"/>
          <w:bCs/>
        </w:rPr>
      </w:pPr>
    </w:p>
    <w:p w14:paraId="10815EF6" w14:textId="2BBABACE" w:rsidR="00931A9D" w:rsidRDefault="00931A9D" w:rsidP="00931A9D">
      <w:pPr>
        <w:rPr>
          <w:rFonts w:eastAsia="Calibri"/>
          <w:b/>
          <w:u w:val="single"/>
        </w:rPr>
      </w:pPr>
      <w:r w:rsidRPr="0085212F">
        <w:rPr>
          <w:rFonts w:eastAsia="Calibri"/>
          <w:b/>
          <w:u w:val="single"/>
        </w:rPr>
        <w:t xml:space="preserve">Week Thirteen (Week of </w:t>
      </w:r>
      <w:r w:rsidR="0093384D">
        <w:rPr>
          <w:rFonts w:eastAsia="Calibri"/>
          <w:b/>
          <w:u w:val="single"/>
        </w:rPr>
        <w:t>April 10</w:t>
      </w:r>
      <w:r w:rsidR="0093384D" w:rsidRPr="0093384D">
        <w:rPr>
          <w:rFonts w:eastAsia="Calibri"/>
          <w:b/>
          <w:u w:val="single"/>
          <w:vertAlign w:val="superscript"/>
        </w:rPr>
        <w:t>th</w:t>
      </w:r>
      <w:r w:rsidR="0093384D">
        <w:rPr>
          <w:rFonts w:eastAsia="Calibri"/>
          <w:b/>
          <w:u w:val="single"/>
        </w:rPr>
        <w:t>)</w:t>
      </w:r>
    </w:p>
    <w:p w14:paraId="359D33F9" w14:textId="77777777" w:rsidR="0093384D" w:rsidRDefault="0093384D" w:rsidP="00931A9D">
      <w:pPr>
        <w:rPr>
          <w:rFonts w:eastAsia="Calibri"/>
          <w:b/>
          <w:u w:val="single"/>
        </w:rPr>
      </w:pPr>
    </w:p>
    <w:p w14:paraId="7604AFB6" w14:textId="59EC0A41" w:rsidR="004D61C6" w:rsidRDefault="5DE55BD9" w:rsidP="00931A9D">
      <w:pPr>
        <w:rPr>
          <w:rFonts w:eastAsia="Calibri"/>
        </w:rPr>
      </w:pPr>
      <w:r w:rsidRPr="5DE55BD9">
        <w:rPr>
          <w:rFonts w:eastAsia="Calibri"/>
        </w:rPr>
        <w:t>No class – College of Education presentation</w:t>
      </w:r>
    </w:p>
    <w:p w14:paraId="4F523568" w14:textId="1FD7AFCC" w:rsidR="007836B3" w:rsidRDefault="007836B3" w:rsidP="00931A9D">
      <w:pPr>
        <w:rPr>
          <w:rFonts w:eastAsia="Calibri"/>
        </w:rPr>
      </w:pPr>
    </w:p>
    <w:p w14:paraId="307FF6DB" w14:textId="65FB6C94" w:rsidR="007836B3" w:rsidRDefault="007836B3" w:rsidP="00931A9D">
      <w:pPr>
        <w:rPr>
          <w:rFonts w:eastAsia="Calibri"/>
          <w:bCs/>
        </w:rPr>
      </w:pPr>
      <w:r w:rsidRPr="007836B3">
        <w:rPr>
          <w:rFonts w:eastAsia="Calibri"/>
          <w:i/>
          <w:iCs/>
        </w:rPr>
        <w:t>By Friday</w:t>
      </w:r>
      <w:r>
        <w:rPr>
          <w:rFonts w:eastAsia="Calibri"/>
        </w:rPr>
        <w:t>: With your partner(s), draft a case transfer memo of your assigned case.</w:t>
      </w:r>
    </w:p>
    <w:p w14:paraId="397D6945" w14:textId="79F8C87B" w:rsidR="5DE55BD9" w:rsidRDefault="5DE55BD9" w:rsidP="5DE55BD9"/>
    <w:p w14:paraId="65E5E190" w14:textId="07DF79CF" w:rsidR="002E1A57" w:rsidRDefault="002E1A57" w:rsidP="00931A9D">
      <w:pPr>
        <w:rPr>
          <w:rFonts w:eastAsia="Calibri"/>
          <w:b/>
          <w:u w:val="single"/>
        </w:rPr>
      </w:pPr>
      <w:r w:rsidRPr="002E1A57">
        <w:rPr>
          <w:rFonts w:eastAsia="Calibri"/>
          <w:b/>
          <w:u w:val="single"/>
        </w:rPr>
        <w:t>Week Fourteen (Week of April 17</w:t>
      </w:r>
      <w:r w:rsidRPr="002E1A57">
        <w:rPr>
          <w:rFonts w:eastAsia="Calibri"/>
          <w:b/>
          <w:u w:val="single"/>
          <w:vertAlign w:val="superscript"/>
        </w:rPr>
        <w:t>th</w:t>
      </w:r>
      <w:r w:rsidRPr="002E1A57">
        <w:rPr>
          <w:rFonts w:eastAsia="Calibri"/>
          <w:b/>
          <w:u w:val="single"/>
        </w:rPr>
        <w:t>)</w:t>
      </w:r>
    </w:p>
    <w:p w14:paraId="2350A908" w14:textId="68715F89" w:rsidR="002E1A57" w:rsidRDefault="002E1A57" w:rsidP="00931A9D">
      <w:pPr>
        <w:rPr>
          <w:rFonts w:eastAsia="Calibri"/>
          <w:b/>
          <w:u w:val="single"/>
        </w:rPr>
      </w:pPr>
    </w:p>
    <w:p w14:paraId="606AFD7C" w14:textId="3D555A31" w:rsidR="002E1A57" w:rsidRPr="002E1A57" w:rsidRDefault="002E1A57" w:rsidP="00931A9D">
      <w:pPr>
        <w:rPr>
          <w:rFonts w:eastAsia="Calibri"/>
          <w:bCs/>
        </w:rPr>
      </w:pPr>
      <w:r w:rsidRPr="004D61C6">
        <w:rPr>
          <w:rFonts w:eastAsia="Calibri"/>
          <w:bCs/>
          <w:i/>
          <w:iCs/>
        </w:rPr>
        <w:t>Lecture Topic</w:t>
      </w:r>
      <w:r w:rsidRPr="002E1A57">
        <w:rPr>
          <w:rFonts w:eastAsia="Calibri"/>
          <w:bCs/>
        </w:rPr>
        <w:t>:</w:t>
      </w:r>
      <w:r>
        <w:rPr>
          <w:rFonts w:eastAsia="Calibri"/>
          <w:bCs/>
        </w:rPr>
        <w:t xml:space="preserve"> case rounds, debriefing</w:t>
      </w:r>
    </w:p>
    <w:p w14:paraId="79C60018" w14:textId="3BFEA4AF" w:rsidR="002E1A57" w:rsidRDefault="002E1A57" w:rsidP="00931A9D">
      <w:pPr>
        <w:rPr>
          <w:rFonts w:eastAsia="Calibri"/>
          <w:b/>
          <w:u w:val="single"/>
        </w:rPr>
      </w:pPr>
    </w:p>
    <w:p w14:paraId="3300B31A" w14:textId="06091184" w:rsidR="002E1A57" w:rsidRDefault="002E1A57" w:rsidP="00931A9D">
      <w:pPr>
        <w:rPr>
          <w:rFonts w:eastAsia="Calibri"/>
          <w:bCs/>
        </w:rPr>
      </w:pPr>
      <w:r>
        <w:rPr>
          <w:rFonts w:eastAsia="Calibri"/>
          <w:b/>
          <w:u w:val="single"/>
        </w:rPr>
        <w:t>Week Fifteen (Week of April 24</w:t>
      </w:r>
      <w:r w:rsidRPr="002E1A57">
        <w:rPr>
          <w:rFonts w:eastAsia="Calibri"/>
          <w:b/>
          <w:u w:val="single"/>
          <w:vertAlign w:val="superscript"/>
        </w:rPr>
        <w:t>th</w:t>
      </w:r>
      <w:r>
        <w:rPr>
          <w:rFonts w:eastAsia="Calibri"/>
          <w:b/>
          <w:u w:val="single"/>
        </w:rPr>
        <w:t>)</w:t>
      </w:r>
    </w:p>
    <w:p w14:paraId="24F1AFD9" w14:textId="66F3E8D4" w:rsidR="002E1A57" w:rsidRDefault="002E1A57" w:rsidP="00931A9D">
      <w:pPr>
        <w:rPr>
          <w:rFonts w:eastAsia="Calibri"/>
          <w:bCs/>
        </w:rPr>
      </w:pPr>
    </w:p>
    <w:p w14:paraId="3637F46B" w14:textId="784B9D53" w:rsidR="002E1A57" w:rsidRPr="002E1A57" w:rsidRDefault="002E1A57" w:rsidP="00931A9D">
      <w:pPr>
        <w:rPr>
          <w:rFonts w:eastAsia="Calibri"/>
          <w:bCs/>
        </w:rPr>
      </w:pPr>
      <w:r>
        <w:rPr>
          <w:rFonts w:eastAsia="Calibri"/>
          <w:bCs/>
        </w:rPr>
        <w:t>End of semester lunch</w:t>
      </w:r>
    </w:p>
    <w:p w14:paraId="7372D806" w14:textId="77777777" w:rsidR="00931A9D" w:rsidRDefault="00931A9D" w:rsidP="00931A9D">
      <w:pPr>
        <w:rPr>
          <w:color w:val="2D3B45"/>
        </w:rPr>
      </w:pPr>
    </w:p>
    <w:p w14:paraId="7771873E" w14:textId="77777777" w:rsidR="001C0EA6" w:rsidRPr="00F335E2" w:rsidRDefault="001C0EA6" w:rsidP="00242088">
      <w:pPr>
        <w:rPr>
          <w:b/>
          <w:sz w:val="22"/>
          <w:szCs w:val="22"/>
          <w:u w:val="single"/>
        </w:rPr>
      </w:pPr>
    </w:p>
    <w:p w14:paraId="4770DBC4" w14:textId="05FF82B3" w:rsidR="00810488" w:rsidRDefault="00810488">
      <w:pPr>
        <w:spacing w:after="160" w:line="259" w:lineRule="auto"/>
        <w:rPr>
          <w:b/>
          <w:sz w:val="22"/>
          <w:szCs w:val="22"/>
          <w:highlight w:val="cyan"/>
          <w:u w:val="single"/>
        </w:rPr>
      </w:pPr>
    </w:p>
    <w:sectPr w:rsidR="00810488">
      <w:headerReference w:type="even" r:id="rId25"/>
      <w:headerReference w:type="default" r:id="rId26"/>
      <w:footerReference w:type="even" r:id="rId27"/>
      <w:footerReference w:type="default" r:id="rId28"/>
      <w:headerReference w:type="first" r:id="rId29"/>
      <w:footerReference w:type="first" r:id="rId30"/>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249C" w14:textId="77777777" w:rsidR="00F72CAC" w:rsidRDefault="00F72CAC">
      <w:r>
        <w:separator/>
      </w:r>
    </w:p>
  </w:endnote>
  <w:endnote w:type="continuationSeparator" w:id="0">
    <w:p w14:paraId="31E4088B" w14:textId="77777777" w:rsidR="00F72CAC" w:rsidRDefault="00F72CAC">
      <w:r>
        <w:continuationSeparator/>
      </w:r>
    </w:p>
  </w:endnote>
  <w:endnote w:type="continuationNotice" w:id="1">
    <w:p w14:paraId="73055F75" w14:textId="77777777" w:rsidR="00F72CAC" w:rsidRDefault="00F72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8644" w14:textId="77777777" w:rsidR="00F72CAC" w:rsidRDefault="00F72CAC">
      <w:r>
        <w:separator/>
      </w:r>
    </w:p>
  </w:footnote>
  <w:footnote w:type="continuationSeparator" w:id="0">
    <w:p w14:paraId="75C4A188" w14:textId="77777777" w:rsidR="00F72CAC" w:rsidRDefault="00F72CAC">
      <w:r>
        <w:continuationSeparator/>
      </w:r>
    </w:p>
  </w:footnote>
  <w:footnote w:type="continuationNotice" w:id="1">
    <w:p w14:paraId="28047C4D" w14:textId="77777777" w:rsidR="00F72CAC" w:rsidRDefault="00F72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5AC"/>
    <w:multiLevelType w:val="multilevel"/>
    <w:tmpl w:val="220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50B00"/>
    <w:multiLevelType w:val="multilevel"/>
    <w:tmpl w:val="3AB0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F5C3D"/>
    <w:multiLevelType w:val="hybridMultilevel"/>
    <w:tmpl w:val="CB18FB72"/>
    <w:lvl w:ilvl="0" w:tplc="29A2A124">
      <w:start w:val="1"/>
      <w:numFmt w:val="decimal"/>
      <w:lvlText w:val="%1."/>
      <w:lvlJc w:val="left"/>
      <w:pPr>
        <w:tabs>
          <w:tab w:val="num" w:pos="720"/>
        </w:tabs>
        <w:ind w:left="720" w:hanging="360"/>
      </w:pPr>
    </w:lvl>
    <w:lvl w:ilvl="1" w:tplc="8298A054" w:tentative="1">
      <w:start w:val="1"/>
      <w:numFmt w:val="decimal"/>
      <w:lvlText w:val="%2."/>
      <w:lvlJc w:val="left"/>
      <w:pPr>
        <w:tabs>
          <w:tab w:val="num" w:pos="1440"/>
        </w:tabs>
        <w:ind w:left="1440" w:hanging="360"/>
      </w:pPr>
    </w:lvl>
    <w:lvl w:ilvl="2" w:tplc="4080C132" w:tentative="1">
      <w:start w:val="1"/>
      <w:numFmt w:val="decimal"/>
      <w:lvlText w:val="%3."/>
      <w:lvlJc w:val="left"/>
      <w:pPr>
        <w:tabs>
          <w:tab w:val="num" w:pos="2160"/>
        </w:tabs>
        <w:ind w:left="2160" w:hanging="360"/>
      </w:pPr>
    </w:lvl>
    <w:lvl w:ilvl="3" w:tplc="37842C70" w:tentative="1">
      <w:start w:val="1"/>
      <w:numFmt w:val="decimal"/>
      <w:lvlText w:val="%4."/>
      <w:lvlJc w:val="left"/>
      <w:pPr>
        <w:tabs>
          <w:tab w:val="num" w:pos="2880"/>
        </w:tabs>
        <w:ind w:left="2880" w:hanging="360"/>
      </w:pPr>
    </w:lvl>
    <w:lvl w:ilvl="4" w:tplc="34BA2E7A" w:tentative="1">
      <w:start w:val="1"/>
      <w:numFmt w:val="decimal"/>
      <w:lvlText w:val="%5."/>
      <w:lvlJc w:val="left"/>
      <w:pPr>
        <w:tabs>
          <w:tab w:val="num" w:pos="3600"/>
        </w:tabs>
        <w:ind w:left="3600" w:hanging="360"/>
      </w:pPr>
    </w:lvl>
    <w:lvl w:ilvl="5" w:tplc="4CDE681C" w:tentative="1">
      <w:start w:val="1"/>
      <w:numFmt w:val="decimal"/>
      <w:lvlText w:val="%6."/>
      <w:lvlJc w:val="left"/>
      <w:pPr>
        <w:tabs>
          <w:tab w:val="num" w:pos="4320"/>
        </w:tabs>
        <w:ind w:left="4320" w:hanging="360"/>
      </w:pPr>
    </w:lvl>
    <w:lvl w:ilvl="6" w:tplc="6B3654BE" w:tentative="1">
      <w:start w:val="1"/>
      <w:numFmt w:val="decimal"/>
      <w:lvlText w:val="%7."/>
      <w:lvlJc w:val="left"/>
      <w:pPr>
        <w:tabs>
          <w:tab w:val="num" w:pos="5040"/>
        </w:tabs>
        <w:ind w:left="5040" w:hanging="360"/>
      </w:pPr>
    </w:lvl>
    <w:lvl w:ilvl="7" w:tplc="8D8EF466" w:tentative="1">
      <w:start w:val="1"/>
      <w:numFmt w:val="decimal"/>
      <w:lvlText w:val="%8."/>
      <w:lvlJc w:val="left"/>
      <w:pPr>
        <w:tabs>
          <w:tab w:val="num" w:pos="5760"/>
        </w:tabs>
        <w:ind w:left="5760" w:hanging="360"/>
      </w:pPr>
    </w:lvl>
    <w:lvl w:ilvl="8" w:tplc="B90A2C42" w:tentative="1">
      <w:start w:val="1"/>
      <w:numFmt w:val="decimal"/>
      <w:lvlText w:val="%9."/>
      <w:lvlJc w:val="left"/>
      <w:pPr>
        <w:tabs>
          <w:tab w:val="num" w:pos="6480"/>
        </w:tabs>
        <w:ind w:left="6480" w:hanging="360"/>
      </w:p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0"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3"/>
  </w:num>
  <w:num w:numId="2" w16cid:durableId="1641882765">
    <w:abstractNumId w:val="22"/>
  </w:num>
  <w:num w:numId="3" w16cid:durableId="1711762566">
    <w:abstractNumId w:val="24"/>
  </w:num>
  <w:num w:numId="4" w16cid:durableId="751391446">
    <w:abstractNumId w:val="36"/>
  </w:num>
  <w:num w:numId="5" w16cid:durableId="1694726970">
    <w:abstractNumId w:val="39"/>
  </w:num>
  <w:num w:numId="6" w16cid:durableId="1925913167">
    <w:abstractNumId w:val="9"/>
  </w:num>
  <w:num w:numId="7" w16cid:durableId="1151483181">
    <w:abstractNumId w:val="34"/>
  </w:num>
  <w:num w:numId="8" w16cid:durableId="1221674859">
    <w:abstractNumId w:val="42"/>
  </w:num>
  <w:num w:numId="9" w16cid:durableId="1151946007">
    <w:abstractNumId w:val="18"/>
  </w:num>
  <w:num w:numId="10" w16cid:durableId="866597243">
    <w:abstractNumId w:val="33"/>
  </w:num>
  <w:num w:numId="11" w16cid:durableId="461384753">
    <w:abstractNumId w:val="13"/>
  </w:num>
  <w:num w:numId="12" w16cid:durableId="33310129">
    <w:abstractNumId w:val="12"/>
  </w:num>
  <w:num w:numId="13" w16cid:durableId="254218407">
    <w:abstractNumId w:val="30"/>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19"/>
  </w:num>
  <w:num w:numId="20" w16cid:durableId="691994698">
    <w:abstractNumId w:val="2"/>
  </w:num>
  <w:num w:numId="21" w16cid:durableId="1000501894">
    <w:abstractNumId w:val="41"/>
  </w:num>
  <w:num w:numId="22" w16cid:durableId="736053817">
    <w:abstractNumId w:val="20"/>
  </w:num>
  <w:num w:numId="23" w16cid:durableId="905576725">
    <w:abstractNumId w:val="40"/>
  </w:num>
  <w:num w:numId="24" w16cid:durableId="1483429566">
    <w:abstractNumId w:val="14"/>
  </w:num>
  <w:num w:numId="25" w16cid:durableId="1203788913">
    <w:abstractNumId w:val="38"/>
  </w:num>
  <w:num w:numId="26" w16cid:durableId="1016691553">
    <w:abstractNumId w:val="31"/>
  </w:num>
  <w:num w:numId="27" w16cid:durableId="953706332">
    <w:abstractNumId w:val="4"/>
  </w:num>
  <w:num w:numId="28" w16cid:durableId="1681665682">
    <w:abstractNumId w:val="6"/>
  </w:num>
  <w:num w:numId="29" w16cid:durableId="347758764">
    <w:abstractNumId w:val="10"/>
  </w:num>
  <w:num w:numId="30" w16cid:durableId="1122115825">
    <w:abstractNumId w:val="28"/>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5"/>
  </w:num>
  <w:num w:numId="36" w16cid:durableId="776410374">
    <w:abstractNumId w:val="7"/>
  </w:num>
  <w:num w:numId="37" w16cid:durableId="1305159487">
    <w:abstractNumId w:val="32"/>
  </w:num>
  <w:num w:numId="38" w16cid:durableId="1428889491">
    <w:abstractNumId w:val="26"/>
  </w:num>
  <w:num w:numId="39" w16cid:durableId="1274436412">
    <w:abstractNumId w:val="11"/>
  </w:num>
  <w:num w:numId="40" w16cid:durableId="1331446564">
    <w:abstractNumId w:val="3"/>
  </w:num>
  <w:num w:numId="41" w16cid:durableId="2080787846">
    <w:abstractNumId w:val="15"/>
  </w:num>
  <w:num w:numId="42" w16cid:durableId="56825312">
    <w:abstractNumId w:val="8"/>
  </w:num>
  <w:num w:numId="43" w16cid:durableId="229775482">
    <w:abstractNumId w:val="29"/>
  </w:num>
  <w:num w:numId="44" w16cid:durableId="158671796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3BA"/>
    <w:rsid w:val="00104CEB"/>
    <w:rsid w:val="00107AED"/>
    <w:rsid w:val="00111AC4"/>
    <w:rsid w:val="00113F55"/>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3C43"/>
    <w:rsid w:val="002C5934"/>
    <w:rsid w:val="002C7486"/>
    <w:rsid w:val="002D2176"/>
    <w:rsid w:val="002D625C"/>
    <w:rsid w:val="002E1A57"/>
    <w:rsid w:val="002E1E93"/>
    <w:rsid w:val="002E26F8"/>
    <w:rsid w:val="002E3905"/>
    <w:rsid w:val="002F408B"/>
    <w:rsid w:val="002F4921"/>
    <w:rsid w:val="002F568D"/>
    <w:rsid w:val="0030769D"/>
    <w:rsid w:val="0031469E"/>
    <w:rsid w:val="00316431"/>
    <w:rsid w:val="00317E71"/>
    <w:rsid w:val="003263DA"/>
    <w:rsid w:val="00327217"/>
    <w:rsid w:val="00327CEE"/>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1046"/>
    <w:rsid w:val="00444249"/>
    <w:rsid w:val="00444D51"/>
    <w:rsid w:val="0044543F"/>
    <w:rsid w:val="004632E7"/>
    <w:rsid w:val="00475E03"/>
    <w:rsid w:val="0047738C"/>
    <w:rsid w:val="004850FF"/>
    <w:rsid w:val="00486D86"/>
    <w:rsid w:val="004876D5"/>
    <w:rsid w:val="00490395"/>
    <w:rsid w:val="00492042"/>
    <w:rsid w:val="004A0380"/>
    <w:rsid w:val="004A16D7"/>
    <w:rsid w:val="004A1C88"/>
    <w:rsid w:val="004A4C6F"/>
    <w:rsid w:val="004A54E4"/>
    <w:rsid w:val="004A6C08"/>
    <w:rsid w:val="004B1091"/>
    <w:rsid w:val="004B7A87"/>
    <w:rsid w:val="004C207E"/>
    <w:rsid w:val="004C284F"/>
    <w:rsid w:val="004C303A"/>
    <w:rsid w:val="004C41A4"/>
    <w:rsid w:val="004D0796"/>
    <w:rsid w:val="004D2F19"/>
    <w:rsid w:val="004D33D4"/>
    <w:rsid w:val="004D36AF"/>
    <w:rsid w:val="004D61C6"/>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07F"/>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2145"/>
    <w:rsid w:val="006468B2"/>
    <w:rsid w:val="006555BF"/>
    <w:rsid w:val="0066150A"/>
    <w:rsid w:val="00663752"/>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36B3"/>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4B08"/>
    <w:rsid w:val="008954A6"/>
    <w:rsid w:val="008A08B4"/>
    <w:rsid w:val="008A6CFC"/>
    <w:rsid w:val="008A6D94"/>
    <w:rsid w:val="008B2603"/>
    <w:rsid w:val="008B4053"/>
    <w:rsid w:val="008B5EA8"/>
    <w:rsid w:val="008C073E"/>
    <w:rsid w:val="008C6D77"/>
    <w:rsid w:val="008D77A5"/>
    <w:rsid w:val="008E2FEE"/>
    <w:rsid w:val="008E3B19"/>
    <w:rsid w:val="008E5D50"/>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1A9D"/>
    <w:rsid w:val="0093384D"/>
    <w:rsid w:val="009360C3"/>
    <w:rsid w:val="00937444"/>
    <w:rsid w:val="0094573D"/>
    <w:rsid w:val="009513E3"/>
    <w:rsid w:val="00955A6B"/>
    <w:rsid w:val="00956C98"/>
    <w:rsid w:val="009571E9"/>
    <w:rsid w:val="00960BD7"/>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E3FF6"/>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BF53F0"/>
    <w:rsid w:val="00C031B8"/>
    <w:rsid w:val="00C05ACC"/>
    <w:rsid w:val="00C12C9B"/>
    <w:rsid w:val="00C13917"/>
    <w:rsid w:val="00C140AB"/>
    <w:rsid w:val="00C15068"/>
    <w:rsid w:val="00C2238A"/>
    <w:rsid w:val="00C24F37"/>
    <w:rsid w:val="00C260E0"/>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D7226"/>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35E2"/>
    <w:rsid w:val="00F50F9F"/>
    <w:rsid w:val="00F64A28"/>
    <w:rsid w:val="00F72CAC"/>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DE55BD9"/>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D2B336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op">
    <w:name w:val="eop"/>
    <w:basedOn w:val="DefaultParagraphFont"/>
    <w:rsid w:val="00441046"/>
  </w:style>
  <w:style w:type="character" w:styleId="PageNumber">
    <w:name w:val="page number"/>
    <w:basedOn w:val="DefaultParagraphFont"/>
    <w:uiPriority w:val="99"/>
    <w:semiHidden/>
    <w:unhideWhenUsed/>
    <w:rsid w:val="008E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247">
      <w:bodyDiv w:val="1"/>
      <w:marLeft w:val="0"/>
      <w:marRight w:val="0"/>
      <w:marTop w:val="0"/>
      <w:marBottom w:val="0"/>
      <w:divBdr>
        <w:top w:val="none" w:sz="0" w:space="0" w:color="auto"/>
        <w:left w:val="none" w:sz="0" w:space="0" w:color="auto"/>
        <w:bottom w:val="none" w:sz="0" w:space="0" w:color="auto"/>
        <w:right w:val="none" w:sz="0" w:space="0" w:color="auto"/>
      </w:divBdr>
      <w:divsChild>
        <w:div w:id="435179797">
          <w:marLeft w:val="0"/>
          <w:marRight w:val="0"/>
          <w:marTop w:val="0"/>
          <w:marBottom w:val="0"/>
          <w:divBdr>
            <w:top w:val="none" w:sz="0" w:space="0" w:color="auto"/>
            <w:left w:val="none" w:sz="0" w:space="0" w:color="auto"/>
            <w:bottom w:val="none" w:sz="0" w:space="0" w:color="auto"/>
            <w:right w:val="none" w:sz="0" w:space="0" w:color="auto"/>
          </w:divBdr>
        </w:div>
        <w:div w:id="794368389">
          <w:marLeft w:val="0"/>
          <w:marRight w:val="0"/>
          <w:marTop w:val="0"/>
          <w:marBottom w:val="0"/>
          <w:divBdr>
            <w:top w:val="none" w:sz="0" w:space="0" w:color="auto"/>
            <w:left w:val="none" w:sz="0" w:space="0" w:color="auto"/>
            <w:bottom w:val="none" w:sz="0" w:space="0" w:color="auto"/>
            <w:right w:val="none" w:sz="0" w:space="0" w:color="auto"/>
          </w:divBdr>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0036">
      <w:bodyDiv w:val="1"/>
      <w:marLeft w:val="0"/>
      <w:marRight w:val="0"/>
      <w:marTop w:val="0"/>
      <w:marBottom w:val="0"/>
      <w:divBdr>
        <w:top w:val="none" w:sz="0" w:space="0" w:color="auto"/>
        <w:left w:val="none" w:sz="0" w:space="0" w:color="auto"/>
        <w:bottom w:val="none" w:sz="0" w:space="0" w:color="auto"/>
        <w:right w:val="none" w:sz="0" w:space="0" w:color="auto"/>
      </w:divBdr>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67509054">
      <w:bodyDiv w:val="1"/>
      <w:marLeft w:val="0"/>
      <w:marRight w:val="0"/>
      <w:marTop w:val="0"/>
      <w:marBottom w:val="0"/>
      <w:divBdr>
        <w:top w:val="none" w:sz="0" w:space="0" w:color="auto"/>
        <w:left w:val="none" w:sz="0" w:space="0" w:color="auto"/>
        <w:bottom w:val="none" w:sz="0" w:space="0" w:color="auto"/>
        <w:right w:val="none" w:sz="0" w:space="0" w:color="auto"/>
      </w:divBdr>
      <w:divsChild>
        <w:div w:id="1685010050">
          <w:marLeft w:val="0"/>
          <w:marRight w:val="0"/>
          <w:marTop w:val="0"/>
          <w:marBottom w:val="0"/>
          <w:divBdr>
            <w:top w:val="none" w:sz="0" w:space="0" w:color="auto"/>
            <w:left w:val="none" w:sz="0" w:space="0" w:color="auto"/>
            <w:bottom w:val="none" w:sz="0" w:space="0" w:color="auto"/>
            <w:right w:val="none" w:sz="0" w:space="0" w:color="auto"/>
          </w:divBdr>
          <w:divsChild>
            <w:div w:id="1578978695">
              <w:marLeft w:val="0"/>
              <w:marRight w:val="0"/>
              <w:marTop w:val="0"/>
              <w:marBottom w:val="0"/>
              <w:divBdr>
                <w:top w:val="none" w:sz="0" w:space="0" w:color="auto"/>
                <w:left w:val="none" w:sz="0" w:space="0" w:color="auto"/>
                <w:bottom w:val="none" w:sz="0" w:space="0" w:color="auto"/>
                <w:right w:val="none" w:sz="0" w:space="0" w:color="auto"/>
              </w:divBdr>
              <w:divsChild>
                <w:div w:id="575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3059988">
      <w:bodyDiv w:val="1"/>
      <w:marLeft w:val="0"/>
      <w:marRight w:val="0"/>
      <w:marTop w:val="0"/>
      <w:marBottom w:val="0"/>
      <w:divBdr>
        <w:top w:val="none" w:sz="0" w:space="0" w:color="auto"/>
        <w:left w:val="none" w:sz="0" w:space="0" w:color="auto"/>
        <w:bottom w:val="none" w:sz="0" w:space="0" w:color="auto"/>
        <w:right w:val="none" w:sz="0" w:space="0" w:color="auto"/>
      </w:divBdr>
      <w:divsChild>
        <w:div w:id="1047989784">
          <w:marLeft w:val="0"/>
          <w:marRight w:val="0"/>
          <w:marTop w:val="0"/>
          <w:marBottom w:val="0"/>
          <w:divBdr>
            <w:top w:val="none" w:sz="0" w:space="0" w:color="auto"/>
            <w:left w:val="none" w:sz="0" w:space="0" w:color="auto"/>
            <w:bottom w:val="none" w:sz="0" w:space="0" w:color="auto"/>
            <w:right w:val="none" w:sz="0" w:space="0" w:color="auto"/>
          </w:divBdr>
          <w:divsChild>
            <w:div w:id="1851601091">
              <w:marLeft w:val="0"/>
              <w:marRight w:val="0"/>
              <w:marTop w:val="0"/>
              <w:marBottom w:val="0"/>
              <w:divBdr>
                <w:top w:val="none" w:sz="0" w:space="0" w:color="auto"/>
                <w:left w:val="none" w:sz="0" w:space="0" w:color="auto"/>
                <w:bottom w:val="none" w:sz="0" w:space="0" w:color="auto"/>
                <w:right w:val="none" w:sz="0" w:space="0" w:color="auto"/>
              </w:divBdr>
              <w:divsChild>
                <w:div w:id="1486126025">
                  <w:marLeft w:val="0"/>
                  <w:marRight w:val="0"/>
                  <w:marTop w:val="0"/>
                  <w:marBottom w:val="0"/>
                  <w:divBdr>
                    <w:top w:val="none" w:sz="0" w:space="0" w:color="auto"/>
                    <w:left w:val="none" w:sz="0" w:space="0" w:color="auto"/>
                    <w:bottom w:val="none" w:sz="0" w:space="0" w:color="auto"/>
                    <w:right w:val="none" w:sz="0" w:space="0" w:color="auto"/>
                  </w:divBdr>
                  <w:divsChild>
                    <w:div w:id="810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09404708">
      <w:bodyDiv w:val="1"/>
      <w:marLeft w:val="0"/>
      <w:marRight w:val="0"/>
      <w:marTop w:val="0"/>
      <w:marBottom w:val="0"/>
      <w:divBdr>
        <w:top w:val="none" w:sz="0" w:space="0" w:color="auto"/>
        <w:left w:val="none" w:sz="0" w:space="0" w:color="auto"/>
        <w:bottom w:val="none" w:sz="0" w:space="0" w:color="auto"/>
        <w:right w:val="none" w:sz="0" w:space="0" w:color="auto"/>
      </w:divBdr>
      <w:divsChild>
        <w:div w:id="1829512696">
          <w:marLeft w:val="0"/>
          <w:marRight w:val="0"/>
          <w:marTop w:val="0"/>
          <w:marBottom w:val="0"/>
          <w:divBdr>
            <w:top w:val="none" w:sz="0" w:space="0" w:color="auto"/>
            <w:left w:val="none" w:sz="0" w:space="0" w:color="auto"/>
            <w:bottom w:val="none" w:sz="0" w:space="0" w:color="auto"/>
            <w:right w:val="none" w:sz="0" w:space="0" w:color="auto"/>
          </w:divBdr>
          <w:divsChild>
            <w:div w:id="1014842799">
              <w:marLeft w:val="0"/>
              <w:marRight w:val="0"/>
              <w:marTop w:val="0"/>
              <w:marBottom w:val="0"/>
              <w:divBdr>
                <w:top w:val="none" w:sz="0" w:space="0" w:color="auto"/>
                <w:left w:val="none" w:sz="0" w:space="0" w:color="auto"/>
                <w:bottom w:val="none" w:sz="0" w:space="0" w:color="auto"/>
                <w:right w:val="none" w:sz="0" w:space="0" w:color="auto"/>
              </w:divBdr>
              <w:divsChild>
                <w:div w:id="17288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796">
      <w:bodyDiv w:val="1"/>
      <w:marLeft w:val="0"/>
      <w:marRight w:val="0"/>
      <w:marTop w:val="0"/>
      <w:marBottom w:val="0"/>
      <w:divBdr>
        <w:top w:val="none" w:sz="0" w:space="0" w:color="auto"/>
        <w:left w:val="none" w:sz="0" w:space="0" w:color="auto"/>
        <w:bottom w:val="none" w:sz="0" w:space="0" w:color="auto"/>
        <w:right w:val="none" w:sz="0" w:space="0" w:color="auto"/>
      </w:divBdr>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159">
      <w:bodyDiv w:val="1"/>
      <w:marLeft w:val="0"/>
      <w:marRight w:val="0"/>
      <w:marTop w:val="0"/>
      <w:marBottom w:val="0"/>
      <w:divBdr>
        <w:top w:val="none" w:sz="0" w:space="0" w:color="auto"/>
        <w:left w:val="none" w:sz="0" w:space="0" w:color="auto"/>
        <w:bottom w:val="none" w:sz="0" w:space="0" w:color="auto"/>
        <w:right w:val="none" w:sz="0" w:space="0" w:color="auto"/>
      </w:divBdr>
      <w:divsChild>
        <w:div w:id="440344174">
          <w:marLeft w:val="0"/>
          <w:marRight w:val="0"/>
          <w:marTop w:val="0"/>
          <w:marBottom w:val="0"/>
          <w:divBdr>
            <w:top w:val="none" w:sz="0" w:space="0" w:color="auto"/>
            <w:left w:val="none" w:sz="0" w:space="0" w:color="auto"/>
            <w:bottom w:val="none" w:sz="0" w:space="0" w:color="auto"/>
            <w:right w:val="none" w:sz="0" w:space="0" w:color="auto"/>
          </w:divBdr>
        </w:div>
        <w:div w:id="1683362139">
          <w:marLeft w:val="0"/>
          <w:marRight w:val="0"/>
          <w:marTop w:val="0"/>
          <w:marBottom w:val="0"/>
          <w:divBdr>
            <w:top w:val="none" w:sz="0" w:space="0" w:color="auto"/>
            <w:left w:val="none" w:sz="0" w:space="0" w:color="auto"/>
            <w:bottom w:val="none" w:sz="0" w:space="0" w:color="auto"/>
            <w:right w:val="none" w:sz="0" w:space="0" w:color="auto"/>
          </w:divBdr>
        </w:div>
        <w:div w:id="1322732622">
          <w:marLeft w:val="0"/>
          <w:marRight w:val="0"/>
          <w:marTop w:val="0"/>
          <w:marBottom w:val="0"/>
          <w:divBdr>
            <w:top w:val="none" w:sz="0" w:space="0" w:color="auto"/>
            <w:left w:val="none" w:sz="0" w:space="0" w:color="auto"/>
            <w:bottom w:val="none" w:sz="0" w:space="0" w:color="auto"/>
            <w:right w:val="none" w:sz="0" w:space="0" w:color="auto"/>
          </w:divBdr>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093572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56">
          <w:marLeft w:val="0"/>
          <w:marRight w:val="0"/>
          <w:marTop w:val="0"/>
          <w:marBottom w:val="0"/>
          <w:divBdr>
            <w:top w:val="none" w:sz="0" w:space="0" w:color="auto"/>
            <w:left w:val="none" w:sz="0" w:space="0" w:color="auto"/>
            <w:bottom w:val="none" w:sz="0" w:space="0" w:color="auto"/>
            <w:right w:val="none" w:sz="0" w:space="0" w:color="auto"/>
          </w:divBdr>
        </w:div>
        <w:div w:id="1747190200">
          <w:marLeft w:val="0"/>
          <w:marRight w:val="0"/>
          <w:marTop w:val="0"/>
          <w:marBottom w:val="0"/>
          <w:divBdr>
            <w:top w:val="none" w:sz="0" w:space="0" w:color="auto"/>
            <w:left w:val="none" w:sz="0" w:space="0" w:color="auto"/>
            <w:bottom w:val="none" w:sz="0" w:space="0" w:color="auto"/>
            <w:right w:val="none" w:sz="0" w:space="0" w:color="auto"/>
          </w:divBdr>
          <w:divsChild>
            <w:div w:id="1909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www.flcourts.gov/content/download/215992/file/Floridas_Dependency_Flow_Chart_page2.pdf" TargetMode="External"/><Relationship Id="rId18" Type="http://schemas.openxmlformats.org/officeDocument/2006/relationships/hyperlink" Target="https://1.next.westlaw.com/Document/Ieaa1f5f7d62611e398db8b09b4f043e0/View/FullText.html?transitionType=Default&amp;contextData=(oc.Defaul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odcasts.apple.com/us/podcast/lets-talk-sped-law/id1500200391?i=1000502466274" TargetMode="External"/><Relationship Id="rId7" Type="http://schemas.openxmlformats.org/officeDocument/2006/relationships/endnotes" Target="endnotes.xml"/><Relationship Id="rId12" Type="http://schemas.openxmlformats.org/officeDocument/2006/relationships/hyperlink" Target="https://www.flcourts.gov/content/download/215991/file/Floridas_Dependency_Flow_Chart_page1.pdf" TargetMode="External"/><Relationship Id="rId17" Type="http://schemas.openxmlformats.org/officeDocument/2006/relationships/hyperlink" Target="https://1.next.westlaw.com/Document/Ieaa1f5f7d62611e398db8b09b4f043e0/View/FullText.html?transitionType=Default&amp;contextData=(oc.Defaul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lcourts.gov/content/download/402738/file/Delinquency-Flowchart-2018.pdf" TargetMode="External"/><Relationship Id="rId20" Type="http://schemas.openxmlformats.org/officeDocument/2006/relationships/hyperlink" Target="https://1.next.westlaw.com/Document/I8e85cde50e4b11e9a5b3e3d9e23d7429/View/FullText.html?transitionType=Default&amp;contextData=(oc.Defaul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bar.org/content/dam/aba/administrative/child_law/aba_model_act_2011.pdf" TargetMode="External"/><Relationship Id="rId24" Type="http://schemas.openxmlformats.org/officeDocument/2006/relationships/hyperlink" Target="https://nam10.safelinks.protection.outlook.com/?url=https%3A%2F%2Fwww.ftc.gov%2Fbusiness-guidance%2Fadvertising-marketing%2Fchildren&amp;data=05%7C01%7Csteinberg%40law.ufl.edu%7C997910acbfe24fdd681708daecf70dfd%7C0d4da0f84a314d76ace60a62331e1b84%7C0%7C0%7C638082844309328871%7CUnknown%7CTWFpbGZsb3d8eyJWIjoiMC4wLjAwMDAiLCJQIjoiV2luMzIiLCJBTiI6Ik1haWwiLCJXVCI6Mn0%3D%7C2000%7C%7C%7C&amp;sdata=6Xx88HXQQSVNcAHjO9FKiOAXReIqXmfizG49NKDa6wg%3D&amp;reserv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tourolaw.edu/cgi/viewcontent.cgi?article=2948&amp;context=lawreview" TargetMode="External"/><Relationship Id="rId23" Type="http://schemas.openxmlformats.org/officeDocument/2006/relationships/hyperlink" Target="https://nam10.safelinks.protection.outlook.com/?url=https%3A%2F%2Fwww.ftc.gov%2Fnews-events%2Fevents%2F2022%2F10%2Fprotecting-kids-stealth-advertising-digital-media&amp;data=05%7C01%7Csteinberg%40law.ufl.edu%7C997910acbfe24fdd681708daecf70dfd%7C0d4da0f84a314d76ace60a62331e1b84%7C0%7C0%7C638082844309328871%7CUnknown%7CTWFpbGZsb3d8eyJWIjoiMC4wLjAwMDAiLCJQIjoiV2luMzIiLCJBTiI6Ik1haWwiLCJXVCI6Mn0%3D%7C2000%7C%7C%7C&amp;sdata=e4Gms3VmT9YUH0nLonNcE8paD3%2B%2B6Xr17OwY%2F%2FEcbNg%3D&amp;reserved=0" TargetMode="External"/><Relationship Id="rId28" Type="http://schemas.openxmlformats.org/officeDocument/2006/relationships/footer" Target="footer2.xml"/><Relationship Id="rId10" Type="http://schemas.openxmlformats.org/officeDocument/2006/relationships/hyperlink" Target="https://ufl.instructure.com/courses/427635/files/74674656?wrap=1" TargetMode="External"/><Relationship Id="rId19" Type="http://schemas.openxmlformats.org/officeDocument/2006/relationships/hyperlink" Target="https://podcasts.apple.com/us/podcast/one-in-ten/id1462683950?i=10005408965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pdf.sciencedirectassets.com/271857/1-s2.0-S0190740922X00091/1-s2.0-S0190740922002213/main.pdf?X-Amz-Security-Token=IQoJb3JpZ2luX2VjENb%2F%2F%2F%2F%2F%2F%2F%2F%2F%2FwEaCXVzLWVhc3QtMSJHMEUCIEQqHFvzyhWpccKWk5dxE0wg765m7snc3%2FDdWZvQDQtlAiEAmpYwJ5a88%2FQdNXurc3yblbEatmUIjqTINOI9NNMyE2AqzAQILxAFGgwwNTkwMDM1NDY4NjUiDDh9yYEiYJiw099aUSqpBO52NdgdTP%2FQckx96VI0BzlsdHq%2B8dGQTlBDa%2FefREJBIuYmq52jMU79Tnrw9fCZb8kAm%2FX57huX%2Fk45fmtMqQjDOAgFfNXQT4Agu2SJFTrYvP98WibFxCfM7dNy9XeJkuylgOwFlVGHauUuApW4IguWvwBUNSzB33Xix5BsZAuM%2FFk3kkWF7t4StnX7%2FxcaG48XkRenV7RrH4mQMHXP2wupdlPjW7WsF9bZMsaNnRi8QH0q8S3tDjedtNyWNiVgPQPUSY4qX0VounvnkZR8yjyC16eg82HNQDFFKafdok7tH5ZrtJ6s0O1B7vZgJ5KgEoUuIfXq8KISHSgeYV6BpB4mQ58RRUn%2B1krMgiqxRwUYndi5HF1rBcBiYoAkEWkAW6fpRTZxAP6tQfYYQv0gU8AX1lgmPLHVlnpn5ICW8Q%2FUUTxt1UmL0EBrxc%2BwgSfhscSW%2BYMx8zwgg2GH5JnRy%2Fpd5AtFhHXLUXarQRknvhHkTNuYXPOHhfTIs4xuG1AmlTP3O%2Fvlm0iKIy4FcRWSjRSx4lD3rwgPsUs82sw2nmISr5gSfdQIHUjx98qkAtjwYxtCAFnBrJNPI1TnKTFM52DTGkDCtvrS4edL75HqkfPch75HAj1hTvNpk81UKY8iBbBSM9RoefmtMWaGr0UC4ejFq7kPyUHMOPXfHqLBH1Hr8W%2FnzUQQ4hIdic9WytHCV%2Fnw6P7zc2D6h7fQAELiaq2CmF5%2FKLosbqowktPgnQY6qQFsoFjZc8TK9MkWT23u1WZY4wXW1JRVhAO6nK%2BmeBQyyRoVOPt%2BMypDaE2CgxmnWaWjXv4kCsq1ne6vFtxXfo0kX8uU2ivbv0bMZgWP75Q7uHmQNI1DFaGJ3tA2J%2FfzQutEreKAYdY69uljU4kltyYANy9sAh516yXx0yQgyljWwumu8oPsKuq94XXvM0WXgZj0QrCM1kwBvHk6Xh7F3ybziA%2FFaW0sOk09&amp;X-Amz-Algorithm=AWS4-HMAC-SHA256&amp;X-Amz-Date=20230106T152945Z&amp;X-Amz-SignedHeaders=host&amp;X-Amz-Expires=300&amp;X-Amz-Credential=ASIAQ3PHCVTYTQICZ45A%2F20230106%2Fus-east-1%2Fs3%2Faws4_request&amp;X-Amz-Signature=ae87a35a7bb13d472572c21b5019ee174add4dcea0a2b285a6b81b81869583cd&amp;hash=f2cf5b908e377f1e4037dc104acb7b6cd41b2fdf037f3012272b2679be36d736&amp;host=68042c943591013ac2b2430a89b270f6af2c76d8dfd086a07176afe7c76c2c61&amp;pii=S0190740922002213&amp;tid=spdf-2688319d-f3af-4f24-a4b5-3f88b4da8c56&amp;sid=d749f3a46d22e9463b2a2014685c1a66abaagxrqa&amp;type=client&amp;ua=4d58515251040c500105&amp;rr=78557db2bf4e67de" TargetMode="External"/><Relationship Id="rId22" Type="http://schemas.openxmlformats.org/officeDocument/2006/relationships/hyperlink" Target="https://nam10.safelinks.protection.outlook.com/?url=https%3A%2F%2Fwww.ftc.gov%2Fnews-events%2Fevents%2F2021%2F04%2Fbringing-dark-patterns-light-ftc-workshop&amp;data=05%7C01%7Csteinberg%40law.ufl.edu%7C997910acbfe24fdd681708daecf70dfd%7C0d4da0f84a314d76ace60a62331e1b84%7C0%7C0%7C638082844309328871%7CUnknown%7CTWFpbGZsb3d8eyJWIjoiMC4wLjAwMDAiLCJQIjoiV2luMzIiLCJBTiI6Ik1haWwiLCJXVCI6Mn0%3D%7C2000%7C%7C%7C&amp;sdata=27vq%2FMzXSLqCgUg%2BZq0ZXJNCjtNGcpUlqRZ%2FwV0Uxu0%3D&amp;reserved=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12335</Characters>
  <Application>Microsoft Office Word</Application>
  <DocSecurity>4</DocSecurity>
  <Lines>102</Lines>
  <Paragraphs>28</Paragraphs>
  <ScaleCrop>false</ScaleCrop>
  <Company>University of Florida Levin College of Law</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2023-01-11T13:43:00Z</dcterms:created>
  <dcterms:modified xsi:type="dcterms:W3CDTF">2023-01-11T13:43:00Z</dcterms:modified>
</cp:coreProperties>
</file>