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DD0E6" w14:textId="2156E6DE" w:rsidR="00C14EBD" w:rsidRDefault="00C14EBD" w:rsidP="00C14EBD">
      <w:pPr>
        <w:pStyle w:val="Title"/>
      </w:pPr>
      <w:r>
        <w:t xml:space="preserve">Law </w:t>
      </w:r>
      <w:r w:rsidR="00E708FF">
        <w:t>7613</w:t>
      </w:r>
      <w:r>
        <w:t xml:space="preserve">: </w:t>
      </w:r>
      <w:r w:rsidR="00A10F16">
        <w:t>Corporate Tax</w:t>
      </w:r>
      <w:r w:rsidR="00275033">
        <w:t>ation</w:t>
      </w:r>
      <w:r w:rsidR="008B5500">
        <w:t xml:space="preserve"> I</w:t>
      </w:r>
      <w:r w:rsidR="00E708FF">
        <w:t>I</w:t>
      </w:r>
    </w:p>
    <w:p w14:paraId="363996C6" w14:textId="77777777" w:rsidR="00A477C2" w:rsidRPr="00D67A01" w:rsidRDefault="00A477C2" w:rsidP="00A477C2">
      <w:pPr>
        <w:spacing w:after="120"/>
        <w:ind w:right="-187"/>
        <w:outlineLvl w:val="0"/>
      </w:pPr>
      <w:r>
        <w:rPr>
          <w:u w:val="single"/>
        </w:rPr>
        <w:t>Credit Hours</w:t>
      </w:r>
      <w:r>
        <w:t>. 3</w:t>
      </w:r>
    </w:p>
    <w:p w14:paraId="5A5A01D2" w14:textId="0C527755" w:rsidR="00A477C2" w:rsidRDefault="00A477C2" w:rsidP="00A477C2">
      <w:pPr>
        <w:spacing w:after="120"/>
        <w:ind w:right="-187"/>
        <w:outlineLvl w:val="0"/>
      </w:pPr>
      <w:r>
        <w:rPr>
          <w:u w:val="single"/>
        </w:rPr>
        <w:t>Course Prerequisites and Description</w:t>
      </w:r>
      <w:r>
        <w:t>.</w:t>
      </w:r>
      <w:r>
        <w:br/>
        <w:t>Prerequ</w:t>
      </w:r>
      <w:r w:rsidR="001D5971">
        <w:t>isite</w:t>
      </w:r>
      <w:r>
        <w:t xml:space="preserve">: </w:t>
      </w:r>
      <w:r w:rsidR="00E708FF">
        <w:t>Corporate Tax I</w:t>
      </w:r>
      <w:r w:rsidR="008B5500">
        <w:t>.</w:t>
      </w:r>
    </w:p>
    <w:p w14:paraId="16B9A260" w14:textId="2303D538" w:rsidR="00275033" w:rsidRDefault="00E708FF" w:rsidP="00A477C2">
      <w:pPr>
        <w:spacing w:after="120"/>
        <w:ind w:right="-187"/>
        <w:outlineLvl w:val="0"/>
      </w:pPr>
      <w:r>
        <w:t>This course covers taxable corporate acquisitions</w:t>
      </w:r>
      <w:r w:rsidR="00776AC4">
        <w:t>,</w:t>
      </w:r>
      <w:r>
        <w:t xml:space="preserve"> bootstrap acquisitions</w:t>
      </w:r>
      <w:r w:rsidR="00776AC4">
        <w:t>,</w:t>
      </w:r>
      <w:r>
        <w:t xml:space="preserve"> c</w:t>
      </w:r>
      <w:r w:rsidRPr="00E708FF">
        <w:t>orporate reorganizations</w:t>
      </w:r>
      <w:r w:rsidR="00776AC4">
        <w:t xml:space="preserve"> and</w:t>
      </w:r>
      <w:r w:rsidRPr="00E708FF">
        <w:t xml:space="preserve"> corporate </w:t>
      </w:r>
      <w:r>
        <w:t>divisions</w:t>
      </w:r>
      <w:r w:rsidR="00776AC4">
        <w:t>. Depending on our progress, we may also cover one or more of the following topics:</w:t>
      </w:r>
      <w:r w:rsidRPr="00E708FF">
        <w:t xml:space="preserve"> transfer or inheritance of losses and other tax attributes</w:t>
      </w:r>
      <w:r w:rsidR="00776AC4">
        <w:t>,</w:t>
      </w:r>
      <w:r w:rsidRPr="00E708FF">
        <w:t xml:space="preserve"> </w:t>
      </w:r>
      <w:r>
        <w:t xml:space="preserve">and </w:t>
      </w:r>
      <w:r w:rsidRPr="00E708FF">
        <w:t>corporate penalty taxes</w:t>
      </w:r>
      <w:r w:rsidR="008B5500" w:rsidRPr="00F269C6">
        <w:t>.</w:t>
      </w:r>
    </w:p>
    <w:p w14:paraId="56DFE281" w14:textId="77777777" w:rsidR="00FC352B" w:rsidRDefault="00422E1B" w:rsidP="00FC352B">
      <w:pPr>
        <w:spacing w:after="120"/>
        <w:ind w:right="-187"/>
        <w:outlineLvl w:val="0"/>
      </w:pPr>
      <w:r>
        <w:rPr>
          <w:u w:val="single"/>
        </w:rPr>
        <w:t>Course Objectives/Learning Outcomes</w:t>
      </w:r>
      <w:r>
        <w:t>.</w:t>
      </w:r>
      <w:r>
        <w:br/>
      </w:r>
      <w:r w:rsidR="00FC352B">
        <w:t>Students successfully completing the course will:</w:t>
      </w:r>
    </w:p>
    <w:p w14:paraId="33702E63" w14:textId="77777777" w:rsidR="00776AC4" w:rsidRDefault="00E94CBE" w:rsidP="00E94CBE">
      <w:pPr>
        <w:numPr>
          <w:ilvl w:val="0"/>
          <w:numId w:val="11"/>
        </w:numPr>
      </w:pPr>
      <w:r>
        <w:t xml:space="preserve">Understand the basic rules applicable to </w:t>
      </w:r>
      <w:r w:rsidR="00776AC4">
        <w:t xml:space="preserve">taxable </w:t>
      </w:r>
      <w:r>
        <w:t>corporate acquisitions</w:t>
      </w:r>
      <w:r w:rsidR="00776AC4">
        <w:t>.</w:t>
      </w:r>
    </w:p>
    <w:p w14:paraId="28495E1E" w14:textId="2BCED7EC" w:rsidR="00776AC4" w:rsidRDefault="00776AC4" w:rsidP="00E94CBE">
      <w:pPr>
        <w:numPr>
          <w:ilvl w:val="0"/>
          <w:numId w:val="11"/>
        </w:numPr>
      </w:pPr>
      <w:r>
        <w:t>Understand the basic rules for tax-deferred</w:t>
      </w:r>
      <w:r w:rsidR="00E94CBE">
        <w:t xml:space="preserve"> corporate reorganizations</w:t>
      </w:r>
      <w:r>
        <w:t xml:space="preserve">, including both acquisitive and </w:t>
      </w:r>
      <w:proofErr w:type="spellStart"/>
      <w:r>
        <w:t>nonacquisitive</w:t>
      </w:r>
      <w:proofErr w:type="spellEnd"/>
      <w:r>
        <w:t xml:space="preserve"> reorganizations.</w:t>
      </w:r>
    </w:p>
    <w:p w14:paraId="2E793A1B" w14:textId="120E9BBB" w:rsidR="00E94CBE" w:rsidRDefault="00776AC4" w:rsidP="00D86B17">
      <w:pPr>
        <w:numPr>
          <w:ilvl w:val="0"/>
          <w:numId w:val="11"/>
        </w:numPr>
        <w:spacing w:after="120"/>
      </w:pPr>
      <w:r>
        <w:t>Understand the rules for tax</w:t>
      </w:r>
      <w:r w:rsidR="00E94CBE">
        <w:t>-deferred corporate divisions.</w:t>
      </w:r>
    </w:p>
    <w:p w14:paraId="437A0BE0" w14:textId="5E78AF09" w:rsidR="00422E1B" w:rsidRDefault="00422E1B" w:rsidP="00FC352B">
      <w:pPr>
        <w:spacing w:after="120"/>
        <w:ind w:right="-187"/>
        <w:outlineLvl w:val="0"/>
      </w:pPr>
      <w:r>
        <w:rPr>
          <w:u w:val="single"/>
        </w:rPr>
        <w:t>Required Text</w:t>
      </w:r>
      <w:r>
        <w:t>.</w:t>
      </w:r>
    </w:p>
    <w:p w14:paraId="3C266CFD" w14:textId="443685AD" w:rsidR="00422E1B" w:rsidRPr="00E94CBE" w:rsidRDefault="00E94CBE" w:rsidP="00422E1B">
      <w:pPr>
        <w:spacing w:after="120"/>
        <w:ind w:left="720" w:right="-187"/>
        <w:outlineLvl w:val="0"/>
      </w:pPr>
      <w:r>
        <w:t xml:space="preserve">McMahon et al., </w:t>
      </w:r>
      <w:r>
        <w:rPr>
          <w:u w:val="single"/>
        </w:rPr>
        <w:t>Federal Income Taxation of Corporations</w:t>
      </w:r>
      <w:r>
        <w:t>, 5</w:t>
      </w:r>
      <w:r w:rsidRPr="00E94CBE">
        <w:rPr>
          <w:vertAlign w:val="superscript"/>
        </w:rPr>
        <w:t>th</w:t>
      </w:r>
      <w:r w:rsidR="002E1646">
        <w:t xml:space="preserve"> ed. and th</w:t>
      </w:r>
      <w:r w:rsidR="00AC71D0">
        <w:t>e</w:t>
      </w:r>
      <w:r w:rsidR="002E1646">
        <w:t xml:space="preserve"> </w:t>
      </w:r>
      <w:r w:rsidR="00AC71D0">
        <w:t>Summer 2021</w:t>
      </w:r>
      <w:r w:rsidR="002E1646">
        <w:t xml:space="preserve"> supplement thereto (together, “McMahon”)</w:t>
      </w:r>
      <w:r>
        <w:t>.</w:t>
      </w:r>
    </w:p>
    <w:p w14:paraId="292FECDE" w14:textId="77777777" w:rsidR="00422E1B" w:rsidRDefault="00422E1B" w:rsidP="00422E1B">
      <w:pPr>
        <w:spacing w:after="120"/>
        <w:ind w:right="-187"/>
        <w:outlineLvl w:val="0"/>
      </w:pPr>
      <w:r>
        <w:rPr>
          <w:u w:val="single"/>
        </w:rPr>
        <w:t>Recommended Text</w:t>
      </w:r>
      <w:r>
        <w:t>.</w:t>
      </w:r>
    </w:p>
    <w:p w14:paraId="2E9EDB03" w14:textId="153EEEA0" w:rsidR="00422E1B" w:rsidRDefault="00422E1B" w:rsidP="00422E1B">
      <w:pPr>
        <w:spacing w:after="120"/>
        <w:ind w:left="720" w:right="-187"/>
        <w:outlineLvl w:val="0"/>
      </w:pPr>
      <w:r>
        <w:t xml:space="preserve">Dickinson, </w:t>
      </w:r>
      <w:r w:rsidRPr="0098073D">
        <w:rPr>
          <w:u w:val="single"/>
        </w:rPr>
        <w:t>Selected Federal Taxation Statutes and Regulations</w:t>
      </w:r>
      <w:r w:rsidR="00E94CBE">
        <w:t xml:space="preserve"> </w:t>
      </w:r>
      <w:r w:rsidR="002E1646">
        <w:t>(20</w:t>
      </w:r>
      <w:r w:rsidR="00AC71D0">
        <w:t>21</w:t>
      </w:r>
      <w:r w:rsidR="002E1646">
        <w:t>-</w:t>
      </w:r>
      <w:r w:rsidR="00AC71D0">
        <w:t>2022</w:t>
      </w:r>
      <w:r>
        <w:t xml:space="preserve"> edition)</w:t>
      </w:r>
      <w:r w:rsidR="00FD016E">
        <w:t xml:space="preserve"> (“Dickinson”)</w:t>
      </w:r>
      <w:r>
        <w:t>.</w:t>
      </w:r>
    </w:p>
    <w:p w14:paraId="1F44DE2E" w14:textId="74CEB87F" w:rsidR="00422E1B" w:rsidRPr="006E3701" w:rsidRDefault="00422E1B" w:rsidP="00422E1B">
      <w:pPr>
        <w:spacing w:after="120"/>
        <w:ind w:left="720" w:right="-187"/>
        <w:outlineLvl w:val="0"/>
      </w:pPr>
      <w:r>
        <w:t xml:space="preserve">Purchase of Dickinson is recommended. If, however, you prefer to obtain assigned sections of the Internal Revenue Code (the “Code”) and the Treasury Regulations (the “Regulations”) from another source, you may. Dickinson has the advantages that the provisions are edited and you can use the volume during the exam. If you obtain the materials separately, you will need to ensure they are available in an accessible format during the exam. </w:t>
      </w:r>
      <w:r w:rsidRPr="00274073">
        <w:rPr>
          <w:u w:val="single"/>
        </w:rPr>
        <w:t xml:space="preserve">Note that </w:t>
      </w:r>
      <w:r>
        <w:rPr>
          <w:u w:val="single"/>
        </w:rPr>
        <w:t xml:space="preserve">access to your computer, but </w:t>
      </w:r>
      <w:r w:rsidRPr="009768DB">
        <w:rPr>
          <w:b/>
          <w:u w:val="single"/>
        </w:rPr>
        <w:t>not</w:t>
      </w:r>
      <w:r>
        <w:rPr>
          <w:u w:val="single"/>
        </w:rPr>
        <w:t xml:space="preserve"> </w:t>
      </w:r>
      <w:r w:rsidRPr="00274073">
        <w:rPr>
          <w:u w:val="single"/>
        </w:rPr>
        <w:t>online access</w:t>
      </w:r>
      <w:r>
        <w:rPr>
          <w:u w:val="single"/>
        </w:rPr>
        <w:t>,</w:t>
      </w:r>
      <w:r w:rsidRPr="00274073">
        <w:rPr>
          <w:u w:val="single"/>
        </w:rPr>
        <w:t xml:space="preserve"> will be permitted during the exam</w:t>
      </w:r>
      <w:r>
        <w:t>.</w:t>
      </w:r>
    </w:p>
    <w:p w14:paraId="300C4741" w14:textId="77777777" w:rsidR="00422E1B" w:rsidRDefault="00422E1B" w:rsidP="00422E1B">
      <w:pPr>
        <w:spacing w:after="120"/>
        <w:ind w:left="720" w:right="-187" w:hanging="720"/>
        <w:outlineLvl w:val="0"/>
      </w:pPr>
      <w:r>
        <w:rPr>
          <w:u w:val="single"/>
        </w:rPr>
        <w:t>Optional Texts</w:t>
      </w:r>
      <w:r>
        <w:t>.</w:t>
      </w:r>
    </w:p>
    <w:p w14:paraId="62165976" w14:textId="7C97E021" w:rsidR="00422E1B" w:rsidRDefault="00422E1B" w:rsidP="00422E1B">
      <w:pPr>
        <w:spacing w:after="120"/>
        <w:ind w:left="1440" w:right="-187" w:hanging="720"/>
      </w:pPr>
      <w:r>
        <w:t xml:space="preserve">Bittker et al., </w:t>
      </w:r>
      <w:r>
        <w:rPr>
          <w:u w:val="single"/>
        </w:rPr>
        <w:t>Federal Income Taxation of Corporations and Shareholders</w:t>
      </w:r>
      <w:r>
        <w:t xml:space="preserve"> (</w:t>
      </w:r>
      <w:r w:rsidR="00FD016E">
        <w:t>2000</w:t>
      </w:r>
      <w:r>
        <w:t>) (“Bittker”).</w:t>
      </w:r>
    </w:p>
    <w:p w14:paraId="67A1DB12" w14:textId="175C76A9" w:rsidR="00422E1B" w:rsidRDefault="00422E1B" w:rsidP="00422E1B">
      <w:pPr>
        <w:spacing w:after="120"/>
        <w:ind w:left="1440" w:right="-187" w:hanging="720"/>
      </w:pPr>
      <w:r>
        <w:t xml:space="preserve">Burke, </w:t>
      </w:r>
      <w:r>
        <w:rPr>
          <w:u w:val="single"/>
        </w:rPr>
        <w:t>Federal Income Taxation of Corporations and Stockholders in a Nutshell</w:t>
      </w:r>
      <w:r w:rsidR="00E94CBE">
        <w:t xml:space="preserve"> (8</w:t>
      </w:r>
      <w:r w:rsidRPr="00B6285B">
        <w:rPr>
          <w:vertAlign w:val="superscript"/>
        </w:rPr>
        <w:t>th</w:t>
      </w:r>
      <w:r w:rsidR="00E94CBE">
        <w:t xml:space="preserve"> ed. 2018</w:t>
      </w:r>
      <w:r>
        <w:t>).</w:t>
      </w:r>
    </w:p>
    <w:p w14:paraId="475E2F89" w14:textId="79402E67" w:rsidR="00422E1B" w:rsidRPr="003466CD" w:rsidRDefault="00422E1B" w:rsidP="00422E1B">
      <w:pPr>
        <w:spacing w:after="120"/>
        <w:ind w:left="1440" w:right="-187" w:hanging="720"/>
      </w:pPr>
      <w:r>
        <w:t xml:space="preserve">Ginsburg et al., </w:t>
      </w:r>
      <w:r>
        <w:rPr>
          <w:u w:val="single"/>
        </w:rPr>
        <w:t>Mergers, Acquisitions, and Buyouts</w:t>
      </w:r>
      <w:r>
        <w:t xml:space="preserve"> (20</w:t>
      </w:r>
      <w:r w:rsidR="00D24B86">
        <w:t>21</w:t>
      </w:r>
      <w:r>
        <w:t>) (“Ginsburg”).</w:t>
      </w:r>
    </w:p>
    <w:p w14:paraId="03526720" w14:textId="7DA351F4" w:rsidR="00422E1B" w:rsidRDefault="00422E1B" w:rsidP="00422E1B">
      <w:pPr>
        <w:spacing w:after="120"/>
        <w:ind w:left="720" w:right="-187"/>
      </w:pPr>
      <w:r>
        <w:t xml:space="preserve">Bittker </w:t>
      </w:r>
      <w:r w:rsidR="00FD016E">
        <w:t>and Burke are both available online.</w:t>
      </w:r>
    </w:p>
    <w:p w14:paraId="0B4AEDA0" w14:textId="77777777" w:rsidR="00422E1B" w:rsidRDefault="00422E1B" w:rsidP="00422E1B">
      <w:pPr>
        <w:spacing w:after="120"/>
        <w:ind w:left="720" w:right="-187"/>
      </w:pPr>
      <w:r>
        <w:t xml:space="preserve">For decades, Bittker was the standard treatise on corporate tax. It provides a clear discussion of the operation of the statute. Although it has not been substantially </w:t>
      </w:r>
      <w:r>
        <w:lastRenderedPageBreak/>
        <w:t>revised since 2000, it is updated regularly. Ginsburg is probably the most widely-used treatise among practitioners today. One way it differs from Bittker is in its largely transactional orientation. It is also quite comprehensive.</w:t>
      </w:r>
    </w:p>
    <w:p w14:paraId="548AD30A" w14:textId="5B3A219F" w:rsidR="00422E1B" w:rsidRDefault="00E94CBE" w:rsidP="00422E1B">
      <w:pPr>
        <w:spacing w:after="120"/>
        <w:ind w:left="720" w:right="-187"/>
      </w:pPr>
      <w:r>
        <w:t>Burke offers a basic guide</w:t>
      </w:r>
      <w:r w:rsidR="00422E1B">
        <w:t xml:space="preserve"> through some of the same material.</w:t>
      </w:r>
    </w:p>
    <w:p w14:paraId="49213E54" w14:textId="77777777" w:rsidR="00AA37C3" w:rsidRDefault="000F3E36" w:rsidP="000F3E36">
      <w:pPr>
        <w:spacing w:after="120"/>
        <w:ind w:right="-187"/>
        <w:outlineLvl w:val="0"/>
      </w:pPr>
      <w:r>
        <w:rPr>
          <w:u w:val="single"/>
        </w:rPr>
        <w:t>Statement on Workload</w:t>
      </w:r>
      <w:r>
        <w:t>.</w:t>
      </w:r>
    </w:p>
    <w:p w14:paraId="4E70683C" w14:textId="41238EE6" w:rsidR="000F3E36" w:rsidRDefault="000F3E36" w:rsidP="00AA37C3">
      <w:pPr>
        <w:spacing w:after="120"/>
        <w:ind w:left="720" w:right="-187"/>
        <w:outlineLvl w:val="0"/>
      </w:pPr>
      <w:r>
        <w:t>Students should expect to spend, on average, at least two full hours preparing for every 50</w:t>
      </w:r>
      <w:r w:rsidR="004D4357">
        <w:t xml:space="preserve"> </w:t>
      </w:r>
      <w:r>
        <w:t>minute</w:t>
      </w:r>
      <w:r w:rsidR="004D4357">
        <w:t>s</w:t>
      </w:r>
      <w:r>
        <w:t xml:space="preserve"> of class, and often more.</w:t>
      </w:r>
    </w:p>
    <w:p w14:paraId="23E0D3E4" w14:textId="77777777" w:rsidR="00A477C2" w:rsidRDefault="00A477C2" w:rsidP="00A477C2">
      <w:pPr>
        <w:keepNext/>
        <w:spacing w:after="120"/>
        <w:ind w:left="720" w:right="-187" w:hanging="720"/>
        <w:outlineLvl w:val="0"/>
      </w:pPr>
      <w:r>
        <w:rPr>
          <w:u w:val="single"/>
        </w:rPr>
        <w:t>Readings</w:t>
      </w:r>
      <w:r>
        <w:t>.</w:t>
      </w:r>
    </w:p>
    <w:p w14:paraId="032D9F4F" w14:textId="22947562" w:rsidR="00A477C2" w:rsidRDefault="00A477C2" w:rsidP="00A477C2">
      <w:pPr>
        <w:spacing w:after="120"/>
        <w:ind w:left="720" w:right="-187"/>
      </w:pPr>
      <w:r>
        <w:t xml:space="preserve">The attached schedule lists readings from </w:t>
      </w:r>
      <w:r w:rsidR="00E94CBE">
        <w:t>McMahon</w:t>
      </w:r>
      <w:r>
        <w:t xml:space="preserve">, which include applicable sections from the </w:t>
      </w:r>
      <w:r w:rsidR="00274073">
        <w:t>Code</w:t>
      </w:r>
      <w:r>
        <w:t xml:space="preserve"> and the </w:t>
      </w:r>
      <w:r w:rsidR="00274073">
        <w:t>Regulations</w:t>
      </w:r>
      <w:r>
        <w:t xml:space="preserve">. </w:t>
      </w:r>
      <w:r w:rsidRPr="00033919">
        <w:rPr>
          <w:u w:val="single"/>
        </w:rPr>
        <w:t xml:space="preserve">You must </w:t>
      </w:r>
      <w:r>
        <w:rPr>
          <w:u w:val="single"/>
        </w:rPr>
        <w:t xml:space="preserve">carefully </w:t>
      </w:r>
      <w:r w:rsidRPr="00033919">
        <w:rPr>
          <w:u w:val="single"/>
        </w:rPr>
        <w:t>read the assigned Code and Regulations sections</w:t>
      </w:r>
      <w:r>
        <w:rPr>
          <w:u w:val="single"/>
        </w:rPr>
        <w:t xml:space="preserve"> listed in </w:t>
      </w:r>
      <w:r w:rsidR="00E94CBE">
        <w:rPr>
          <w:u w:val="single"/>
        </w:rPr>
        <w:t>McMahon</w:t>
      </w:r>
      <w:r>
        <w:t xml:space="preserve">. In addition, from time to time you may need to read other Code or Regulations sections to understand the material. The specific content of each assigned reading is listed in the Table of Contents of </w:t>
      </w:r>
      <w:r w:rsidR="00E94CBE">
        <w:t>McMahon</w:t>
      </w:r>
      <w:r>
        <w:t>.</w:t>
      </w:r>
    </w:p>
    <w:p w14:paraId="08454623" w14:textId="78C36C5B" w:rsidR="00A477C2" w:rsidRPr="009F6A9E" w:rsidRDefault="00A477C2" w:rsidP="00A477C2">
      <w:pPr>
        <w:spacing w:after="120"/>
        <w:ind w:left="720" w:right="-187"/>
      </w:pPr>
      <w:r>
        <w:rPr>
          <w:u w:val="single"/>
        </w:rPr>
        <w:t xml:space="preserve">Do not do problems unless they are </w:t>
      </w:r>
      <w:r w:rsidR="00876F6B">
        <w:rPr>
          <w:u w:val="single"/>
        </w:rPr>
        <w:t>specifically</w:t>
      </w:r>
      <w:r>
        <w:rPr>
          <w:u w:val="single"/>
        </w:rPr>
        <w:t xml:space="preserve"> assigned</w:t>
      </w:r>
      <w:r>
        <w:t xml:space="preserve">. Assigned problems are intended to be covered during class. </w:t>
      </w:r>
      <w:r w:rsidR="00C456F0">
        <w:rPr>
          <w:u w:val="single"/>
        </w:rPr>
        <w:t>Unless otherwise indicate</w:t>
      </w:r>
      <w:r w:rsidR="00C0479E">
        <w:rPr>
          <w:u w:val="single"/>
        </w:rPr>
        <w:t>d, you</w:t>
      </w:r>
      <w:r w:rsidRPr="00E6649B">
        <w:rPr>
          <w:u w:val="single"/>
        </w:rPr>
        <w:t xml:space="preserve"> do not need to turn in your answers</w:t>
      </w:r>
      <w:r>
        <w:t>.</w:t>
      </w:r>
      <w:r w:rsidR="003529FF" w:rsidRPr="003529FF">
        <w:t xml:space="preserve"> </w:t>
      </w:r>
      <w:r w:rsidR="003529FF">
        <w:t>Please note that additional problems may be assigned during the semester.</w:t>
      </w:r>
    </w:p>
    <w:p w14:paraId="64A0552D" w14:textId="682D2BAE" w:rsidR="00A477C2" w:rsidRPr="006E3701" w:rsidRDefault="00A477C2" w:rsidP="00A477C2">
      <w:pPr>
        <w:spacing w:after="120"/>
        <w:ind w:left="720" w:right="-187"/>
      </w:pPr>
      <w:r>
        <w:t xml:space="preserve">The schedule assigns a number rather than a class date to each assignment. In the normal course, we will spend one class period per assignment, but we may spend more (or occasionally less) than a class period on an assignment. As a general matter, please prepare the next numbered assignment for the next class. </w:t>
      </w:r>
      <w:r>
        <w:rPr>
          <w:u w:val="single"/>
        </w:rPr>
        <w:t>If we end class in the middle of an assignment, please prepare the remainder of that assignment and the next assignment for the next class</w:t>
      </w:r>
      <w:r w:rsidR="006E3701">
        <w:t>.</w:t>
      </w:r>
    </w:p>
    <w:p w14:paraId="29568EB5" w14:textId="77777777" w:rsidR="00A477C2" w:rsidRDefault="00A477C2" w:rsidP="00A477C2">
      <w:pPr>
        <w:keepNext/>
        <w:spacing w:after="120"/>
        <w:ind w:left="720" w:right="-187" w:hanging="720"/>
        <w:outlineLvl w:val="0"/>
      </w:pPr>
      <w:r>
        <w:rPr>
          <w:u w:val="single"/>
        </w:rPr>
        <w:t>Attendance and Final Exam</w:t>
      </w:r>
      <w:r>
        <w:t>.</w:t>
      </w:r>
    </w:p>
    <w:p w14:paraId="78AD7211" w14:textId="77777777" w:rsidR="00A477C2" w:rsidRDefault="00A477C2" w:rsidP="00A477C2">
      <w:pPr>
        <w:spacing w:after="120"/>
        <w:ind w:left="720" w:right="-187"/>
      </w:pPr>
      <w:r>
        <w:t>You are expected to attend class. It is strongly recommended, but not required, that you take notes by hand.</w:t>
      </w:r>
    </w:p>
    <w:p w14:paraId="30FDFED9" w14:textId="4E3AF9DB" w:rsidR="00A477C2" w:rsidRPr="006E3701" w:rsidRDefault="00A477C2" w:rsidP="00A477C2">
      <w:pPr>
        <w:spacing w:after="120"/>
        <w:ind w:left="720" w:right="-187"/>
      </w:pPr>
      <w:r>
        <w:t xml:space="preserve">You are on call every class, unless you notify me </w:t>
      </w:r>
      <w:r w:rsidRPr="00A92544">
        <w:rPr>
          <w:u w:val="single"/>
        </w:rPr>
        <w:t>before</w:t>
      </w:r>
      <w:r>
        <w:t xml:space="preserve"> class </w:t>
      </w:r>
      <w:r>
        <w:rPr>
          <w:u w:val="single"/>
        </w:rPr>
        <w:t>by email</w:t>
      </w:r>
      <w:r>
        <w:t xml:space="preserve"> that you would like to pass. Each student may take up to three passes </w:t>
      </w:r>
      <w:r w:rsidR="00400030">
        <w:t xml:space="preserve">at no penalty </w:t>
      </w:r>
      <w:r>
        <w:t>during the semester without offering any reason</w:t>
      </w:r>
      <w:r w:rsidR="00D86B17">
        <w:t xml:space="preserve"> (“peremptory passes”)</w:t>
      </w:r>
      <w:r>
        <w:t xml:space="preserve">. </w:t>
      </w:r>
      <w:r w:rsidR="00D86B17">
        <w:t xml:space="preserve">There is no need to let me know the reason for your taking a peremptory pass. </w:t>
      </w:r>
      <w:r>
        <w:t xml:space="preserve">If you believe that you need to pass more frequently or on an extended basis, please contact me outside of class or email me. </w:t>
      </w:r>
      <w:r w:rsidRPr="008C06F0">
        <w:rPr>
          <w:u w:val="single"/>
        </w:rPr>
        <w:t xml:space="preserve">Students who </w:t>
      </w:r>
      <w:r>
        <w:rPr>
          <w:u w:val="single"/>
        </w:rPr>
        <w:t>are</w:t>
      </w:r>
      <w:r w:rsidRPr="008C06F0">
        <w:rPr>
          <w:u w:val="single"/>
        </w:rPr>
        <w:t xml:space="preserve"> excused </w:t>
      </w:r>
      <w:r w:rsidR="00D86B17">
        <w:rPr>
          <w:u w:val="single"/>
        </w:rPr>
        <w:t xml:space="preserve">on the basis of a peremptory pass </w:t>
      </w:r>
      <w:r w:rsidRPr="008C06F0">
        <w:rPr>
          <w:u w:val="single"/>
        </w:rPr>
        <w:t>are effectively present as visitors and may not participate in the discussio</w:t>
      </w:r>
      <w:r>
        <w:rPr>
          <w:u w:val="single"/>
        </w:rPr>
        <w:t>n</w:t>
      </w:r>
      <w:r w:rsidR="006E3701">
        <w:t>.</w:t>
      </w:r>
    </w:p>
    <w:p w14:paraId="1B268A4D" w14:textId="7B9994D3" w:rsidR="00A477C2" w:rsidRDefault="00A477C2" w:rsidP="00A477C2">
      <w:pPr>
        <w:spacing w:after="240"/>
        <w:ind w:left="720" w:right="-180"/>
      </w:pPr>
      <w:r>
        <w:t xml:space="preserve">The final will be </w:t>
      </w:r>
      <w:r w:rsidR="00A33EA3">
        <w:t>an</w:t>
      </w:r>
      <w:r w:rsidR="007D0AE5">
        <w:t xml:space="preserve"> open-book</w:t>
      </w:r>
      <w:r>
        <w:t xml:space="preserve"> exam</w:t>
      </w:r>
      <w:r w:rsidR="00C92056">
        <w:t xml:space="preserve"> of approximately three hours</w:t>
      </w:r>
      <w:r>
        <w:t xml:space="preserve">. </w:t>
      </w:r>
      <w:r w:rsidR="00C92056">
        <w:t>You may take it anytime during the exam period</w:t>
      </w:r>
      <w:r>
        <w:t>.</w:t>
      </w:r>
    </w:p>
    <w:p w14:paraId="4DEF5F7B" w14:textId="06C94726" w:rsidR="00571335" w:rsidRDefault="00571335" w:rsidP="00571335">
      <w:pPr>
        <w:spacing w:after="240"/>
        <w:ind w:left="720" w:right="-180" w:hanging="720"/>
      </w:pPr>
      <w:r w:rsidRPr="00571335">
        <w:rPr>
          <w:u w:val="single"/>
        </w:rPr>
        <w:t>Exam delays</w:t>
      </w:r>
      <w:r>
        <w:t xml:space="preserve">: </w:t>
      </w:r>
      <w:r w:rsidRPr="00571335">
        <w:t xml:space="preserve">The law school policy on exam delays and accommodations can be found </w:t>
      </w:r>
      <w:hyperlink r:id="rId7" w:history="1">
        <w:r w:rsidRPr="00571335">
          <w:rPr>
            <w:rStyle w:val="Hyperlink"/>
          </w:rPr>
          <w:t>here</w:t>
        </w:r>
      </w:hyperlink>
      <w:r w:rsidRPr="00571335">
        <w:t>.</w:t>
      </w:r>
    </w:p>
    <w:p w14:paraId="0925DFEA" w14:textId="009B0EF8" w:rsidR="00505972" w:rsidRPr="00505972" w:rsidRDefault="00505972" w:rsidP="00A33EA3">
      <w:pPr>
        <w:spacing w:after="120"/>
        <w:ind w:left="720" w:right="-187" w:hanging="720"/>
        <w:outlineLvl w:val="0"/>
      </w:pPr>
      <w:r>
        <w:rPr>
          <w:u w:val="single"/>
        </w:rPr>
        <w:lastRenderedPageBreak/>
        <w:t>Weekly Review Session</w:t>
      </w:r>
      <w:r>
        <w:t>. Each week, starting with the second week of class, we will have an optional review session</w:t>
      </w:r>
      <w:r w:rsidR="00A33EA3">
        <w:t xml:space="preserve"> from 3:30 to 4:30. In the</w:t>
      </w:r>
      <w:r w:rsidR="004D4357">
        <w:t xml:space="preserve"> session</w:t>
      </w:r>
      <w:r w:rsidR="00A33EA3">
        <w:t>, we</w:t>
      </w:r>
      <w:r>
        <w:t xml:space="preserve"> </w:t>
      </w:r>
      <w:r w:rsidR="004D4357">
        <w:t>review</w:t>
      </w:r>
      <w:r>
        <w:t xml:space="preserve"> the material we covered in the preceding week. The focus will be on the problems assigned.</w:t>
      </w:r>
    </w:p>
    <w:p w14:paraId="309459AE" w14:textId="77777777" w:rsidR="00A477C2" w:rsidRDefault="00A477C2" w:rsidP="00EE5264">
      <w:pPr>
        <w:keepNext/>
        <w:spacing w:after="120"/>
        <w:ind w:left="720" w:right="-187" w:hanging="720"/>
        <w:outlineLvl w:val="0"/>
      </w:pPr>
      <w:r>
        <w:rPr>
          <w:u w:val="single"/>
        </w:rPr>
        <w:t>Grading</w:t>
      </w:r>
      <w:r>
        <w:t>.</w:t>
      </w:r>
    </w:p>
    <w:p w14:paraId="438B3999" w14:textId="77777777" w:rsidR="00D12185" w:rsidRDefault="00D12185" w:rsidP="00D12185">
      <w:pPr>
        <w:spacing w:after="120"/>
        <w:ind w:left="720" w:right="-187"/>
        <w:outlineLvl w:val="0"/>
      </w:pPr>
      <w:r>
        <w:t xml:space="preserve">Grades will be awarded in accordance with the College of Law’s posted grading policy (available at </w:t>
      </w:r>
      <w:hyperlink r:id="rId8" w:history="1">
        <w:r w:rsidRPr="000E13A7">
          <w:rPr>
            <w:rStyle w:val="Hyperlink"/>
          </w:rPr>
          <w:t>https://www.law.ufl.edu/life-at-uf-law/office-of-student-affairs/current-students/academic-policies</w:t>
        </w:r>
      </w:hyperlink>
      <w:r>
        <w:t>). Grades are based primarily on performance on the final exam, but your grade may be adjusted upward or downward one step (e.g., B to B-, or B+ to A-) based on class participation. In addition, unexcused absences or excessive passes can result in a reduction in your grade, and more than six unexcused absences will result in your being disallowed from taking the final exam and receiving a grade of E for the course.</w:t>
      </w:r>
    </w:p>
    <w:p w14:paraId="4F6A8B96" w14:textId="77777777" w:rsidR="00A477C2" w:rsidRDefault="00A477C2" w:rsidP="00A477C2">
      <w:pPr>
        <w:spacing w:after="120"/>
        <w:ind w:left="720" w:right="-187"/>
        <w:outlineLvl w:val="0"/>
      </w:pPr>
      <w:r>
        <w:t>Letter grades correspond to grade points as follows:</w:t>
      </w:r>
    </w:p>
    <w:tbl>
      <w:tblPr>
        <w:tblW w:w="0" w:type="auto"/>
        <w:jc w:val="center"/>
        <w:tblCellMar>
          <w:left w:w="0" w:type="dxa"/>
          <w:right w:w="0" w:type="dxa"/>
        </w:tblCellMar>
        <w:tblLook w:val="04A0" w:firstRow="1" w:lastRow="0" w:firstColumn="1" w:lastColumn="0" w:noHBand="0" w:noVBand="1"/>
      </w:tblPr>
      <w:tblGrid>
        <w:gridCol w:w="2330"/>
        <w:gridCol w:w="2160"/>
      </w:tblGrid>
      <w:tr w:rsidR="00A477C2" w:rsidRPr="003146AB" w14:paraId="1938A6AD" w14:textId="77777777" w:rsidTr="00360DDC">
        <w:trPr>
          <w:cantSplit/>
          <w:jc w:val="center"/>
        </w:trPr>
        <w:tc>
          <w:tcPr>
            <w:tcW w:w="2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79D13C" w14:textId="77777777" w:rsidR="00A477C2" w:rsidRPr="003146AB" w:rsidRDefault="00A477C2" w:rsidP="001D5971">
            <w:pPr>
              <w:keepNext/>
              <w:jc w:val="center"/>
            </w:pPr>
            <w:r w:rsidRPr="003146AB">
              <w:rPr>
                <w:b/>
                <w:bCs/>
              </w:rPr>
              <w:t>Letter Grade</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5CB92B" w14:textId="77777777" w:rsidR="00A477C2" w:rsidRPr="003146AB" w:rsidRDefault="00A477C2" w:rsidP="001D5971">
            <w:pPr>
              <w:keepNext/>
              <w:jc w:val="center"/>
            </w:pPr>
            <w:r w:rsidRPr="003146AB">
              <w:rPr>
                <w:b/>
                <w:bCs/>
              </w:rPr>
              <w:t>Point Equivalent</w:t>
            </w:r>
          </w:p>
        </w:tc>
      </w:tr>
      <w:tr w:rsidR="00A477C2" w:rsidRPr="003146AB" w14:paraId="62341F34" w14:textId="77777777" w:rsidTr="00360DDC">
        <w:trPr>
          <w:cantSplit/>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5EFEA9" w14:textId="77777777" w:rsidR="00A477C2" w:rsidRPr="003146AB" w:rsidRDefault="00A477C2" w:rsidP="00612693">
            <w:pPr>
              <w:keepNext/>
              <w:rPr>
                <w:sz w:val="22"/>
                <w:szCs w:val="22"/>
              </w:rPr>
            </w:pPr>
            <w:r w:rsidRPr="003146AB">
              <w:rPr>
                <w:sz w:val="22"/>
                <w:szCs w:val="22"/>
              </w:rPr>
              <w:t>A (Excellent)</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305C5BA2" w14:textId="77777777" w:rsidR="00A477C2" w:rsidRPr="003146AB" w:rsidRDefault="00A477C2" w:rsidP="00612693">
            <w:pPr>
              <w:keepNext/>
              <w:rPr>
                <w:sz w:val="22"/>
                <w:szCs w:val="22"/>
              </w:rPr>
            </w:pPr>
            <w:r w:rsidRPr="003146AB">
              <w:rPr>
                <w:sz w:val="22"/>
                <w:szCs w:val="22"/>
              </w:rPr>
              <w:t>4.0</w:t>
            </w:r>
          </w:p>
        </w:tc>
      </w:tr>
      <w:tr w:rsidR="00A477C2" w:rsidRPr="003146AB" w14:paraId="4BC28573" w14:textId="77777777" w:rsidTr="00360DDC">
        <w:trPr>
          <w:cantSplit/>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9E076E" w14:textId="77777777" w:rsidR="00A477C2" w:rsidRPr="003146AB" w:rsidRDefault="00A477C2" w:rsidP="00612693">
            <w:pPr>
              <w:keepNext/>
              <w:rPr>
                <w:sz w:val="22"/>
                <w:szCs w:val="22"/>
              </w:rPr>
            </w:pPr>
            <w:r w:rsidRPr="003146AB">
              <w:rPr>
                <w:sz w:val="22"/>
                <w:szCs w:val="22"/>
              </w:rPr>
              <w:t>A-</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3D8FABE7" w14:textId="77777777" w:rsidR="00A477C2" w:rsidRPr="003146AB" w:rsidRDefault="00A477C2" w:rsidP="00612693">
            <w:pPr>
              <w:keepNext/>
              <w:rPr>
                <w:sz w:val="22"/>
                <w:szCs w:val="22"/>
              </w:rPr>
            </w:pPr>
            <w:r w:rsidRPr="003146AB">
              <w:rPr>
                <w:sz w:val="22"/>
                <w:szCs w:val="22"/>
              </w:rPr>
              <w:t>3.67</w:t>
            </w:r>
          </w:p>
        </w:tc>
      </w:tr>
      <w:tr w:rsidR="00A477C2" w:rsidRPr="003146AB" w14:paraId="36CB5E8D" w14:textId="77777777" w:rsidTr="00360DDC">
        <w:trPr>
          <w:cantSplit/>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866007" w14:textId="77777777" w:rsidR="00A477C2" w:rsidRPr="003146AB" w:rsidRDefault="00A477C2" w:rsidP="00612693">
            <w:pPr>
              <w:keepNext/>
              <w:rPr>
                <w:sz w:val="22"/>
                <w:szCs w:val="22"/>
              </w:rPr>
            </w:pPr>
            <w:r w:rsidRPr="003146AB">
              <w:rPr>
                <w:sz w:val="22"/>
                <w:szCs w:val="22"/>
              </w:rPr>
              <w:t>B+</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3E1E9874" w14:textId="77777777" w:rsidR="00A477C2" w:rsidRPr="003146AB" w:rsidRDefault="00A477C2" w:rsidP="00612693">
            <w:pPr>
              <w:keepNext/>
              <w:rPr>
                <w:sz w:val="22"/>
                <w:szCs w:val="22"/>
              </w:rPr>
            </w:pPr>
            <w:r w:rsidRPr="003146AB">
              <w:rPr>
                <w:sz w:val="22"/>
                <w:szCs w:val="22"/>
              </w:rPr>
              <w:t>3.33</w:t>
            </w:r>
          </w:p>
        </w:tc>
      </w:tr>
      <w:tr w:rsidR="00A477C2" w:rsidRPr="003146AB" w14:paraId="6F7746C8" w14:textId="77777777" w:rsidTr="00360DDC">
        <w:trPr>
          <w:cantSplit/>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F7264F" w14:textId="4CC22151" w:rsidR="00A477C2" w:rsidRPr="003146AB" w:rsidRDefault="00A477C2" w:rsidP="00612693">
            <w:pPr>
              <w:keepNext/>
              <w:rPr>
                <w:sz w:val="22"/>
                <w:szCs w:val="22"/>
              </w:rPr>
            </w:pPr>
            <w:r w:rsidRPr="003146AB">
              <w:rPr>
                <w:sz w:val="22"/>
                <w:szCs w:val="22"/>
              </w:rPr>
              <w:t>B</w:t>
            </w:r>
            <w:r w:rsidR="00A669D0">
              <w:rPr>
                <w:sz w:val="22"/>
                <w:szCs w:val="22"/>
              </w:rPr>
              <w:t xml:space="preserve"> (Good)</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4E856B6E" w14:textId="77777777" w:rsidR="00A477C2" w:rsidRPr="003146AB" w:rsidRDefault="00A477C2" w:rsidP="00612693">
            <w:pPr>
              <w:keepNext/>
              <w:rPr>
                <w:sz w:val="22"/>
                <w:szCs w:val="22"/>
              </w:rPr>
            </w:pPr>
            <w:r w:rsidRPr="003146AB">
              <w:rPr>
                <w:sz w:val="22"/>
                <w:szCs w:val="22"/>
              </w:rPr>
              <w:t>3.0</w:t>
            </w:r>
          </w:p>
        </w:tc>
      </w:tr>
      <w:tr w:rsidR="00A477C2" w:rsidRPr="003146AB" w14:paraId="5D495C02" w14:textId="77777777" w:rsidTr="00360DDC">
        <w:trPr>
          <w:cantSplit/>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E34F1B" w14:textId="77777777" w:rsidR="00A477C2" w:rsidRPr="003146AB" w:rsidRDefault="00A477C2" w:rsidP="00612693">
            <w:pPr>
              <w:keepNext/>
              <w:rPr>
                <w:sz w:val="22"/>
                <w:szCs w:val="22"/>
              </w:rPr>
            </w:pPr>
            <w:r w:rsidRPr="003146AB">
              <w:rPr>
                <w:sz w:val="22"/>
                <w:szCs w:val="22"/>
              </w:rPr>
              <w:t>B-</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245EA0BE" w14:textId="77777777" w:rsidR="00A477C2" w:rsidRPr="003146AB" w:rsidRDefault="00A477C2" w:rsidP="00612693">
            <w:pPr>
              <w:keepNext/>
              <w:rPr>
                <w:sz w:val="22"/>
                <w:szCs w:val="22"/>
              </w:rPr>
            </w:pPr>
            <w:r w:rsidRPr="003146AB">
              <w:rPr>
                <w:sz w:val="22"/>
                <w:szCs w:val="22"/>
              </w:rPr>
              <w:t>2.67</w:t>
            </w:r>
          </w:p>
        </w:tc>
      </w:tr>
      <w:tr w:rsidR="00A477C2" w:rsidRPr="003146AB" w14:paraId="24949413" w14:textId="77777777" w:rsidTr="00360DDC">
        <w:trPr>
          <w:cantSplit/>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5BA166" w14:textId="77777777" w:rsidR="00A477C2" w:rsidRPr="003146AB" w:rsidRDefault="00A477C2" w:rsidP="00612693">
            <w:pPr>
              <w:keepNext/>
              <w:rPr>
                <w:sz w:val="22"/>
                <w:szCs w:val="22"/>
              </w:rPr>
            </w:pPr>
            <w:r w:rsidRPr="003146AB">
              <w:rPr>
                <w:sz w:val="22"/>
                <w:szCs w:val="22"/>
              </w:rPr>
              <w:t>C+</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704BBCBD" w14:textId="77777777" w:rsidR="00A477C2" w:rsidRPr="003146AB" w:rsidRDefault="00A477C2" w:rsidP="00612693">
            <w:pPr>
              <w:keepNext/>
              <w:rPr>
                <w:sz w:val="22"/>
                <w:szCs w:val="22"/>
              </w:rPr>
            </w:pPr>
            <w:r w:rsidRPr="003146AB">
              <w:rPr>
                <w:sz w:val="22"/>
                <w:szCs w:val="22"/>
              </w:rPr>
              <w:t>2.33</w:t>
            </w:r>
          </w:p>
        </w:tc>
      </w:tr>
      <w:tr w:rsidR="00A477C2" w:rsidRPr="003146AB" w14:paraId="08B14AC3" w14:textId="77777777" w:rsidTr="00360DDC">
        <w:trPr>
          <w:cantSplit/>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0168A7" w14:textId="77777777" w:rsidR="00A477C2" w:rsidRPr="003146AB" w:rsidRDefault="00A477C2" w:rsidP="00612693">
            <w:pPr>
              <w:keepNext/>
              <w:rPr>
                <w:sz w:val="22"/>
                <w:szCs w:val="22"/>
              </w:rPr>
            </w:pPr>
            <w:r w:rsidRPr="003146AB">
              <w:rPr>
                <w:sz w:val="22"/>
                <w:szCs w:val="22"/>
              </w:rPr>
              <w:t>C (Satisfactory)</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1818C103" w14:textId="77777777" w:rsidR="00A477C2" w:rsidRPr="003146AB" w:rsidRDefault="00A477C2" w:rsidP="00612693">
            <w:pPr>
              <w:keepNext/>
              <w:rPr>
                <w:sz w:val="22"/>
                <w:szCs w:val="22"/>
              </w:rPr>
            </w:pPr>
            <w:r w:rsidRPr="003146AB">
              <w:rPr>
                <w:sz w:val="22"/>
                <w:szCs w:val="22"/>
              </w:rPr>
              <w:t>2.0</w:t>
            </w:r>
          </w:p>
        </w:tc>
      </w:tr>
      <w:tr w:rsidR="00A477C2" w:rsidRPr="003146AB" w14:paraId="378DE8E6" w14:textId="77777777" w:rsidTr="00360DDC">
        <w:trPr>
          <w:cantSplit/>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8DD6EF" w14:textId="77777777" w:rsidR="00A477C2" w:rsidRPr="003146AB" w:rsidRDefault="00A477C2" w:rsidP="00612693">
            <w:pPr>
              <w:keepNext/>
              <w:rPr>
                <w:sz w:val="22"/>
                <w:szCs w:val="22"/>
              </w:rPr>
            </w:pPr>
            <w:r w:rsidRPr="003146AB">
              <w:rPr>
                <w:sz w:val="22"/>
                <w:szCs w:val="22"/>
              </w:rPr>
              <w:t>C-</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207B5C3A" w14:textId="77777777" w:rsidR="00A477C2" w:rsidRPr="003146AB" w:rsidRDefault="00A477C2" w:rsidP="00612693">
            <w:pPr>
              <w:keepNext/>
              <w:rPr>
                <w:sz w:val="22"/>
                <w:szCs w:val="22"/>
              </w:rPr>
            </w:pPr>
            <w:r w:rsidRPr="003146AB">
              <w:rPr>
                <w:sz w:val="22"/>
                <w:szCs w:val="22"/>
              </w:rPr>
              <w:t>1.67</w:t>
            </w:r>
          </w:p>
        </w:tc>
      </w:tr>
      <w:tr w:rsidR="00A477C2" w:rsidRPr="003146AB" w14:paraId="5A25803B" w14:textId="77777777" w:rsidTr="00360DDC">
        <w:trPr>
          <w:cantSplit/>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2C9280" w14:textId="77777777" w:rsidR="00A477C2" w:rsidRPr="003146AB" w:rsidRDefault="00A477C2" w:rsidP="00612693">
            <w:pPr>
              <w:keepNext/>
              <w:rPr>
                <w:sz w:val="22"/>
                <w:szCs w:val="22"/>
              </w:rPr>
            </w:pPr>
            <w:r w:rsidRPr="003146AB">
              <w:rPr>
                <w:sz w:val="22"/>
                <w:szCs w:val="22"/>
              </w:rPr>
              <w:t>D+</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7AFD1542" w14:textId="77777777" w:rsidR="00A477C2" w:rsidRPr="003146AB" w:rsidRDefault="00A477C2" w:rsidP="00612693">
            <w:pPr>
              <w:keepNext/>
              <w:rPr>
                <w:sz w:val="22"/>
                <w:szCs w:val="22"/>
              </w:rPr>
            </w:pPr>
            <w:r w:rsidRPr="003146AB">
              <w:rPr>
                <w:sz w:val="22"/>
                <w:szCs w:val="22"/>
              </w:rPr>
              <w:t>1.33</w:t>
            </w:r>
          </w:p>
        </w:tc>
      </w:tr>
      <w:tr w:rsidR="00A477C2" w:rsidRPr="003146AB" w14:paraId="6A788201" w14:textId="77777777" w:rsidTr="00360DDC">
        <w:trPr>
          <w:cantSplit/>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B54FFE" w14:textId="77777777" w:rsidR="00A477C2" w:rsidRPr="003146AB" w:rsidRDefault="00A477C2" w:rsidP="00612693">
            <w:pPr>
              <w:keepNext/>
              <w:rPr>
                <w:sz w:val="22"/>
                <w:szCs w:val="22"/>
              </w:rPr>
            </w:pPr>
            <w:r w:rsidRPr="003146AB">
              <w:rPr>
                <w:sz w:val="22"/>
                <w:szCs w:val="22"/>
              </w:rPr>
              <w:t>D (Poor)</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25CAA714" w14:textId="77777777" w:rsidR="00A477C2" w:rsidRPr="003146AB" w:rsidRDefault="00A477C2" w:rsidP="00612693">
            <w:pPr>
              <w:keepNext/>
              <w:rPr>
                <w:sz w:val="22"/>
                <w:szCs w:val="22"/>
              </w:rPr>
            </w:pPr>
            <w:r w:rsidRPr="003146AB">
              <w:rPr>
                <w:sz w:val="22"/>
                <w:szCs w:val="22"/>
              </w:rPr>
              <w:t>1.0</w:t>
            </w:r>
          </w:p>
        </w:tc>
      </w:tr>
      <w:tr w:rsidR="00A477C2" w:rsidRPr="003146AB" w14:paraId="5BA52273" w14:textId="77777777" w:rsidTr="00360DDC">
        <w:trPr>
          <w:cantSplit/>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20551A" w14:textId="77777777" w:rsidR="00A477C2" w:rsidRPr="003146AB" w:rsidRDefault="00A477C2" w:rsidP="00612693">
            <w:pPr>
              <w:keepNext/>
              <w:rPr>
                <w:sz w:val="22"/>
                <w:szCs w:val="22"/>
              </w:rPr>
            </w:pPr>
            <w:r w:rsidRPr="003146AB">
              <w:rPr>
                <w:sz w:val="22"/>
                <w:szCs w:val="22"/>
              </w:rPr>
              <w:t>D-</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6F6DA022" w14:textId="77777777" w:rsidR="00A477C2" w:rsidRPr="003146AB" w:rsidRDefault="00A477C2" w:rsidP="00612693">
            <w:pPr>
              <w:keepNext/>
              <w:rPr>
                <w:sz w:val="22"/>
                <w:szCs w:val="22"/>
              </w:rPr>
            </w:pPr>
            <w:r w:rsidRPr="003146AB">
              <w:rPr>
                <w:sz w:val="22"/>
                <w:szCs w:val="22"/>
              </w:rPr>
              <w:t>0.67</w:t>
            </w:r>
          </w:p>
        </w:tc>
      </w:tr>
      <w:tr w:rsidR="00A477C2" w:rsidRPr="003146AB" w14:paraId="2CAFDA8F" w14:textId="77777777" w:rsidTr="00360DDC">
        <w:trPr>
          <w:cantSplit/>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277768" w14:textId="77777777" w:rsidR="00A477C2" w:rsidRPr="003146AB" w:rsidRDefault="00A477C2" w:rsidP="00612693">
            <w:pPr>
              <w:keepNext/>
              <w:rPr>
                <w:sz w:val="22"/>
                <w:szCs w:val="22"/>
              </w:rPr>
            </w:pPr>
            <w:r w:rsidRPr="003146AB">
              <w:rPr>
                <w:sz w:val="22"/>
                <w:szCs w:val="22"/>
              </w:rPr>
              <w:t>E (Failure)</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2A1CC49F" w14:textId="77777777" w:rsidR="00A477C2" w:rsidRPr="003146AB" w:rsidRDefault="00A477C2" w:rsidP="00612693">
            <w:pPr>
              <w:keepNext/>
              <w:rPr>
                <w:sz w:val="22"/>
                <w:szCs w:val="22"/>
              </w:rPr>
            </w:pPr>
            <w:r w:rsidRPr="003146AB">
              <w:rPr>
                <w:sz w:val="22"/>
                <w:szCs w:val="22"/>
              </w:rPr>
              <w:t>0.0</w:t>
            </w:r>
            <w:r w:rsidRPr="006662F0">
              <w:rPr>
                <w:sz w:val="22"/>
                <w:szCs w:val="22"/>
              </w:rPr>
              <w:t> </w:t>
            </w:r>
          </w:p>
        </w:tc>
      </w:tr>
    </w:tbl>
    <w:p w14:paraId="5A1236F8" w14:textId="77777777" w:rsidR="00B77324" w:rsidRPr="000E5955" w:rsidRDefault="00B77324" w:rsidP="00B77324">
      <w:pPr>
        <w:spacing w:before="120" w:after="120"/>
        <w:ind w:left="720" w:right="-187"/>
        <w:outlineLvl w:val="0"/>
        <w:rPr>
          <w:b/>
        </w:rPr>
      </w:pPr>
      <w:r>
        <w:rPr>
          <w:b/>
        </w:rPr>
        <w:t xml:space="preserve">Note that the mandatory Law School mean does </w:t>
      </w:r>
      <w:r w:rsidRPr="000E5955">
        <w:rPr>
          <w:b/>
          <w:u w:val="single"/>
        </w:rPr>
        <w:t>not</w:t>
      </w:r>
      <w:r>
        <w:rPr>
          <w:b/>
        </w:rPr>
        <w:t xml:space="preserve"> apply to LLM students.</w:t>
      </w:r>
    </w:p>
    <w:p w14:paraId="1B867F11" w14:textId="77777777" w:rsidR="00A477C2" w:rsidRDefault="00A477C2" w:rsidP="00A477C2">
      <w:pPr>
        <w:spacing w:after="120"/>
        <w:ind w:left="720" w:right="-187" w:hanging="720"/>
        <w:outlineLvl w:val="0"/>
      </w:pPr>
      <w:r>
        <w:rPr>
          <w:u w:val="single"/>
        </w:rPr>
        <w:t>Office Hours</w:t>
      </w:r>
      <w:r>
        <w:t>.</w:t>
      </w:r>
    </w:p>
    <w:p w14:paraId="11C580A0" w14:textId="7B8692A8" w:rsidR="00A477C2" w:rsidRDefault="00AC71D0" w:rsidP="00A477C2">
      <w:pPr>
        <w:spacing w:after="240"/>
        <w:ind w:left="720" w:right="-180"/>
      </w:pPr>
      <w:r>
        <w:t>Tues</w:t>
      </w:r>
      <w:r w:rsidR="00A477C2">
        <w:t xml:space="preserve">., </w:t>
      </w:r>
      <w:r>
        <w:t>1:15</w:t>
      </w:r>
      <w:r w:rsidR="00A477C2">
        <w:t xml:space="preserve"> – </w:t>
      </w:r>
      <w:r>
        <w:t>3</w:t>
      </w:r>
      <w:r w:rsidR="00A477C2">
        <w:t xml:space="preserve">:00, and by appointment. I strongly encourage you to see me if you have questions about the material. I </w:t>
      </w:r>
      <w:r w:rsidR="00007CF6">
        <w:t xml:space="preserve">am </w:t>
      </w:r>
      <w:r w:rsidR="00A477C2">
        <w:t>also happy to discuss any aspect of tax law or tax practice with you.</w:t>
      </w:r>
    </w:p>
    <w:p w14:paraId="60E43E9C" w14:textId="77777777" w:rsidR="00A477C2" w:rsidRDefault="00A477C2" w:rsidP="00A477C2">
      <w:pPr>
        <w:keepNext/>
        <w:spacing w:after="120"/>
        <w:ind w:left="720" w:right="-187" w:hanging="720"/>
        <w:outlineLvl w:val="0"/>
      </w:pPr>
      <w:r>
        <w:rPr>
          <w:u w:val="single"/>
        </w:rPr>
        <w:t>Course Policies</w:t>
      </w:r>
      <w:r w:rsidRPr="00C246C4">
        <w:t>.</w:t>
      </w:r>
    </w:p>
    <w:p w14:paraId="2F42C143" w14:textId="768CEC11" w:rsidR="00A477C2" w:rsidRPr="00CD10DE" w:rsidRDefault="00A477C2" w:rsidP="00D50921">
      <w:pPr>
        <w:pStyle w:val="BodyText"/>
        <w:numPr>
          <w:ilvl w:val="0"/>
          <w:numId w:val="8"/>
        </w:numPr>
        <w:spacing w:after="120"/>
      </w:pPr>
      <w:r w:rsidRPr="008319E2">
        <w:rPr>
          <w:u w:val="single"/>
        </w:rPr>
        <w:t>Accommodations</w:t>
      </w:r>
      <w:r w:rsidR="008D7E49">
        <w:t>.</w:t>
      </w:r>
      <w:r>
        <w:t xml:space="preserve"> </w:t>
      </w:r>
      <w:r w:rsidRPr="00E27577">
        <w:t xml:space="preserve">Students requesting accommodation for disabilities must first register with the Dean of Students Office </w:t>
      </w:r>
      <w:r w:rsidRPr="0075423B">
        <w:t>(</w:t>
      </w:r>
      <w:hyperlink r:id="rId9" w:history="1">
        <w:r w:rsidR="008319E2" w:rsidRPr="001A2F65">
          <w:rPr>
            <w:rStyle w:val="Hyperlink"/>
          </w:rPr>
          <w:t>https://disability.ufl.edu/students/accommodations/</w:t>
        </w:r>
      </w:hyperlink>
      <w:r w:rsidRPr="0075423B">
        <w:t>).</w:t>
      </w:r>
      <w:r w:rsidRPr="00E27577">
        <w:t xml:space="preserve"> The Dean of Students Office will </w:t>
      </w:r>
      <w:r w:rsidRPr="00F872D1">
        <w:t>provide</w:t>
      </w:r>
      <w:r w:rsidRPr="00E27577">
        <w:t xml:space="preserve"> documentation to the student</w:t>
      </w:r>
      <w:r>
        <w:t>,</w:t>
      </w:r>
      <w:r w:rsidRPr="00E27577">
        <w:t xml:space="preserve"> who must then pr</w:t>
      </w:r>
      <w:r>
        <w:t xml:space="preserve">ovide this documentation to Student Affairs (Dean Rachel Inman) </w:t>
      </w:r>
      <w:r w:rsidRPr="00E27577">
        <w:t>when requesting accommodation. You must submit this documentation prior to submitting assignments or taking the quizzes or exams. Accom</w:t>
      </w:r>
      <w:r>
        <w:t xml:space="preserve">modations are not retroactive. </w:t>
      </w:r>
      <w:r>
        <w:lastRenderedPageBreak/>
        <w:t>T</w:t>
      </w:r>
      <w:r w:rsidRPr="00E27577">
        <w:t>herefore, students should contact the office as soon as possible in the term for which t</w:t>
      </w:r>
      <w:r>
        <w:t>hey are seeking accommodations.</w:t>
      </w:r>
    </w:p>
    <w:p w14:paraId="2EFCF1F8" w14:textId="77777777" w:rsidR="00A477C2" w:rsidRPr="00E27577" w:rsidRDefault="00A477C2" w:rsidP="00A477C2">
      <w:pPr>
        <w:pStyle w:val="ListParagraph"/>
        <w:numPr>
          <w:ilvl w:val="0"/>
          <w:numId w:val="8"/>
        </w:numPr>
        <w:spacing w:after="120"/>
      </w:pPr>
      <w:r w:rsidRPr="00B473DA">
        <w:rPr>
          <w:rFonts w:eastAsia="Calibri" w:cs="Calibri"/>
          <w:u w:val="single"/>
        </w:rPr>
        <w:t>University Policy on Academic Misconduct</w:t>
      </w:r>
      <w:r w:rsidRPr="00B473DA">
        <w:rPr>
          <w:rFonts w:eastAsia="Calibri" w:cs="Calibri"/>
        </w:rPr>
        <w:t xml:space="preserve">. </w:t>
      </w:r>
      <w:r w:rsidRPr="00B473DA">
        <w:rPr>
          <w:rFonts w:eastAsia="Calibri"/>
        </w:rPr>
        <w:t>A</w:t>
      </w:r>
      <w:r w:rsidRPr="00E27577">
        <w:t xml:space="preserve">cademic honesty and integrity are fundamental values of the University community. Students should be sure that they understand </w:t>
      </w:r>
      <w:r>
        <w:t xml:space="preserve">and comply with </w:t>
      </w:r>
      <w:r w:rsidRPr="00E27577">
        <w:t>the UF Student Honor Code</w:t>
      </w:r>
      <w:r>
        <w:t>, available</w:t>
      </w:r>
      <w:r w:rsidRPr="00E27577">
        <w:t xml:space="preserve"> at</w:t>
      </w:r>
      <w:r>
        <w:t xml:space="preserve">: </w:t>
      </w:r>
      <w:hyperlink r:id="rId10" w:history="1">
        <w:r w:rsidRPr="000E13A7">
          <w:rPr>
            <w:rStyle w:val="Hyperlink"/>
          </w:rPr>
          <w:t>https://www.dso.ufl.edu/%20sccr/process/student-conduct-honor-code</w:t>
        </w:r>
      </w:hyperlink>
      <w:r w:rsidRPr="00E27577">
        <w:t>.</w:t>
      </w:r>
      <w:r>
        <w:t xml:space="preserve"> Failure to comply can result in sanctions, as described in the UF Student Honor Code.</w:t>
      </w:r>
    </w:p>
    <w:p w14:paraId="38DB8DA3" w14:textId="55A21305" w:rsidR="00A477C2" w:rsidRDefault="00A477C2" w:rsidP="00A477C2">
      <w:pPr>
        <w:pStyle w:val="BodyText"/>
        <w:numPr>
          <w:ilvl w:val="0"/>
          <w:numId w:val="8"/>
        </w:numPr>
        <w:spacing w:after="120"/>
      </w:pPr>
      <w:r w:rsidRPr="009C568D">
        <w:rPr>
          <w:rFonts w:eastAsia="Calibri" w:cs="Calibri"/>
          <w:u w:val="single"/>
        </w:rPr>
        <w:t>Netiquette: Common Courtesy</w:t>
      </w:r>
      <w:r w:rsidRPr="009C568D">
        <w:rPr>
          <w:rFonts w:eastAsia="Calibri" w:cs="Calibri"/>
        </w:rPr>
        <w:t xml:space="preserve">. </w:t>
      </w:r>
      <w:r w:rsidRPr="00E27577">
        <w:t xml:space="preserve">All members of the class are expected to follow rules of common courtesy in all email messages, threaded discussions and chats. </w:t>
      </w:r>
      <w:r>
        <w:t xml:space="preserve">They also are advised to adhere to the guidelines and rules set forth in the University’s policy, available at </w:t>
      </w:r>
      <w:hyperlink r:id="rId11" w:history="1">
        <w:r w:rsidR="008319E2" w:rsidRPr="001A2F65">
          <w:rPr>
            <w:rStyle w:val="Hyperlink"/>
          </w:rPr>
          <w:t>https://teach.ufl.edu/resource-library/syllabus/</w:t>
        </w:r>
      </w:hyperlink>
      <w:r w:rsidR="008319E2">
        <w:t>.</w:t>
      </w:r>
      <w:r>
        <w:t xml:space="preserve"> Students who consistently or intentionally fail to follow these rules may be subject to discipline, including but not limited to grade reduction and referral to the Law School or University</w:t>
      </w:r>
      <w:r w:rsidR="00545882">
        <w:t xml:space="preserve"> for further disciplinary action</w:t>
      </w:r>
      <w:r>
        <w:t>.</w:t>
      </w:r>
    </w:p>
    <w:p w14:paraId="5FDFBE9A" w14:textId="04D1DBDF" w:rsidR="00103623" w:rsidRDefault="001E69C1" w:rsidP="001E69C1">
      <w:pPr>
        <w:pStyle w:val="BodyText"/>
        <w:numPr>
          <w:ilvl w:val="0"/>
          <w:numId w:val="8"/>
        </w:numPr>
        <w:spacing w:after="120"/>
      </w:pPr>
      <w:r w:rsidRPr="0049651D">
        <w:rPr>
          <w:u w:val="single"/>
        </w:rPr>
        <w:t>Online Course Evaluation</w:t>
      </w:r>
      <w:r>
        <w:t xml:space="preserve">. Students are expected to provide feedback on the quality of instruction in this course by completing online evaluations at </w:t>
      </w:r>
      <w:hyperlink r:id="rId12" w:history="1">
        <w:r w:rsidRPr="005F2E89">
          <w:rPr>
            <w:rStyle w:val="Hyperlink"/>
          </w:rPr>
          <w:t>https://evaluations.ufl.edu</w:t>
        </w:r>
      </w:hyperlink>
      <w:r>
        <w:t xml:space="preserve">. Evaluations are typically open during the last two or three weeks of the semester, but students will be given specific times when they are open. Summary results of these assessments are available to students at </w:t>
      </w:r>
      <w:hyperlink r:id="rId13" w:history="1">
        <w:r w:rsidRPr="005F2E89">
          <w:rPr>
            <w:rStyle w:val="Hyperlink"/>
          </w:rPr>
          <w:t>https://evaluations.ufl.edu/results/</w:t>
        </w:r>
      </w:hyperlink>
      <w:r>
        <w:t>.</w:t>
      </w:r>
    </w:p>
    <w:p w14:paraId="38847EB2" w14:textId="77777777" w:rsidR="00C14EBD" w:rsidRDefault="00C14EBD">
      <w:pPr>
        <w:spacing w:after="240"/>
        <w:ind w:left="720" w:right="-180" w:hanging="720"/>
        <w:jc w:val="center"/>
        <w:sectPr w:rsidR="00C14EBD">
          <w:headerReference w:type="default" r:id="rId14"/>
          <w:footerReference w:type="even" r:id="rId15"/>
          <w:footerReference w:type="default" r:id="rId16"/>
          <w:headerReference w:type="first" r:id="rId17"/>
          <w:footerReference w:type="first" r:id="rId18"/>
          <w:pgSz w:w="12240" w:h="15840"/>
          <w:pgMar w:top="1440" w:right="1800" w:bottom="1440" w:left="1800" w:header="1080" w:footer="1170" w:gutter="0"/>
          <w:cols w:space="720"/>
          <w:titlePg/>
          <w:docGrid w:linePitch="360"/>
        </w:sectPr>
      </w:pPr>
    </w:p>
    <w:p w14:paraId="39651F6C" w14:textId="77777777" w:rsidR="00C14EBD" w:rsidRDefault="00C14EBD" w:rsidP="001F79E5"/>
    <w:sectPr w:rsidR="00C14EBD" w:rsidSect="00D44E3C">
      <w:headerReference w:type="default" r:id="rId19"/>
      <w:footerReference w:type="even" r:id="rId20"/>
      <w:footerReference w:type="default" r:id="rId21"/>
      <w:headerReference w:type="first" r:id="rId22"/>
      <w:pgSz w:w="12240" w:h="15840"/>
      <w:pgMar w:top="1440" w:right="1800" w:bottom="3033" w:left="1800" w:header="1080" w:footer="1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872E5" w14:textId="77777777" w:rsidR="00F96D7B" w:rsidRDefault="00F96D7B">
      <w:r>
        <w:separator/>
      </w:r>
    </w:p>
  </w:endnote>
  <w:endnote w:type="continuationSeparator" w:id="0">
    <w:p w14:paraId="50B949CA" w14:textId="77777777" w:rsidR="00F96D7B" w:rsidRDefault="00F9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65E9" w14:textId="77777777" w:rsidR="001152C3" w:rsidRDefault="001152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BA757B" w14:textId="77777777" w:rsidR="001152C3" w:rsidRDefault="001152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573C" w14:textId="77777777" w:rsidR="001152C3" w:rsidRDefault="001152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57D3">
      <w:rPr>
        <w:rStyle w:val="PageNumber"/>
        <w:noProof/>
      </w:rPr>
      <w:t>4</w:t>
    </w:r>
    <w:r>
      <w:rPr>
        <w:rStyle w:val="PageNumber"/>
      </w:rPr>
      <w:fldChar w:fldCharType="end"/>
    </w:r>
  </w:p>
  <w:p w14:paraId="0FCE6706" w14:textId="77777777" w:rsidR="001152C3" w:rsidRDefault="001152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D453" w14:textId="77777777" w:rsidR="001152C3" w:rsidRDefault="001152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57D3">
      <w:rPr>
        <w:rStyle w:val="PageNumber"/>
        <w:noProof/>
      </w:rPr>
      <w:t>1</w:t>
    </w:r>
    <w:r>
      <w:rPr>
        <w:rStyle w:val="PageNumber"/>
      </w:rPr>
      <w:fldChar w:fldCharType="end"/>
    </w:r>
  </w:p>
  <w:p w14:paraId="70181B30" w14:textId="77777777" w:rsidR="001152C3" w:rsidRDefault="001152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FD1D" w14:textId="77777777" w:rsidR="001152C3" w:rsidRDefault="001152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181AD9" w14:textId="77777777" w:rsidR="001152C3" w:rsidRDefault="001152C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0603" w14:textId="77777777" w:rsidR="001152C3" w:rsidRDefault="001152C3">
    <w:pPr>
      <w:pStyle w:val="Footer"/>
      <w:framePr w:wrap="around" w:vAnchor="text" w:hAnchor="margin" w:xAlign="center" w:y="1"/>
      <w:rPr>
        <w:rStyle w:val="PageNumber"/>
      </w:rPr>
    </w:pPr>
  </w:p>
  <w:p w14:paraId="1C129335" w14:textId="77777777" w:rsidR="001152C3" w:rsidRDefault="001152C3">
    <w:pPr>
      <w:pStyle w:val="Footer"/>
      <w:jc w:val="center"/>
    </w:pPr>
    <w:r>
      <w:rPr>
        <w:rStyle w:val="PageNumber"/>
      </w:rPr>
      <w:fldChar w:fldCharType="begin"/>
    </w:r>
    <w:r>
      <w:rPr>
        <w:rStyle w:val="PageNumber"/>
      </w:rPr>
      <w:instrText xml:space="preserve"> PAGE </w:instrText>
    </w:r>
    <w:r>
      <w:rPr>
        <w:rStyle w:val="PageNumber"/>
      </w:rPr>
      <w:fldChar w:fldCharType="separate"/>
    </w:r>
    <w:r w:rsidR="001457D3">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4A201" w14:textId="77777777" w:rsidR="00F96D7B" w:rsidRDefault="00F96D7B">
      <w:r>
        <w:separator/>
      </w:r>
    </w:p>
  </w:footnote>
  <w:footnote w:type="continuationSeparator" w:id="0">
    <w:p w14:paraId="10FA41A2" w14:textId="77777777" w:rsidR="00F96D7B" w:rsidRDefault="00F96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48386" w14:textId="2482AAF6" w:rsidR="001152C3" w:rsidRDefault="00ED1220">
    <w:pPr>
      <w:pStyle w:val="Header"/>
      <w:spacing w:after="240"/>
    </w:pPr>
    <w:r>
      <w:t xml:space="preserve">LAW </w:t>
    </w:r>
    <w:r w:rsidR="00E94CBE">
      <w:t>7613</w:t>
    </w:r>
    <w:r w:rsidR="001152C3">
      <w:t>: Corporate Tax</w:t>
    </w:r>
    <w:r>
      <w:t>ation</w:t>
    </w:r>
    <w:r w:rsidR="008B5500">
      <w:t xml:space="preserve"> I</w:t>
    </w:r>
    <w:r w:rsidR="00E94CBE">
      <w:t>I</w:t>
    </w:r>
    <w:r w:rsidR="001152C3">
      <w:tab/>
    </w:r>
    <w:r w:rsidR="001152C3">
      <w:tab/>
    </w:r>
    <w:r>
      <w:t>Spring 2</w:t>
    </w:r>
    <w:r w:rsidR="00AC71D0">
      <w:t>022</w:t>
    </w:r>
  </w:p>
  <w:p w14:paraId="274687D8" w14:textId="77777777" w:rsidR="001152C3" w:rsidRDefault="001152C3">
    <w:pPr>
      <w:pStyle w:val="Header"/>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9C8CE" w14:textId="4A7C81B6" w:rsidR="001152C3" w:rsidRDefault="00ED1220">
    <w:pPr>
      <w:pStyle w:val="Header"/>
      <w:tabs>
        <w:tab w:val="left" w:pos="4560"/>
        <w:tab w:val="left" w:pos="5400"/>
      </w:tabs>
      <w:spacing w:after="240"/>
      <w:jc w:val="right"/>
    </w:pPr>
    <w:r>
      <w:t xml:space="preserve">LAW </w:t>
    </w:r>
    <w:r w:rsidR="00E708FF">
      <w:t>7613</w:t>
    </w:r>
    <w:r w:rsidR="001152C3">
      <w:tab/>
    </w:r>
    <w:r w:rsidR="001152C3">
      <w:tab/>
    </w:r>
    <w:r w:rsidR="001152C3">
      <w:tab/>
    </w:r>
    <w:r w:rsidR="001152C3">
      <w:tab/>
      <w:t>David Hasen</w:t>
    </w:r>
    <w:r w:rsidR="001152C3">
      <w:br/>
    </w:r>
    <w:r>
      <w:t>Spring 20</w:t>
    </w:r>
    <w:r w:rsidR="00A163DC">
      <w:t>22</w:t>
    </w:r>
    <w:r w:rsidR="001152C3">
      <w:tab/>
    </w:r>
    <w:r w:rsidR="001152C3">
      <w:tab/>
    </w:r>
    <w:r w:rsidR="001152C3">
      <w:tab/>
    </w:r>
    <w:r w:rsidR="001152C3">
      <w:tab/>
    </w:r>
    <w:r>
      <w:t>303 Holland Hall</w:t>
    </w:r>
    <w:r w:rsidR="001152C3">
      <w:br/>
    </w:r>
    <w:r w:rsidR="001152C3">
      <w:tab/>
    </w:r>
    <w:r w:rsidR="001152C3">
      <w:tab/>
    </w:r>
    <w:r w:rsidR="00A91554">
      <w:t>273-072</w:t>
    </w:r>
    <w:r w:rsidR="00B87E47">
      <w:t>1</w:t>
    </w:r>
    <w:r w:rsidR="001152C3">
      <w:t>; d</w:t>
    </w:r>
    <w:r>
      <w:t>avid.</w:t>
    </w:r>
    <w:r w:rsidR="001152C3">
      <w:t>hasen@</w:t>
    </w:r>
    <w:r>
      <w:t>law.ufl</w:t>
    </w:r>
    <w:r w:rsidR="001152C3">
      <w:t>.edu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F483" w14:textId="61F56F01" w:rsidR="001152C3" w:rsidRDefault="00ED1220" w:rsidP="00C14EBD">
    <w:pPr>
      <w:pStyle w:val="Header"/>
      <w:spacing w:after="240"/>
    </w:pPr>
    <w:r>
      <w:t xml:space="preserve">LAW </w:t>
    </w:r>
    <w:r w:rsidR="00E94CBE">
      <w:t>7613</w:t>
    </w:r>
    <w:r w:rsidR="001152C3">
      <w:t>: Corporate Tax</w:t>
    </w:r>
    <w:r w:rsidR="001152C3">
      <w:tab/>
    </w:r>
    <w:r w:rsidR="001152C3">
      <w:tab/>
    </w:r>
    <w:r>
      <w:t>[Fall/Spring 20xx]</w:t>
    </w:r>
  </w:p>
  <w:p w14:paraId="7B482040" w14:textId="77777777" w:rsidR="001152C3" w:rsidRDefault="001152C3">
    <w:pPr>
      <w:pStyle w:val="Header"/>
      <w:tabs>
        <w:tab w:val="left" w:pos="4560"/>
        <w:tab w:val="left" w:pos="5400"/>
      </w:tabs>
      <w:spacing w:after="240"/>
      <w:jc w:val="center"/>
      <w:rPr>
        <w:u w:val="single"/>
      </w:rPr>
    </w:pPr>
    <w:r>
      <w:rPr>
        <w:u w:val="single"/>
      </w:rPr>
      <w:t>SCHEDULE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CC50" w14:textId="1A811D62" w:rsidR="001152C3" w:rsidRDefault="00ED1220" w:rsidP="00C14EBD">
    <w:pPr>
      <w:pStyle w:val="Header"/>
      <w:spacing w:after="240"/>
    </w:pPr>
    <w:r>
      <w:t xml:space="preserve">LAW </w:t>
    </w:r>
    <w:r w:rsidR="00E94CBE">
      <w:t>7613</w:t>
    </w:r>
    <w:r w:rsidR="001152C3">
      <w:t>: Corporate Tax</w:t>
    </w:r>
    <w:r w:rsidR="008B5500">
      <w:t xml:space="preserve"> I</w:t>
    </w:r>
    <w:r w:rsidR="00E94CBE">
      <w:t>I</w:t>
    </w:r>
    <w:r w:rsidR="001152C3">
      <w:tab/>
    </w:r>
    <w:r w:rsidR="001152C3">
      <w:tab/>
    </w:r>
    <w:r>
      <w:t>Spring 20</w:t>
    </w:r>
    <w:r w:rsidR="007B4301">
      <w:t>22</w:t>
    </w:r>
  </w:p>
  <w:p w14:paraId="795313F1" w14:textId="77777777" w:rsidR="001152C3" w:rsidRDefault="001152C3">
    <w:pPr>
      <w:pStyle w:val="Header"/>
      <w:tabs>
        <w:tab w:val="left" w:pos="4560"/>
        <w:tab w:val="left" w:pos="5400"/>
      </w:tabs>
      <w:spacing w:after="240"/>
      <w:jc w:val="center"/>
      <w:rPr>
        <w:u w:val="single"/>
      </w:rPr>
    </w:pPr>
    <w:r>
      <w:rPr>
        <w:u w:val="single"/>
      </w:rPr>
      <w:t>SCHEDULE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56B9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A0B67"/>
    <w:multiLevelType w:val="hybridMultilevel"/>
    <w:tmpl w:val="08BED1E8"/>
    <w:lvl w:ilvl="0" w:tplc="623C031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17680"/>
    <w:multiLevelType w:val="hybridMultilevel"/>
    <w:tmpl w:val="ABCC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60783"/>
    <w:multiLevelType w:val="hybridMultilevel"/>
    <w:tmpl w:val="897AA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E6B08"/>
    <w:multiLevelType w:val="hybridMultilevel"/>
    <w:tmpl w:val="E110C640"/>
    <w:lvl w:ilvl="0" w:tplc="2A684A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901A62"/>
    <w:multiLevelType w:val="hybridMultilevel"/>
    <w:tmpl w:val="DB60A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14E60"/>
    <w:multiLevelType w:val="hybridMultilevel"/>
    <w:tmpl w:val="98F22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3F6C34"/>
    <w:multiLevelType w:val="hybridMultilevel"/>
    <w:tmpl w:val="C298C638"/>
    <w:lvl w:ilvl="0" w:tplc="D2AC86B6">
      <w:start w:val="4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247F76"/>
    <w:multiLevelType w:val="hybridMultilevel"/>
    <w:tmpl w:val="696CB7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DE76F0"/>
    <w:multiLevelType w:val="hybridMultilevel"/>
    <w:tmpl w:val="470E4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604C38"/>
    <w:multiLevelType w:val="hybridMultilevel"/>
    <w:tmpl w:val="877E90AA"/>
    <w:lvl w:ilvl="0" w:tplc="AEE869E6">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7"/>
  </w:num>
  <w:num w:numId="4">
    <w:abstractNumId w:val="4"/>
  </w:num>
  <w:num w:numId="5">
    <w:abstractNumId w:val="3"/>
  </w:num>
  <w:num w:numId="6">
    <w:abstractNumId w:val="0"/>
  </w:num>
  <w:num w:numId="7">
    <w:abstractNumId w:val="5"/>
  </w:num>
  <w:num w:numId="8">
    <w:abstractNumId w:val="6"/>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DD"/>
    <w:rsid w:val="000051DA"/>
    <w:rsid w:val="00007CF6"/>
    <w:rsid w:val="0002429E"/>
    <w:rsid w:val="000248C4"/>
    <w:rsid w:val="00031993"/>
    <w:rsid w:val="00032314"/>
    <w:rsid w:val="0003338D"/>
    <w:rsid w:val="00034664"/>
    <w:rsid w:val="00037FB9"/>
    <w:rsid w:val="00040BBD"/>
    <w:rsid w:val="00042A92"/>
    <w:rsid w:val="0005289A"/>
    <w:rsid w:val="000663BE"/>
    <w:rsid w:val="00070180"/>
    <w:rsid w:val="0007157D"/>
    <w:rsid w:val="000723CA"/>
    <w:rsid w:val="00092EB1"/>
    <w:rsid w:val="000972EC"/>
    <w:rsid w:val="00097F5A"/>
    <w:rsid w:val="000B10E5"/>
    <w:rsid w:val="000B41E1"/>
    <w:rsid w:val="000B7B8B"/>
    <w:rsid w:val="000B7FD7"/>
    <w:rsid w:val="000C0388"/>
    <w:rsid w:val="000C135F"/>
    <w:rsid w:val="000C42A0"/>
    <w:rsid w:val="000D1E76"/>
    <w:rsid w:val="000E0AC0"/>
    <w:rsid w:val="000F3E36"/>
    <w:rsid w:val="000F588C"/>
    <w:rsid w:val="00103623"/>
    <w:rsid w:val="0010631C"/>
    <w:rsid w:val="001152C3"/>
    <w:rsid w:val="0012117D"/>
    <w:rsid w:val="001275E8"/>
    <w:rsid w:val="001317BF"/>
    <w:rsid w:val="001457D3"/>
    <w:rsid w:val="00152AB4"/>
    <w:rsid w:val="00165156"/>
    <w:rsid w:val="0017079B"/>
    <w:rsid w:val="001709A6"/>
    <w:rsid w:val="00171D80"/>
    <w:rsid w:val="00194675"/>
    <w:rsid w:val="00194CC7"/>
    <w:rsid w:val="00196609"/>
    <w:rsid w:val="001A4D69"/>
    <w:rsid w:val="001A785B"/>
    <w:rsid w:val="001B13C9"/>
    <w:rsid w:val="001D5971"/>
    <w:rsid w:val="001E3F67"/>
    <w:rsid w:val="001E69C1"/>
    <w:rsid w:val="001E748D"/>
    <w:rsid w:val="001F2727"/>
    <w:rsid w:val="001F43EE"/>
    <w:rsid w:val="001F79E5"/>
    <w:rsid w:val="00203429"/>
    <w:rsid w:val="002111B6"/>
    <w:rsid w:val="0021435A"/>
    <w:rsid w:val="00217BF0"/>
    <w:rsid w:val="00223FF9"/>
    <w:rsid w:val="002249E8"/>
    <w:rsid w:val="0022699C"/>
    <w:rsid w:val="00245D04"/>
    <w:rsid w:val="002471C4"/>
    <w:rsid w:val="002605CC"/>
    <w:rsid w:val="00264B24"/>
    <w:rsid w:val="00266465"/>
    <w:rsid w:val="00274073"/>
    <w:rsid w:val="00275033"/>
    <w:rsid w:val="00290E3D"/>
    <w:rsid w:val="002C05B5"/>
    <w:rsid w:val="002D0D99"/>
    <w:rsid w:val="002D434A"/>
    <w:rsid w:val="002E1646"/>
    <w:rsid w:val="002E477E"/>
    <w:rsid w:val="0030106D"/>
    <w:rsid w:val="00306281"/>
    <w:rsid w:val="00310F87"/>
    <w:rsid w:val="003155A8"/>
    <w:rsid w:val="00315897"/>
    <w:rsid w:val="003176A6"/>
    <w:rsid w:val="00324E2B"/>
    <w:rsid w:val="00342F5F"/>
    <w:rsid w:val="0035175F"/>
    <w:rsid w:val="003529FF"/>
    <w:rsid w:val="0035323C"/>
    <w:rsid w:val="00360DDC"/>
    <w:rsid w:val="00363F4F"/>
    <w:rsid w:val="00372A96"/>
    <w:rsid w:val="00376DDE"/>
    <w:rsid w:val="00381F2B"/>
    <w:rsid w:val="003A0625"/>
    <w:rsid w:val="003A1BC1"/>
    <w:rsid w:val="003A5CA7"/>
    <w:rsid w:val="003B3CC5"/>
    <w:rsid w:val="003B7ABF"/>
    <w:rsid w:val="003C49D6"/>
    <w:rsid w:val="003C50EC"/>
    <w:rsid w:val="003D4337"/>
    <w:rsid w:val="003E21D3"/>
    <w:rsid w:val="003E463E"/>
    <w:rsid w:val="003E57B6"/>
    <w:rsid w:val="003E5FD7"/>
    <w:rsid w:val="003F0C5F"/>
    <w:rsid w:val="003F5F7C"/>
    <w:rsid w:val="00400030"/>
    <w:rsid w:val="0040242B"/>
    <w:rsid w:val="00416081"/>
    <w:rsid w:val="00417E88"/>
    <w:rsid w:val="00422E1B"/>
    <w:rsid w:val="00426168"/>
    <w:rsid w:val="00426E90"/>
    <w:rsid w:val="00430EF0"/>
    <w:rsid w:val="00437E89"/>
    <w:rsid w:val="0045692B"/>
    <w:rsid w:val="004572B1"/>
    <w:rsid w:val="00466130"/>
    <w:rsid w:val="00486567"/>
    <w:rsid w:val="00490E22"/>
    <w:rsid w:val="004B2EBE"/>
    <w:rsid w:val="004B602A"/>
    <w:rsid w:val="004C07DD"/>
    <w:rsid w:val="004C3934"/>
    <w:rsid w:val="004C73D3"/>
    <w:rsid w:val="004D4357"/>
    <w:rsid w:val="004D7492"/>
    <w:rsid w:val="004E218A"/>
    <w:rsid w:val="004E2F9E"/>
    <w:rsid w:val="004E37C4"/>
    <w:rsid w:val="004E5DBA"/>
    <w:rsid w:val="004F3540"/>
    <w:rsid w:val="005008E4"/>
    <w:rsid w:val="00500D4F"/>
    <w:rsid w:val="00505972"/>
    <w:rsid w:val="00505D5A"/>
    <w:rsid w:val="005062E0"/>
    <w:rsid w:val="0053494E"/>
    <w:rsid w:val="005431D7"/>
    <w:rsid w:val="00545882"/>
    <w:rsid w:val="00567CDA"/>
    <w:rsid w:val="00571335"/>
    <w:rsid w:val="00581F02"/>
    <w:rsid w:val="005830C9"/>
    <w:rsid w:val="00593765"/>
    <w:rsid w:val="005939BA"/>
    <w:rsid w:val="00595A2B"/>
    <w:rsid w:val="00596C1A"/>
    <w:rsid w:val="005A4F56"/>
    <w:rsid w:val="005B5B73"/>
    <w:rsid w:val="005C3601"/>
    <w:rsid w:val="005C6B0D"/>
    <w:rsid w:val="005D43C0"/>
    <w:rsid w:val="005D4B06"/>
    <w:rsid w:val="005E064F"/>
    <w:rsid w:val="005E11FC"/>
    <w:rsid w:val="005E3EF8"/>
    <w:rsid w:val="005E7AA0"/>
    <w:rsid w:val="00603D45"/>
    <w:rsid w:val="00610D7B"/>
    <w:rsid w:val="00612693"/>
    <w:rsid w:val="00615AAD"/>
    <w:rsid w:val="0062461E"/>
    <w:rsid w:val="006260C9"/>
    <w:rsid w:val="0062687D"/>
    <w:rsid w:val="006311AE"/>
    <w:rsid w:val="00631A29"/>
    <w:rsid w:val="00631EE1"/>
    <w:rsid w:val="00656352"/>
    <w:rsid w:val="0067559D"/>
    <w:rsid w:val="00683D2E"/>
    <w:rsid w:val="00687BC0"/>
    <w:rsid w:val="00693F42"/>
    <w:rsid w:val="006A2998"/>
    <w:rsid w:val="006A5412"/>
    <w:rsid w:val="006B686F"/>
    <w:rsid w:val="006C5084"/>
    <w:rsid w:val="006C763F"/>
    <w:rsid w:val="006D0AA0"/>
    <w:rsid w:val="006D60F8"/>
    <w:rsid w:val="006E2BD8"/>
    <w:rsid w:val="006E3701"/>
    <w:rsid w:val="006E7D52"/>
    <w:rsid w:val="007021C0"/>
    <w:rsid w:val="00710488"/>
    <w:rsid w:val="007157BB"/>
    <w:rsid w:val="00731FC0"/>
    <w:rsid w:val="0073202A"/>
    <w:rsid w:val="00745BE9"/>
    <w:rsid w:val="007467CF"/>
    <w:rsid w:val="00764EAA"/>
    <w:rsid w:val="007764AA"/>
    <w:rsid w:val="00776AC4"/>
    <w:rsid w:val="00782C71"/>
    <w:rsid w:val="00790C2E"/>
    <w:rsid w:val="00794311"/>
    <w:rsid w:val="007A6A4B"/>
    <w:rsid w:val="007A780D"/>
    <w:rsid w:val="007B4301"/>
    <w:rsid w:val="007B5D9D"/>
    <w:rsid w:val="007C15B5"/>
    <w:rsid w:val="007C6B6C"/>
    <w:rsid w:val="007D0AE5"/>
    <w:rsid w:val="007E1099"/>
    <w:rsid w:val="007E4C79"/>
    <w:rsid w:val="007E6CB9"/>
    <w:rsid w:val="007E7F10"/>
    <w:rsid w:val="007F7B8C"/>
    <w:rsid w:val="00811F7A"/>
    <w:rsid w:val="008319E2"/>
    <w:rsid w:val="008341A8"/>
    <w:rsid w:val="00841141"/>
    <w:rsid w:val="00852F7C"/>
    <w:rsid w:val="008571E0"/>
    <w:rsid w:val="008628E9"/>
    <w:rsid w:val="008644EE"/>
    <w:rsid w:val="00866532"/>
    <w:rsid w:val="00871481"/>
    <w:rsid w:val="00873410"/>
    <w:rsid w:val="00876F6B"/>
    <w:rsid w:val="008779CF"/>
    <w:rsid w:val="008928B7"/>
    <w:rsid w:val="008A0C83"/>
    <w:rsid w:val="008B1BBB"/>
    <w:rsid w:val="008B4098"/>
    <w:rsid w:val="008B5500"/>
    <w:rsid w:val="008C3D27"/>
    <w:rsid w:val="008C6326"/>
    <w:rsid w:val="008D03E5"/>
    <w:rsid w:val="008D064E"/>
    <w:rsid w:val="008D5688"/>
    <w:rsid w:val="008D7E49"/>
    <w:rsid w:val="00905B16"/>
    <w:rsid w:val="00907FAE"/>
    <w:rsid w:val="00922533"/>
    <w:rsid w:val="00922998"/>
    <w:rsid w:val="00926E9B"/>
    <w:rsid w:val="009273A3"/>
    <w:rsid w:val="00935CBD"/>
    <w:rsid w:val="00943AC5"/>
    <w:rsid w:val="00952A45"/>
    <w:rsid w:val="00952E7D"/>
    <w:rsid w:val="00955B9D"/>
    <w:rsid w:val="00961156"/>
    <w:rsid w:val="00962C03"/>
    <w:rsid w:val="00966CF8"/>
    <w:rsid w:val="0097414F"/>
    <w:rsid w:val="00976728"/>
    <w:rsid w:val="009A1113"/>
    <w:rsid w:val="009A31FD"/>
    <w:rsid w:val="009A7A5B"/>
    <w:rsid w:val="009B595F"/>
    <w:rsid w:val="009C174D"/>
    <w:rsid w:val="009C6CDE"/>
    <w:rsid w:val="009C6FCC"/>
    <w:rsid w:val="009D55E2"/>
    <w:rsid w:val="009E005C"/>
    <w:rsid w:val="009E17AD"/>
    <w:rsid w:val="009E25BF"/>
    <w:rsid w:val="009F0D18"/>
    <w:rsid w:val="009F324F"/>
    <w:rsid w:val="00A00520"/>
    <w:rsid w:val="00A038F8"/>
    <w:rsid w:val="00A059D2"/>
    <w:rsid w:val="00A10F16"/>
    <w:rsid w:val="00A13CA9"/>
    <w:rsid w:val="00A163DC"/>
    <w:rsid w:val="00A33EA3"/>
    <w:rsid w:val="00A34F95"/>
    <w:rsid w:val="00A45351"/>
    <w:rsid w:val="00A477C2"/>
    <w:rsid w:val="00A47C5E"/>
    <w:rsid w:val="00A53E16"/>
    <w:rsid w:val="00A6440A"/>
    <w:rsid w:val="00A64787"/>
    <w:rsid w:val="00A669D0"/>
    <w:rsid w:val="00A71551"/>
    <w:rsid w:val="00A72EC8"/>
    <w:rsid w:val="00A83F80"/>
    <w:rsid w:val="00A91554"/>
    <w:rsid w:val="00A92F94"/>
    <w:rsid w:val="00AA37C3"/>
    <w:rsid w:val="00AB175F"/>
    <w:rsid w:val="00AB3F9E"/>
    <w:rsid w:val="00AC3357"/>
    <w:rsid w:val="00AC71D0"/>
    <w:rsid w:val="00AD75F1"/>
    <w:rsid w:val="00AE3F56"/>
    <w:rsid w:val="00AE4C7E"/>
    <w:rsid w:val="00AE53C0"/>
    <w:rsid w:val="00AE7139"/>
    <w:rsid w:val="00B02AC7"/>
    <w:rsid w:val="00B07152"/>
    <w:rsid w:val="00B075CD"/>
    <w:rsid w:val="00B16FAB"/>
    <w:rsid w:val="00B210C4"/>
    <w:rsid w:val="00B35BD7"/>
    <w:rsid w:val="00B36C50"/>
    <w:rsid w:val="00B40696"/>
    <w:rsid w:val="00B46386"/>
    <w:rsid w:val="00B47C0B"/>
    <w:rsid w:val="00B501A4"/>
    <w:rsid w:val="00B5177B"/>
    <w:rsid w:val="00B5764A"/>
    <w:rsid w:val="00B6285B"/>
    <w:rsid w:val="00B62A9D"/>
    <w:rsid w:val="00B64B83"/>
    <w:rsid w:val="00B77324"/>
    <w:rsid w:val="00B82AAC"/>
    <w:rsid w:val="00B834B0"/>
    <w:rsid w:val="00B83761"/>
    <w:rsid w:val="00B87E47"/>
    <w:rsid w:val="00BA18FC"/>
    <w:rsid w:val="00BB0540"/>
    <w:rsid w:val="00BB5788"/>
    <w:rsid w:val="00BB58A2"/>
    <w:rsid w:val="00BD0536"/>
    <w:rsid w:val="00BD1C43"/>
    <w:rsid w:val="00BE1C92"/>
    <w:rsid w:val="00BE7C5E"/>
    <w:rsid w:val="00BF4088"/>
    <w:rsid w:val="00BF5E3F"/>
    <w:rsid w:val="00C01EFA"/>
    <w:rsid w:val="00C02636"/>
    <w:rsid w:val="00C0479E"/>
    <w:rsid w:val="00C07DEE"/>
    <w:rsid w:val="00C10008"/>
    <w:rsid w:val="00C14EBD"/>
    <w:rsid w:val="00C215BE"/>
    <w:rsid w:val="00C303C0"/>
    <w:rsid w:val="00C30848"/>
    <w:rsid w:val="00C30994"/>
    <w:rsid w:val="00C41200"/>
    <w:rsid w:val="00C45422"/>
    <w:rsid w:val="00C456F0"/>
    <w:rsid w:val="00C50126"/>
    <w:rsid w:val="00C6517B"/>
    <w:rsid w:val="00C767F1"/>
    <w:rsid w:val="00C91B99"/>
    <w:rsid w:val="00C92056"/>
    <w:rsid w:val="00CA5B9B"/>
    <w:rsid w:val="00CA5DF2"/>
    <w:rsid w:val="00CB6CDE"/>
    <w:rsid w:val="00CD59B3"/>
    <w:rsid w:val="00CD7081"/>
    <w:rsid w:val="00CE7071"/>
    <w:rsid w:val="00D025AF"/>
    <w:rsid w:val="00D0396C"/>
    <w:rsid w:val="00D12185"/>
    <w:rsid w:val="00D21997"/>
    <w:rsid w:val="00D24B86"/>
    <w:rsid w:val="00D25D76"/>
    <w:rsid w:val="00D26B70"/>
    <w:rsid w:val="00D275A9"/>
    <w:rsid w:val="00D31E15"/>
    <w:rsid w:val="00D335A3"/>
    <w:rsid w:val="00D44E3C"/>
    <w:rsid w:val="00D45FEE"/>
    <w:rsid w:val="00D565E8"/>
    <w:rsid w:val="00D66D5D"/>
    <w:rsid w:val="00D70290"/>
    <w:rsid w:val="00D75D65"/>
    <w:rsid w:val="00D77EE2"/>
    <w:rsid w:val="00D81C27"/>
    <w:rsid w:val="00D83348"/>
    <w:rsid w:val="00D86B17"/>
    <w:rsid w:val="00D904A8"/>
    <w:rsid w:val="00D93776"/>
    <w:rsid w:val="00D97293"/>
    <w:rsid w:val="00DA1EBF"/>
    <w:rsid w:val="00DA347E"/>
    <w:rsid w:val="00DA416F"/>
    <w:rsid w:val="00DC1A2B"/>
    <w:rsid w:val="00DC5CB6"/>
    <w:rsid w:val="00DD0FC4"/>
    <w:rsid w:val="00DD49FD"/>
    <w:rsid w:val="00DE2F3C"/>
    <w:rsid w:val="00DE332B"/>
    <w:rsid w:val="00DE5B6E"/>
    <w:rsid w:val="00DE7DBC"/>
    <w:rsid w:val="00E044D6"/>
    <w:rsid w:val="00E04CBD"/>
    <w:rsid w:val="00E15DE8"/>
    <w:rsid w:val="00E26533"/>
    <w:rsid w:val="00E27BDB"/>
    <w:rsid w:val="00E35A55"/>
    <w:rsid w:val="00E36EF3"/>
    <w:rsid w:val="00E56EF4"/>
    <w:rsid w:val="00E70263"/>
    <w:rsid w:val="00E708FF"/>
    <w:rsid w:val="00E71AE8"/>
    <w:rsid w:val="00E73211"/>
    <w:rsid w:val="00E7472A"/>
    <w:rsid w:val="00E80F0A"/>
    <w:rsid w:val="00E817F2"/>
    <w:rsid w:val="00E82A89"/>
    <w:rsid w:val="00E8468F"/>
    <w:rsid w:val="00E94BBD"/>
    <w:rsid w:val="00E94CBE"/>
    <w:rsid w:val="00E97DE6"/>
    <w:rsid w:val="00EA0064"/>
    <w:rsid w:val="00EA454D"/>
    <w:rsid w:val="00EA66C7"/>
    <w:rsid w:val="00EA67FD"/>
    <w:rsid w:val="00EC13D4"/>
    <w:rsid w:val="00ED1220"/>
    <w:rsid w:val="00ED23D7"/>
    <w:rsid w:val="00ED3855"/>
    <w:rsid w:val="00ED467B"/>
    <w:rsid w:val="00EE1B74"/>
    <w:rsid w:val="00EE5264"/>
    <w:rsid w:val="00EE69BF"/>
    <w:rsid w:val="00F0028C"/>
    <w:rsid w:val="00F071E7"/>
    <w:rsid w:val="00F07759"/>
    <w:rsid w:val="00F147A6"/>
    <w:rsid w:val="00F35AFA"/>
    <w:rsid w:val="00F3627C"/>
    <w:rsid w:val="00F36D09"/>
    <w:rsid w:val="00F40C99"/>
    <w:rsid w:val="00F41010"/>
    <w:rsid w:val="00F4670C"/>
    <w:rsid w:val="00F53AB8"/>
    <w:rsid w:val="00F5740C"/>
    <w:rsid w:val="00F71266"/>
    <w:rsid w:val="00F765F0"/>
    <w:rsid w:val="00F872D1"/>
    <w:rsid w:val="00F92321"/>
    <w:rsid w:val="00F933F2"/>
    <w:rsid w:val="00F96D7B"/>
    <w:rsid w:val="00F97326"/>
    <w:rsid w:val="00FA1D74"/>
    <w:rsid w:val="00FA295D"/>
    <w:rsid w:val="00FA7624"/>
    <w:rsid w:val="00FC11A1"/>
    <w:rsid w:val="00FC352B"/>
    <w:rsid w:val="00FD016E"/>
    <w:rsid w:val="00FD1902"/>
    <w:rsid w:val="00FD6537"/>
    <w:rsid w:val="00FE067D"/>
    <w:rsid w:val="00FF4C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E8110E6"/>
  <w14:defaultImageDpi w14:val="300"/>
  <w15:docId w15:val="{224A89B1-5222-1B4D-8574-D1E4CD94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basedOn w:val="Normal"/>
    <w:pPr>
      <w:spacing w:after="240"/>
      <w:ind w:left="1440" w:hanging="1440"/>
    </w:pPr>
    <w:rPr>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styleId="Title">
    <w:name w:val="Title"/>
    <w:basedOn w:val="Normal"/>
    <w:qFormat/>
    <w:pPr>
      <w:spacing w:after="240"/>
      <w:ind w:left="720" w:right="-180" w:hanging="720"/>
      <w:jc w:val="center"/>
    </w:pPr>
    <w:rPr>
      <w:b/>
      <w:bCs/>
    </w:rPr>
  </w:style>
  <w:style w:type="table" w:styleId="TableGrid">
    <w:name w:val="Table Grid"/>
    <w:basedOn w:val="TableNormal"/>
    <w:uiPriority w:val="59"/>
    <w:rsid w:val="003A36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A477C2"/>
    <w:pPr>
      <w:spacing w:after="360"/>
      <w:ind w:right="-187"/>
    </w:pPr>
  </w:style>
  <w:style w:type="character" w:customStyle="1" w:styleId="BodyTextChar">
    <w:name w:val="Body Text Char"/>
    <w:basedOn w:val="DefaultParagraphFont"/>
    <w:link w:val="BodyText"/>
    <w:rsid w:val="00A477C2"/>
  </w:style>
  <w:style w:type="paragraph" w:styleId="ListParagraph">
    <w:name w:val="List Paragraph"/>
    <w:basedOn w:val="Normal"/>
    <w:uiPriority w:val="34"/>
    <w:qFormat/>
    <w:rsid w:val="00A477C2"/>
    <w:pPr>
      <w:ind w:left="720"/>
      <w:contextualSpacing/>
    </w:pPr>
  </w:style>
  <w:style w:type="character" w:styleId="CommentReference">
    <w:name w:val="annotation reference"/>
    <w:basedOn w:val="DefaultParagraphFont"/>
    <w:uiPriority w:val="99"/>
    <w:semiHidden/>
    <w:unhideWhenUsed/>
    <w:rsid w:val="002E1646"/>
    <w:rPr>
      <w:sz w:val="16"/>
      <w:szCs w:val="16"/>
    </w:rPr>
  </w:style>
  <w:style w:type="paragraph" w:styleId="CommentText">
    <w:name w:val="annotation text"/>
    <w:basedOn w:val="Normal"/>
    <w:link w:val="CommentTextChar"/>
    <w:uiPriority w:val="99"/>
    <w:semiHidden/>
    <w:unhideWhenUsed/>
    <w:rsid w:val="002E1646"/>
    <w:rPr>
      <w:sz w:val="20"/>
      <w:szCs w:val="20"/>
    </w:rPr>
  </w:style>
  <w:style w:type="character" w:customStyle="1" w:styleId="CommentTextChar">
    <w:name w:val="Comment Text Char"/>
    <w:basedOn w:val="DefaultParagraphFont"/>
    <w:link w:val="CommentText"/>
    <w:uiPriority w:val="99"/>
    <w:semiHidden/>
    <w:rsid w:val="002E1646"/>
    <w:rPr>
      <w:sz w:val="20"/>
      <w:szCs w:val="20"/>
    </w:rPr>
  </w:style>
  <w:style w:type="paragraph" w:styleId="CommentSubject">
    <w:name w:val="annotation subject"/>
    <w:basedOn w:val="CommentText"/>
    <w:next w:val="CommentText"/>
    <w:link w:val="CommentSubjectChar"/>
    <w:uiPriority w:val="99"/>
    <w:semiHidden/>
    <w:unhideWhenUsed/>
    <w:rsid w:val="002E1646"/>
    <w:rPr>
      <w:b/>
      <w:bCs/>
    </w:rPr>
  </w:style>
  <w:style w:type="character" w:customStyle="1" w:styleId="CommentSubjectChar">
    <w:name w:val="Comment Subject Char"/>
    <w:basedOn w:val="CommentTextChar"/>
    <w:link w:val="CommentSubject"/>
    <w:uiPriority w:val="99"/>
    <w:semiHidden/>
    <w:rsid w:val="002E1646"/>
    <w:rPr>
      <w:b/>
      <w:bCs/>
      <w:sz w:val="20"/>
      <w:szCs w:val="20"/>
    </w:rPr>
  </w:style>
  <w:style w:type="paragraph" w:styleId="BalloonText">
    <w:name w:val="Balloon Text"/>
    <w:basedOn w:val="Normal"/>
    <w:link w:val="BalloonTextChar"/>
    <w:uiPriority w:val="99"/>
    <w:semiHidden/>
    <w:unhideWhenUsed/>
    <w:rsid w:val="002E1646"/>
    <w:rPr>
      <w:sz w:val="18"/>
      <w:szCs w:val="18"/>
    </w:rPr>
  </w:style>
  <w:style w:type="character" w:customStyle="1" w:styleId="BalloonTextChar">
    <w:name w:val="Balloon Text Char"/>
    <w:basedOn w:val="DefaultParagraphFont"/>
    <w:link w:val="BalloonText"/>
    <w:uiPriority w:val="99"/>
    <w:semiHidden/>
    <w:rsid w:val="002E1646"/>
    <w:rPr>
      <w:sz w:val="18"/>
      <w:szCs w:val="18"/>
    </w:rPr>
  </w:style>
  <w:style w:type="character" w:styleId="UnresolvedMention">
    <w:name w:val="Unresolved Mention"/>
    <w:basedOn w:val="DefaultParagraphFont"/>
    <w:uiPriority w:val="99"/>
    <w:semiHidden/>
    <w:unhideWhenUsed/>
    <w:rsid w:val="00831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85156">
      <w:bodyDiv w:val="1"/>
      <w:marLeft w:val="0"/>
      <w:marRight w:val="0"/>
      <w:marTop w:val="0"/>
      <w:marBottom w:val="0"/>
      <w:divBdr>
        <w:top w:val="none" w:sz="0" w:space="0" w:color="auto"/>
        <w:left w:val="none" w:sz="0" w:space="0" w:color="auto"/>
        <w:bottom w:val="none" w:sz="0" w:space="0" w:color="auto"/>
        <w:right w:val="none" w:sz="0" w:space="0" w:color="auto"/>
      </w:divBdr>
    </w:div>
    <w:div w:id="774596532">
      <w:bodyDiv w:val="1"/>
      <w:marLeft w:val="0"/>
      <w:marRight w:val="0"/>
      <w:marTop w:val="0"/>
      <w:marBottom w:val="0"/>
      <w:divBdr>
        <w:top w:val="none" w:sz="0" w:space="0" w:color="auto"/>
        <w:left w:val="none" w:sz="0" w:space="0" w:color="auto"/>
        <w:bottom w:val="none" w:sz="0" w:space="0" w:color="auto"/>
        <w:right w:val="none" w:sz="0" w:space="0" w:color="auto"/>
      </w:divBdr>
    </w:div>
    <w:div w:id="1357271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academic-policies" TargetMode="External"/><Relationship Id="rId13" Type="http://schemas.openxmlformats.org/officeDocument/2006/relationships/hyperlink" Target="https://evaluations.ufl.edu/results/"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s://www.law.ufl.edu/life-at-uf-law/office-of-student-affairs/current-students/forms-applications/exam-delays-accommodations-form" TargetMode="External"/><Relationship Id="rId12" Type="http://schemas.openxmlformats.org/officeDocument/2006/relationships/hyperlink" Target="https://evaluations.ufl.ed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ch.ufl.edu/resource-library/syllabu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www.dso.ufl.edu/%20sccr/process/student-conduct-honor-cod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disability.ufl.edu/students/accommodations/" TargetMode="Externa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SYLLABUS - TAXATION 747, FALL 2002</vt:lpstr>
    </vt:vector>
  </TitlesOfParts>
  <Company>univ of michigan</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 TAXATION 747, FALL 2002</dc:title>
  <dc:subject/>
  <dc:creator>David Hasen</dc:creator>
  <cp:keywords/>
  <dc:description/>
  <cp:lastModifiedBy>Hasen,David</cp:lastModifiedBy>
  <cp:revision>3</cp:revision>
  <cp:lastPrinted>2017-10-19T05:39:00Z</cp:lastPrinted>
  <dcterms:created xsi:type="dcterms:W3CDTF">2021-12-27T17:36:00Z</dcterms:created>
  <dcterms:modified xsi:type="dcterms:W3CDTF">2022-01-03T16:28:00Z</dcterms:modified>
</cp:coreProperties>
</file>