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8C94" w14:textId="0FD8BF77" w:rsidR="00BB13DF" w:rsidRDefault="00BB13DF" w:rsidP="007C049C">
      <w:pPr>
        <w:pStyle w:val="Title"/>
        <w:ind w:left="4320"/>
        <w:jc w:val="right"/>
        <w:rPr>
          <w:smallCaps/>
          <w:sz w:val="32"/>
          <w:szCs w:val="32"/>
          <w:u w:val="none"/>
        </w:rPr>
      </w:pPr>
    </w:p>
    <w:p w14:paraId="29DFCA21" w14:textId="0935E5F1" w:rsidR="007C049C" w:rsidRDefault="00807676" w:rsidP="007C049C">
      <w:pPr>
        <w:pStyle w:val="Title"/>
        <w:ind w:left="4320"/>
        <w:jc w:val="right"/>
        <w:rPr>
          <w:smallCaps/>
          <w:sz w:val="32"/>
          <w:szCs w:val="32"/>
          <w:u w:val="none"/>
        </w:rPr>
      </w:pPr>
      <w:r>
        <w:rPr>
          <w:smallCaps/>
          <w:noProof/>
          <w:sz w:val="32"/>
          <w:szCs w:val="32"/>
          <w:u w:val="none"/>
        </w:rPr>
        <w:drawing>
          <wp:anchor distT="0" distB="0" distL="114300" distR="114300" simplePos="0" relativeHeight="251658752" behindDoc="0" locked="0" layoutInCell="1" allowOverlap="1" wp14:anchorId="3FECD5EC" wp14:editId="1BA8EBE4">
            <wp:simplePos x="0" y="0"/>
            <wp:positionH relativeFrom="margin">
              <wp:align>left</wp:align>
            </wp:positionH>
            <wp:positionV relativeFrom="margin">
              <wp:posOffset>245110</wp:posOffset>
            </wp:positionV>
            <wp:extent cx="3022600" cy="99885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9055" cy="1014411"/>
                    </a:xfrm>
                    <a:prstGeom prst="rect">
                      <a:avLst/>
                    </a:prstGeom>
                  </pic:spPr>
                </pic:pic>
              </a:graphicData>
            </a:graphic>
            <wp14:sizeRelH relativeFrom="margin">
              <wp14:pctWidth>0</wp14:pctWidth>
            </wp14:sizeRelH>
            <wp14:sizeRelV relativeFrom="margin">
              <wp14:pctHeight>0</wp14:pctHeight>
            </wp14:sizeRelV>
          </wp:anchor>
        </w:drawing>
      </w:r>
      <w:r w:rsidR="00BB13DF">
        <w:rPr>
          <w:smallCaps/>
          <w:sz w:val="32"/>
          <w:szCs w:val="32"/>
          <w:u w:val="none"/>
        </w:rPr>
        <w:t>Water</w:t>
      </w:r>
      <w:r w:rsidR="00BC5415">
        <w:rPr>
          <w:smallCaps/>
          <w:sz w:val="32"/>
          <w:szCs w:val="32"/>
          <w:u w:val="none"/>
        </w:rPr>
        <w:t xml:space="preserve"> Law &amp; Policy</w:t>
      </w:r>
      <w:r w:rsidR="00570839">
        <w:rPr>
          <w:smallCaps/>
          <w:sz w:val="32"/>
          <w:szCs w:val="32"/>
          <w:u w:val="none"/>
        </w:rPr>
        <w:t xml:space="preserve"> </w:t>
      </w:r>
    </w:p>
    <w:p w14:paraId="095A2EF5" w14:textId="21EEC90F" w:rsidR="00570839" w:rsidRPr="0062625D" w:rsidRDefault="00B27FE4" w:rsidP="007C049C">
      <w:pPr>
        <w:pStyle w:val="Title"/>
        <w:ind w:left="5580"/>
        <w:jc w:val="right"/>
        <w:rPr>
          <w:sz w:val="28"/>
          <w:szCs w:val="28"/>
          <w:u w:val="none"/>
        </w:rPr>
      </w:pPr>
      <w:r>
        <w:rPr>
          <w:smallCaps/>
          <w:sz w:val="28"/>
          <w:szCs w:val="28"/>
          <w:u w:val="none"/>
        </w:rPr>
        <w:t>Fall</w:t>
      </w:r>
      <w:r w:rsidR="00570839">
        <w:rPr>
          <w:smallCaps/>
          <w:sz w:val="28"/>
          <w:szCs w:val="28"/>
          <w:u w:val="none"/>
        </w:rPr>
        <w:t xml:space="preserve"> 20</w:t>
      </w:r>
      <w:r w:rsidR="00807676">
        <w:rPr>
          <w:smallCaps/>
          <w:sz w:val="28"/>
          <w:szCs w:val="28"/>
          <w:u w:val="none"/>
        </w:rPr>
        <w:t>21</w:t>
      </w:r>
    </w:p>
    <w:p w14:paraId="63C8193F" w14:textId="77777777" w:rsidR="00570839" w:rsidRDefault="00570839" w:rsidP="00570839">
      <w:pPr>
        <w:jc w:val="right"/>
      </w:pPr>
    </w:p>
    <w:p w14:paraId="0E7D7CD7" w14:textId="77777777" w:rsidR="00BB13DF" w:rsidRPr="00F755EC" w:rsidRDefault="00BB13DF" w:rsidP="00BB13DF">
      <w:pPr>
        <w:pStyle w:val="Title"/>
        <w:jc w:val="right"/>
        <w:rPr>
          <w:u w:val="none"/>
        </w:rPr>
      </w:pPr>
      <w:r w:rsidRPr="00F755EC">
        <w:rPr>
          <w:smallCaps/>
          <w:u w:val="none"/>
        </w:rPr>
        <w:t>Professor Blake Hudson</w:t>
      </w:r>
    </w:p>
    <w:p w14:paraId="7F2AF1F5" w14:textId="77777777" w:rsidR="00BB13DF" w:rsidRDefault="00BB13DF" w:rsidP="00BB13DF">
      <w:pPr>
        <w:jc w:val="right"/>
      </w:pPr>
    </w:p>
    <w:p w14:paraId="2D914A80" w14:textId="43FD5035" w:rsidR="00BB13DF" w:rsidRDefault="00807676" w:rsidP="00BB13DF">
      <w:pPr>
        <w:jc w:val="right"/>
      </w:pPr>
      <w:r>
        <w:t>M</w:t>
      </w:r>
      <w:r w:rsidR="00BB13DF">
        <w:t>/</w:t>
      </w:r>
      <w:r>
        <w:t xml:space="preserve">W </w:t>
      </w:r>
      <w:r w:rsidR="00BA2E8D">
        <w:t>10</w:t>
      </w:r>
      <w:r w:rsidR="00BB13DF">
        <w:t xml:space="preserve">:30 </w:t>
      </w:r>
      <w:r w:rsidR="00BA2E8D">
        <w:t>a</w:t>
      </w:r>
      <w:r w:rsidR="00BB13DF">
        <w:t>m-</w:t>
      </w:r>
      <w:r>
        <w:t>11:55</w:t>
      </w:r>
      <w:r w:rsidR="00C05F12">
        <w:t xml:space="preserve"> pm</w:t>
      </w:r>
    </w:p>
    <w:p w14:paraId="39E3EC23" w14:textId="6E37A960" w:rsidR="00BB13DF" w:rsidRDefault="00BC7321" w:rsidP="00BB13DF">
      <w:pPr>
        <w:jc w:val="right"/>
      </w:pPr>
      <w:r>
        <w:t>MLAC 106</w:t>
      </w:r>
    </w:p>
    <w:p w14:paraId="77E6DA2C" w14:textId="77777777" w:rsidR="000960B2" w:rsidRDefault="000960B2" w:rsidP="00EB556A">
      <w:pPr>
        <w:pBdr>
          <w:bottom w:val="single" w:sz="12" w:space="1" w:color="auto"/>
        </w:pBdr>
      </w:pPr>
    </w:p>
    <w:p w14:paraId="6E4CB38E" w14:textId="77777777" w:rsidR="00F15D6E" w:rsidRDefault="00F15D6E" w:rsidP="00D95804">
      <w:pPr>
        <w:jc w:val="center"/>
      </w:pPr>
    </w:p>
    <w:p w14:paraId="0F914C3E" w14:textId="24D9140B" w:rsidR="00BB13DF" w:rsidRDefault="00BB13DF" w:rsidP="00BB13DF">
      <w:r>
        <w:t xml:space="preserve">Office: </w:t>
      </w:r>
      <w:r w:rsidR="00807676">
        <w:t>HOL 378</w:t>
      </w:r>
    </w:p>
    <w:p w14:paraId="5426B187" w14:textId="61EF60C1" w:rsidR="00BB13DF" w:rsidRDefault="00BB13DF" w:rsidP="00BB13DF">
      <w:r>
        <w:t xml:space="preserve">Email:  </w:t>
      </w:r>
      <w:bookmarkStart w:id="0" w:name="_Hlk78634177"/>
      <w:r w:rsidR="00807676">
        <w:t>hudsonb@law.ufl.edu</w:t>
      </w:r>
      <w:bookmarkEnd w:id="0"/>
    </w:p>
    <w:p w14:paraId="6B755B10" w14:textId="375FB7B6" w:rsidR="00BB13DF" w:rsidRDefault="00BB13DF" w:rsidP="00BB13DF">
      <w:r>
        <w:t>Phone: (281) 713-0222 (cell)</w:t>
      </w:r>
    </w:p>
    <w:p w14:paraId="1033588C" w14:textId="77777777" w:rsidR="00BB13DF" w:rsidRDefault="00BB13DF" w:rsidP="00BB13DF">
      <w:r>
        <w:t xml:space="preserve">Best way to contact me: </w:t>
      </w:r>
      <w:r w:rsidRPr="0019191D">
        <w:rPr>
          <w:b/>
        </w:rPr>
        <w:t>email</w:t>
      </w:r>
    </w:p>
    <w:p w14:paraId="1CD89D59" w14:textId="77777777" w:rsidR="00BB13DF" w:rsidRDefault="00BB13DF" w:rsidP="00BB13DF">
      <w:pPr>
        <w:pStyle w:val="Title"/>
        <w:jc w:val="left"/>
        <w:rPr>
          <w:smallCaps/>
          <w:sz w:val="28"/>
          <w:szCs w:val="28"/>
          <w:u w:val="none"/>
        </w:rPr>
      </w:pPr>
    </w:p>
    <w:p w14:paraId="3D19126F" w14:textId="0D5FFBAD" w:rsidR="00BB13DF" w:rsidRPr="008F3CBB" w:rsidRDefault="00BB13DF" w:rsidP="00BB13DF">
      <w:pPr>
        <w:pStyle w:val="Title"/>
        <w:jc w:val="left"/>
        <w:rPr>
          <w:sz w:val="28"/>
          <w:szCs w:val="28"/>
          <w:u w:val="none"/>
        </w:rPr>
      </w:pPr>
      <w:r>
        <w:rPr>
          <w:smallCaps/>
          <w:sz w:val="28"/>
          <w:szCs w:val="28"/>
          <w:u w:val="none"/>
        </w:rPr>
        <w:t>Office Hours:</w:t>
      </w:r>
      <w:r>
        <w:rPr>
          <w:smallCaps/>
          <w:sz w:val="28"/>
          <w:szCs w:val="28"/>
          <w:u w:val="none"/>
        </w:rPr>
        <w:tab/>
      </w:r>
      <w:bookmarkStart w:id="1" w:name="_Hlk78634196"/>
      <w:r w:rsidR="00807676">
        <w:rPr>
          <w:b w:val="0"/>
          <w:u w:val="none"/>
        </w:rPr>
        <w:t>M/W 1:00-2:00 (otherwise available by appointment)</w:t>
      </w:r>
      <w:bookmarkEnd w:id="1"/>
    </w:p>
    <w:p w14:paraId="05E50186" w14:textId="77777777" w:rsidR="000960B2" w:rsidRDefault="000960B2" w:rsidP="00CA4539">
      <w:pPr>
        <w:pStyle w:val="Title"/>
        <w:jc w:val="left"/>
        <w:rPr>
          <w:smallCaps/>
          <w:sz w:val="28"/>
          <w:szCs w:val="28"/>
          <w:u w:val="none"/>
        </w:rPr>
      </w:pPr>
    </w:p>
    <w:p w14:paraId="3D7812F3" w14:textId="77777777" w:rsidR="00A452EC" w:rsidRPr="00CA4539" w:rsidRDefault="00CA4539" w:rsidP="00CA4539">
      <w:pPr>
        <w:pStyle w:val="Title"/>
        <w:jc w:val="left"/>
        <w:rPr>
          <w:sz w:val="28"/>
          <w:szCs w:val="28"/>
        </w:rPr>
      </w:pPr>
      <w:r w:rsidRPr="00CA4539">
        <w:rPr>
          <w:smallCaps/>
          <w:sz w:val="28"/>
          <w:szCs w:val="28"/>
          <w:u w:val="none"/>
        </w:rPr>
        <w:t>Overview and Goals of the Course</w:t>
      </w:r>
    </w:p>
    <w:p w14:paraId="427BC0A1" w14:textId="77777777" w:rsidR="00A452EC" w:rsidRDefault="00A452EC" w:rsidP="00D95804">
      <w:pPr>
        <w:ind w:firstLine="720"/>
      </w:pPr>
    </w:p>
    <w:p w14:paraId="2099BDDA" w14:textId="77777777" w:rsidR="008A1113" w:rsidRDefault="0011578A" w:rsidP="008A1113">
      <w:pPr>
        <w:jc w:val="both"/>
      </w:pPr>
      <w:r>
        <w:tab/>
      </w:r>
      <w:r w:rsidR="00E3330F">
        <w:t xml:space="preserve">Water is the natural resource most essential to life. As human populations increase, water resources are </w:t>
      </w:r>
      <w:r w:rsidR="00BA2E8D">
        <w:t>evermore</w:t>
      </w:r>
      <w:r w:rsidR="00E3330F">
        <w:t xml:space="preserve"> stressed. This stress has both quantitative and qualitative components</w:t>
      </w:r>
      <w:r w:rsidR="00F926CB">
        <w:t>—</w:t>
      </w:r>
      <w:r w:rsidR="00E3330F">
        <w:t xml:space="preserve">the volume of </w:t>
      </w:r>
      <w:r w:rsidR="009F1208">
        <w:t xml:space="preserve">important </w:t>
      </w:r>
      <w:r w:rsidR="00E3330F">
        <w:t xml:space="preserve">water resources </w:t>
      </w:r>
      <w:r w:rsidR="00F926CB">
        <w:t xml:space="preserve">in many locations is becoming strained and </w:t>
      </w:r>
      <w:r w:rsidR="009F1208">
        <w:t xml:space="preserve">water </w:t>
      </w:r>
      <w:r w:rsidR="00F926CB">
        <w:t xml:space="preserve">in other locations </w:t>
      </w:r>
      <w:r w:rsidR="009F1208">
        <w:t xml:space="preserve">is polluted through industrial, agricultural, and other human development activities. In </w:t>
      </w:r>
      <w:r w:rsidR="008D3DDB">
        <w:t>t</w:t>
      </w:r>
      <w:r w:rsidR="003F28A8">
        <w:t xml:space="preserve">his course </w:t>
      </w:r>
      <w:r w:rsidR="004B1D33">
        <w:t xml:space="preserve">we </w:t>
      </w:r>
      <w:r w:rsidR="003F28A8">
        <w:t xml:space="preserve">will </w:t>
      </w:r>
      <w:r w:rsidR="009F1208">
        <w:t>explore legal regimes for managing both water quantity and quality. We will discuss the common law origins of water law</w:t>
      </w:r>
      <w:r w:rsidR="004B1D33">
        <w:t>;</w:t>
      </w:r>
      <w:r w:rsidR="00357495">
        <w:t xml:space="preserve"> modern state legislative provisions aimed at modifying common law regimes</w:t>
      </w:r>
      <w:r w:rsidR="004B1D33">
        <w:t xml:space="preserve">; federal water interests; water quality regulation (state and federal); the intersection of water management and </w:t>
      </w:r>
      <w:r w:rsidR="00BA2E8D">
        <w:t>the</w:t>
      </w:r>
      <w:r w:rsidR="004B1D33">
        <w:t xml:space="preserve"> management of </w:t>
      </w:r>
      <w:r w:rsidR="00BA2E8D">
        <w:t xml:space="preserve">other </w:t>
      </w:r>
      <w:r w:rsidR="004B1D33">
        <w:t>natural resources, like endangered species; and constitutional issues related to water regulation.</w:t>
      </w:r>
      <w:r w:rsidR="000D2278">
        <w:t xml:space="preserve"> </w:t>
      </w:r>
    </w:p>
    <w:p w14:paraId="4515141C" w14:textId="77777777" w:rsidR="00486174" w:rsidRDefault="00486174" w:rsidP="008A1113">
      <w:pPr>
        <w:jc w:val="both"/>
      </w:pPr>
    </w:p>
    <w:p w14:paraId="54B14DB0" w14:textId="77777777" w:rsidR="000960B2" w:rsidRDefault="005F583E" w:rsidP="00550E48">
      <w:pPr>
        <w:ind w:firstLine="720"/>
        <w:jc w:val="both"/>
      </w:pPr>
      <w:r>
        <w:t xml:space="preserve">We will </w:t>
      </w:r>
      <w:r w:rsidR="00486174">
        <w:t xml:space="preserve">study </w:t>
      </w:r>
      <w:r w:rsidR="004B1D33">
        <w:t>water</w:t>
      </w:r>
      <w:r w:rsidR="00486174">
        <w:t xml:space="preserve"> law and policy</w:t>
      </w:r>
      <w:r>
        <w:t xml:space="preserve"> by </w:t>
      </w:r>
      <w:r w:rsidR="004B1D33">
        <w:t>reviewing</w:t>
      </w:r>
      <w:r>
        <w:t xml:space="preserve"> </w:t>
      </w:r>
      <w:r w:rsidR="000D2278">
        <w:t>scholarly</w:t>
      </w:r>
      <w:r w:rsidR="004B1D33">
        <w:t xml:space="preserve"> articles, </w:t>
      </w:r>
      <w:r w:rsidR="000E4461">
        <w:t xml:space="preserve">case law, </w:t>
      </w:r>
      <w:r w:rsidR="00E23FEC">
        <w:t xml:space="preserve">and </w:t>
      </w:r>
      <w:r w:rsidR="004B1D33">
        <w:t xml:space="preserve">water management </w:t>
      </w:r>
      <w:r w:rsidR="005205F6">
        <w:t>statutes and regulations</w:t>
      </w:r>
      <w:r>
        <w:t>.</w:t>
      </w:r>
      <w:r w:rsidR="004A2838">
        <w:t xml:space="preserve"> </w:t>
      </w:r>
      <w:r w:rsidR="004B1D33">
        <w:t>While we will</w:t>
      </w:r>
      <w:r w:rsidR="004A2838" w:rsidRPr="004A2838">
        <w:t xml:space="preserve"> focus on the </w:t>
      </w:r>
      <w:r w:rsidR="005D31EF">
        <w:t xml:space="preserve">most </w:t>
      </w:r>
      <w:r w:rsidR="004A2838" w:rsidRPr="004A2838">
        <w:t xml:space="preserve">significant laws and cases, this course will also emphasize the scientific, political and </w:t>
      </w:r>
      <w:r w:rsidR="004B1D33">
        <w:t>economic issues driving water use and management</w:t>
      </w:r>
      <w:r w:rsidR="004A2838" w:rsidRPr="004A2838">
        <w:t xml:space="preserve"> conflicts.</w:t>
      </w:r>
      <w:r w:rsidR="004A2838">
        <w:t xml:space="preserve"> </w:t>
      </w:r>
      <w:r w:rsidR="008F25E3">
        <w:t>Further</w:t>
      </w:r>
      <w:r w:rsidR="00F926CB">
        <w:t>more, we will discuss the cross-</w:t>
      </w:r>
      <w:r w:rsidR="008F25E3">
        <w:t xml:space="preserve">section of </w:t>
      </w:r>
      <w:r w:rsidR="004B1D33">
        <w:t>water</w:t>
      </w:r>
      <w:r w:rsidR="008F25E3">
        <w:t xml:space="preserve"> law and policy with many other areas of law, including </w:t>
      </w:r>
      <w:r w:rsidR="000D2278">
        <w:t>natural resources</w:t>
      </w:r>
      <w:r w:rsidR="008F25E3">
        <w:t>, administrative, property and land use, constitutional, and international law.</w:t>
      </w:r>
    </w:p>
    <w:p w14:paraId="30FE38C6" w14:textId="77777777" w:rsidR="00550E48" w:rsidRDefault="004A2838" w:rsidP="004A2838">
      <w:pPr>
        <w:tabs>
          <w:tab w:val="left" w:pos="1875"/>
        </w:tabs>
        <w:jc w:val="both"/>
        <w:rPr>
          <w:b/>
          <w:smallCaps/>
          <w:sz w:val="28"/>
          <w:szCs w:val="28"/>
        </w:rPr>
      </w:pPr>
      <w:r>
        <w:rPr>
          <w:b/>
          <w:smallCaps/>
          <w:sz w:val="28"/>
          <w:szCs w:val="28"/>
        </w:rPr>
        <w:tab/>
      </w:r>
    </w:p>
    <w:p w14:paraId="23D4C39F" w14:textId="77777777" w:rsidR="00A452EC" w:rsidRPr="00757D5E" w:rsidRDefault="00757D5E" w:rsidP="00DA3FD1">
      <w:pPr>
        <w:jc w:val="both"/>
        <w:rPr>
          <w:b/>
          <w:u w:val="single"/>
        </w:rPr>
      </w:pPr>
      <w:r w:rsidRPr="00757D5E">
        <w:rPr>
          <w:b/>
          <w:smallCaps/>
          <w:sz w:val="28"/>
          <w:szCs w:val="28"/>
        </w:rPr>
        <w:t>Required Text</w:t>
      </w:r>
    </w:p>
    <w:p w14:paraId="34616D60" w14:textId="77777777" w:rsidR="00A452EC" w:rsidRDefault="00A452EC" w:rsidP="00A452EC"/>
    <w:p w14:paraId="18ADC1B6" w14:textId="77777777" w:rsidR="00F336F3" w:rsidRPr="00E3330F" w:rsidRDefault="00E3330F" w:rsidP="00E3330F">
      <w:pPr>
        <w:ind w:left="720"/>
        <w:jc w:val="both"/>
        <w:rPr>
          <w:i/>
        </w:rPr>
      </w:pPr>
      <w:r>
        <w:rPr>
          <w:smallCaps/>
        </w:rPr>
        <w:t>Adler, Craig, and Hall</w:t>
      </w:r>
      <w:r w:rsidR="00757D5E">
        <w:t xml:space="preserve">, </w:t>
      </w:r>
      <w:r>
        <w:rPr>
          <w:i/>
        </w:rPr>
        <w:t>Modern Water</w:t>
      </w:r>
      <w:r w:rsidR="000E4461">
        <w:rPr>
          <w:i/>
        </w:rPr>
        <w:t xml:space="preserve"> Law</w:t>
      </w:r>
      <w:r w:rsidR="00A56B0F">
        <w:rPr>
          <w:i/>
        </w:rPr>
        <w:t xml:space="preserve"> </w:t>
      </w:r>
      <w:r w:rsidR="00A452EC">
        <w:t>(</w:t>
      </w:r>
      <w:r w:rsidR="00757D5E">
        <w:t xml:space="preserve">Foundation Press, </w:t>
      </w:r>
      <w:r w:rsidR="009C6A80">
        <w:t>2</w:t>
      </w:r>
      <w:r w:rsidR="009C6A80" w:rsidRPr="009C6A80">
        <w:rPr>
          <w:vertAlign w:val="superscript"/>
        </w:rPr>
        <w:t>nd</w:t>
      </w:r>
      <w:r w:rsidR="009C6A80">
        <w:t xml:space="preserve"> Ed. </w:t>
      </w:r>
      <w:r>
        <w:t>201</w:t>
      </w:r>
      <w:r w:rsidR="00B27FE4">
        <w:t>8</w:t>
      </w:r>
      <w:r w:rsidR="00A452EC">
        <w:t>)</w:t>
      </w:r>
    </w:p>
    <w:p w14:paraId="5CED21AE" w14:textId="77777777" w:rsidR="004A2838" w:rsidRDefault="004A2838" w:rsidP="004A593F">
      <w:pPr>
        <w:jc w:val="both"/>
      </w:pPr>
    </w:p>
    <w:p w14:paraId="103203C1" w14:textId="48AAD001" w:rsidR="00757D5E" w:rsidRDefault="00A452EC" w:rsidP="004A593F">
      <w:pPr>
        <w:jc w:val="both"/>
      </w:pPr>
      <w:r>
        <w:tab/>
      </w:r>
      <w:r w:rsidR="00A56B0F">
        <w:t>I may</w:t>
      </w:r>
      <w:r w:rsidR="00757D5E">
        <w:t xml:space="preserve"> </w:t>
      </w:r>
      <w:r w:rsidR="00E862A9">
        <w:t>assign</w:t>
      </w:r>
      <w:r w:rsidR="0011578A">
        <w:t xml:space="preserve"> PDF</w:t>
      </w:r>
      <w:r w:rsidR="006C60FF">
        <w:t xml:space="preserve">s </w:t>
      </w:r>
      <w:r w:rsidR="000E4461">
        <w:t xml:space="preserve">or other </w:t>
      </w:r>
      <w:r w:rsidR="00757D5E">
        <w:t>supplemental readings from time</w:t>
      </w:r>
      <w:r w:rsidR="00A56B0F">
        <w:t xml:space="preserve"> to time</w:t>
      </w:r>
      <w:r w:rsidR="00757D5E">
        <w:t>.</w:t>
      </w:r>
      <w:r w:rsidR="00E662FC">
        <w:t xml:space="preserve"> </w:t>
      </w:r>
      <w:r w:rsidR="006C60FF">
        <w:t>These may be found under “</w:t>
      </w:r>
      <w:r w:rsidR="00A74EBD">
        <w:t>supplemental reading materials</w:t>
      </w:r>
      <w:r w:rsidR="006C60FF">
        <w:t xml:space="preserve">” </w:t>
      </w:r>
      <w:r w:rsidR="006C60FF" w:rsidRPr="008F3CBB">
        <w:t xml:space="preserve">on </w:t>
      </w:r>
      <w:r w:rsidR="002414FF">
        <w:t>Canvas</w:t>
      </w:r>
      <w:r w:rsidR="006C60FF" w:rsidRPr="008F3CBB">
        <w:t>. If</w:t>
      </w:r>
      <w:r w:rsidR="006C60FF">
        <w:t xml:space="preserve"> you have trouble accessing </w:t>
      </w:r>
      <w:r w:rsidR="002414FF">
        <w:t>Canvas</w:t>
      </w:r>
      <w:r w:rsidR="006C60FF">
        <w:t xml:space="preserve"> for any reason, please let me know.  </w:t>
      </w:r>
    </w:p>
    <w:p w14:paraId="69C6BA09" w14:textId="77777777" w:rsidR="00D358FC" w:rsidRDefault="00D358FC" w:rsidP="004A593F">
      <w:pPr>
        <w:jc w:val="both"/>
      </w:pPr>
    </w:p>
    <w:p w14:paraId="07DBCA95" w14:textId="77777777" w:rsidR="004A2838" w:rsidRPr="00F00019" w:rsidRDefault="004A2838" w:rsidP="000A19E6">
      <w:pPr>
        <w:jc w:val="both"/>
        <w:rPr>
          <w:b/>
          <w:i/>
          <w:smallCaps/>
          <w:sz w:val="28"/>
          <w:szCs w:val="28"/>
          <w:u w:val="single"/>
        </w:rPr>
      </w:pPr>
      <w:r>
        <w:rPr>
          <w:b/>
          <w:smallCaps/>
          <w:sz w:val="28"/>
          <w:szCs w:val="28"/>
        </w:rPr>
        <w:t>Laptop</w:t>
      </w:r>
      <w:r w:rsidR="00F974BF">
        <w:rPr>
          <w:b/>
          <w:smallCaps/>
          <w:sz w:val="28"/>
          <w:szCs w:val="28"/>
        </w:rPr>
        <w:t xml:space="preserve"> and Technology</w:t>
      </w:r>
      <w:r>
        <w:rPr>
          <w:b/>
          <w:smallCaps/>
          <w:sz w:val="28"/>
          <w:szCs w:val="28"/>
        </w:rPr>
        <w:t xml:space="preserve"> Policy</w:t>
      </w:r>
      <w:r w:rsidR="00F00019">
        <w:rPr>
          <w:b/>
          <w:smallCaps/>
          <w:sz w:val="28"/>
          <w:szCs w:val="28"/>
        </w:rPr>
        <w:t xml:space="preserve"> – </w:t>
      </w:r>
      <w:r w:rsidR="00F00019">
        <w:rPr>
          <w:b/>
          <w:i/>
          <w:smallCaps/>
          <w:sz w:val="28"/>
          <w:szCs w:val="28"/>
          <w:u w:val="single"/>
        </w:rPr>
        <w:t>*PLEASE NOTE*</w:t>
      </w:r>
    </w:p>
    <w:p w14:paraId="15F76B68" w14:textId="77777777" w:rsidR="004A2838" w:rsidRPr="004A2838" w:rsidRDefault="004A2838" w:rsidP="000A19E6">
      <w:pPr>
        <w:jc w:val="both"/>
        <w:rPr>
          <w:b/>
          <w:smallCaps/>
        </w:rPr>
      </w:pPr>
    </w:p>
    <w:p w14:paraId="4FE02DE0" w14:textId="77777777" w:rsidR="004A2838" w:rsidRDefault="00F00019" w:rsidP="00F00019">
      <w:pPr>
        <w:ind w:firstLine="720"/>
        <w:jc w:val="both"/>
      </w:pPr>
      <w:r>
        <w:t>I do not allow laptop</w:t>
      </w:r>
      <w:r w:rsidR="00F974BF">
        <w:t>, smartphone, or other technology</w:t>
      </w:r>
      <w:r>
        <w:t xml:space="preserve"> use in the classroom. </w:t>
      </w:r>
      <w:r w:rsidRPr="00F00019">
        <w:t xml:space="preserve">While I appreciate that this is an inconvenience to those who prefer typing their notes during class, </w:t>
      </w:r>
      <w:r w:rsidR="00E26486">
        <w:t xml:space="preserve">after </w:t>
      </w:r>
      <w:r w:rsidR="00E26486">
        <w:lastRenderedPageBreak/>
        <w:t xml:space="preserve">having taught both ways </w:t>
      </w:r>
      <w:r w:rsidRPr="00F00019">
        <w:t xml:space="preserve">I have found that a classroom without the distractions created by </w:t>
      </w:r>
      <w:r w:rsidR="005D31EF">
        <w:t>personal computing devices</w:t>
      </w:r>
      <w:r w:rsidRPr="00F00019">
        <w:t xml:space="preserve"> results in a much better learning environment.</w:t>
      </w:r>
      <w:r w:rsidR="004B1D33">
        <w:t xml:space="preserve"> This is especially true in a smaller course like water law.</w:t>
      </w:r>
    </w:p>
    <w:p w14:paraId="664CD3F2" w14:textId="77777777" w:rsidR="00F00019" w:rsidRDefault="00F00019" w:rsidP="000A19E6">
      <w:pPr>
        <w:jc w:val="both"/>
        <w:rPr>
          <w:b/>
          <w:smallCaps/>
          <w:sz w:val="28"/>
          <w:szCs w:val="28"/>
        </w:rPr>
      </w:pPr>
    </w:p>
    <w:p w14:paraId="2C6BE87F" w14:textId="77777777" w:rsidR="0031022D" w:rsidRDefault="000A19E6" w:rsidP="000A19E6">
      <w:pPr>
        <w:jc w:val="both"/>
        <w:rPr>
          <w:b/>
          <w:bCs/>
        </w:rPr>
      </w:pPr>
      <w:r>
        <w:rPr>
          <w:b/>
          <w:smallCaps/>
          <w:sz w:val="28"/>
          <w:szCs w:val="28"/>
        </w:rPr>
        <w:t>Attendance and Participation</w:t>
      </w:r>
    </w:p>
    <w:p w14:paraId="42C31419" w14:textId="77777777" w:rsidR="0031022D" w:rsidRDefault="0031022D" w:rsidP="000A19E6">
      <w:pPr>
        <w:jc w:val="both"/>
        <w:rPr>
          <w:b/>
          <w:bCs/>
        </w:rPr>
      </w:pPr>
    </w:p>
    <w:p w14:paraId="7C454098" w14:textId="77777777" w:rsidR="001562C6" w:rsidRDefault="001562C6" w:rsidP="001562C6">
      <w:pPr>
        <w:ind w:firstLine="720"/>
        <w:jc w:val="both"/>
      </w:pPr>
      <w:bookmarkStart w:id="2" w:name="_Hlk78635283"/>
      <w:r w:rsidRPr="000A19E6">
        <w:t xml:space="preserve">This is a vigorous </w:t>
      </w:r>
      <w:r>
        <w:t xml:space="preserve">course and attendance is mandatory. </w:t>
      </w:r>
      <w:r w:rsidRPr="00EB556A">
        <w:t xml:space="preserve">Students missing </w:t>
      </w:r>
      <w:r>
        <w:rPr>
          <w:b/>
          <w:u w:val="single"/>
        </w:rPr>
        <w:t>6</w:t>
      </w:r>
      <w:r w:rsidRPr="00E56C8C">
        <w:rPr>
          <w:b/>
          <w:u w:val="single"/>
        </w:rPr>
        <w:t xml:space="preserve"> or more</w:t>
      </w:r>
      <w:r w:rsidRPr="00EB556A">
        <w:t xml:space="preserve"> classes may be</w:t>
      </w:r>
      <w:r>
        <w:t xml:space="preserve"> penalized up to one full </w:t>
      </w:r>
      <w:r w:rsidRPr="00EB556A">
        <w:t>grade</w:t>
      </w:r>
      <w:r>
        <w:t xml:space="preserve"> point. Sick days, etc. </w:t>
      </w:r>
      <w:r w:rsidRPr="003C19EB">
        <w:rPr>
          <w:b/>
          <w:i/>
          <w:u w:val="single"/>
        </w:rPr>
        <w:t>must</w:t>
      </w:r>
      <w:r>
        <w:t xml:space="preserve"> be utilized out of </w:t>
      </w:r>
      <w:r w:rsidRPr="003C19EB">
        <w:rPr>
          <w:b/>
          <w:i/>
          <w:u w:val="single"/>
        </w:rPr>
        <w:t>this</w:t>
      </w:r>
      <w:r>
        <w:t xml:space="preserve"> allotment. </w:t>
      </w:r>
      <w:r w:rsidRPr="00CA7F2F">
        <w:t xml:space="preserve">In accord with ABA and </w:t>
      </w:r>
      <w:r>
        <w:t>UF</w:t>
      </w:r>
      <w:r w:rsidRPr="00CA7F2F">
        <w:t xml:space="preserve"> rules, students missing </w:t>
      </w:r>
      <w:r w:rsidRPr="00CA7F2F">
        <w:rPr>
          <w:b/>
          <w:u w:val="single"/>
        </w:rPr>
        <w:t>7 or more</w:t>
      </w:r>
      <w:r w:rsidRPr="00CA7F2F">
        <w:t xml:space="preserve"> classes may not be permitted to complete the course.</w:t>
      </w:r>
      <w:r>
        <w:t xml:space="preserve"> Moreover, quality of attendance―including class participation―will be </w:t>
      </w:r>
      <w:proofErr w:type="gramStart"/>
      <w:r>
        <w:t>evaluated</w:t>
      </w:r>
      <w:proofErr w:type="gramEnd"/>
      <w:r w:rsidRPr="000A19E6">
        <w:t xml:space="preserve"> and students should be prepared to meet this requirement.</w:t>
      </w:r>
      <w:r>
        <w:t xml:space="preserve"> To adequately meet these requirements, students should miss as few classes as possible, if any at all.</w:t>
      </w:r>
    </w:p>
    <w:p w14:paraId="07CC0CBF" w14:textId="77777777" w:rsidR="001562C6" w:rsidRDefault="001562C6" w:rsidP="001562C6">
      <w:pPr>
        <w:ind w:firstLine="720"/>
        <w:jc w:val="both"/>
      </w:pPr>
    </w:p>
    <w:p w14:paraId="3A11A2E0" w14:textId="6D422507" w:rsidR="001562C6" w:rsidRDefault="001562C6" w:rsidP="001562C6">
      <w:pPr>
        <w:ind w:firstLine="720"/>
        <w:jc w:val="both"/>
      </w:pPr>
      <w:r w:rsidRPr="00EB556A">
        <w:t xml:space="preserve">Class participation </w:t>
      </w:r>
      <w:r>
        <w:t>and preparation are</w:t>
      </w:r>
      <w:r w:rsidRPr="00EB556A">
        <w:t xml:space="preserve"> required.  </w:t>
      </w:r>
      <w:r w:rsidRPr="004A593F">
        <w:t>All</w:t>
      </w:r>
      <w:r w:rsidRPr="004E16DE">
        <w:t xml:space="preserve"> students are encouraged to volunteer comments and questions.</w:t>
      </w:r>
      <w:r>
        <w:t xml:space="preserve"> I expect you to complete the assigned readings and that you are prepared to participate. </w:t>
      </w:r>
      <w:r w:rsidRPr="004837B6">
        <w:rPr>
          <w:b/>
          <w:i/>
          <w:u w:val="single"/>
        </w:rPr>
        <w:t>I will be calling on students to summarize cases and other aspects of the reading</w:t>
      </w:r>
      <w:r>
        <w:t xml:space="preserve">. Participation and preparation are not based upon </w:t>
      </w:r>
      <w:r w:rsidRPr="004A593F">
        <w:rPr>
          <w:i/>
        </w:rPr>
        <w:t>quantity</w:t>
      </w:r>
      <w:r>
        <w:t xml:space="preserve"> of comments, but rather </w:t>
      </w:r>
      <w:r w:rsidRPr="004A593F">
        <w:rPr>
          <w:i/>
        </w:rPr>
        <w:t>quality</w:t>
      </w:r>
      <w:r>
        <w:t xml:space="preserve">.  General level of interest demonstrated outside the classroom can count toward your participation score.  </w:t>
      </w:r>
    </w:p>
    <w:bookmarkEnd w:id="2"/>
    <w:p w14:paraId="4457820D" w14:textId="77777777" w:rsidR="005F583E" w:rsidRDefault="005F583E" w:rsidP="00A20E7D">
      <w:pPr>
        <w:ind w:firstLine="720"/>
        <w:jc w:val="both"/>
      </w:pPr>
    </w:p>
    <w:p w14:paraId="6C2518C4" w14:textId="77777777" w:rsidR="00CA7F2F" w:rsidRDefault="00CA7F2F" w:rsidP="00CA7F2F">
      <w:pPr>
        <w:jc w:val="both"/>
        <w:rPr>
          <w:b/>
          <w:bCs/>
        </w:rPr>
      </w:pPr>
      <w:r>
        <w:rPr>
          <w:b/>
          <w:smallCaps/>
          <w:sz w:val="28"/>
          <w:szCs w:val="28"/>
        </w:rPr>
        <w:t>Grading and Assessment</w:t>
      </w:r>
    </w:p>
    <w:p w14:paraId="6634148E" w14:textId="77777777" w:rsidR="00CA7F2F" w:rsidRDefault="00CA7F2F" w:rsidP="00CA7F2F">
      <w:pPr>
        <w:jc w:val="both"/>
        <w:rPr>
          <w:b/>
          <w:bCs/>
        </w:rPr>
      </w:pPr>
    </w:p>
    <w:p w14:paraId="0B7F6D43" w14:textId="77777777" w:rsidR="001562C6" w:rsidRDefault="001562C6" w:rsidP="001562C6">
      <w:pPr>
        <w:ind w:firstLine="720"/>
        <w:jc w:val="both"/>
        <w:rPr>
          <w:rStyle w:val="Hyperlink"/>
        </w:rPr>
      </w:pPr>
      <w:r w:rsidRPr="000A19E6">
        <w:t xml:space="preserve">The grade in the course will be based on </w:t>
      </w:r>
      <w:r>
        <w:t>participation and a final exam.</w:t>
      </w:r>
      <w:r w:rsidRPr="000A19E6">
        <w:t xml:space="preserve">  </w:t>
      </w:r>
      <w:r>
        <w:t xml:space="preserve">As noted, participation includes attendance at out of class presentations, workshops, or field trips that may be assigned later in the semester (with exceptions granted for approved schedule conflicts, such as class or work conflicts). More details regarding the final exam will be forthcoming later in the semester. </w:t>
      </w:r>
      <w:r w:rsidRPr="00040DB8">
        <w:t xml:space="preserve">The law school policy on </w:t>
      </w:r>
      <w:r>
        <w:t xml:space="preserve">exam delays and accommodations can be found </w:t>
      </w:r>
      <w:hyperlink r:id="rId9" w:history="1">
        <w:r w:rsidRPr="00040DB8">
          <w:rPr>
            <w:rStyle w:val="Hyperlink"/>
          </w:rPr>
          <w:t>here</w:t>
        </w:r>
      </w:hyperlink>
      <w:r>
        <w:rPr>
          <w:rStyle w:val="Hyperlink"/>
        </w:rPr>
        <w:t>.</w:t>
      </w:r>
    </w:p>
    <w:p w14:paraId="328F4D4D" w14:textId="77777777" w:rsidR="001562C6" w:rsidRDefault="001562C6" w:rsidP="001562C6">
      <w:pPr>
        <w:ind w:firstLine="720"/>
        <w:jc w:val="both"/>
        <w:rPr>
          <w:rStyle w:val="Hyperlink"/>
        </w:rPr>
      </w:pPr>
    </w:p>
    <w:p w14:paraId="3E955206" w14:textId="77777777" w:rsidR="001562C6" w:rsidRDefault="001562C6" w:rsidP="001562C6">
      <w:pPr>
        <w:ind w:firstLine="720"/>
        <w:jc w:val="both"/>
      </w:pPr>
      <w:r w:rsidRPr="00EA418A">
        <w:t>Students requesting accommodation</w:t>
      </w:r>
      <w:r>
        <w:t>s</w:t>
      </w:r>
      <w:r w:rsidRPr="00EA418A">
        <w:t xml:space="preserve"> for disabilities must first register with the Disability Resource Center (</w:t>
      </w:r>
      <w:hyperlink r:id="rId10" w:history="1">
        <w:r w:rsidRPr="00EA418A">
          <w:rPr>
            <w:rStyle w:val="Hyperlink"/>
          </w:rPr>
          <w:t>http://www.dso.ufl.edu/drc/</w:t>
        </w:r>
      </w:hyperlink>
      <w:r w:rsidRPr="00EA418A">
        <w:t xml:space="preserve">). Once registered, students will </w:t>
      </w:r>
      <w:r>
        <w:t xml:space="preserve">receive an accommodation letter, </w:t>
      </w:r>
      <w:r w:rsidRPr="00EA418A">
        <w:t>which must be presented to the Assistant Dean for Student A</w:t>
      </w:r>
      <w:r>
        <w:t>ffairs (Assistant Dean Brian Mitchell)</w:t>
      </w:r>
      <w:r w:rsidRPr="00EA418A">
        <w:t>. Students with disabilities should follow this procedure as early as possible in the semester.</w:t>
      </w:r>
      <w:r w:rsidRPr="00DB5C27">
        <w:t xml:space="preserve"> </w:t>
      </w:r>
    </w:p>
    <w:p w14:paraId="01787BDD" w14:textId="77777777" w:rsidR="001562C6" w:rsidRDefault="001562C6" w:rsidP="001562C6">
      <w:pPr>
        <w:ind w:firstLine="720"/>
        <w:jc w:val="both"/>
      </w:pPr>
    </w:p>
    <w:p w14:paraId="06346BEF" w14:textId="77777777" w:rsidR="001562C6" w:rsidRPr="00935F46" w:rsidRDefault="001562C6" w:rsidP="001562C6">
      <w:pPr>
        <w:ind w:firstLine="720"/>
        <w:jc w:val="both"/>
      </w:pPr>
      <w:r w:rsidRPr="00935F46">
        <w:rPr>
          <w:rFonts w:cs="Calibri"/>
        </w:rPr>
        <w:t xml:space="preserve">This course follows the Levin College of Law’s grading policies found </w:t>
      </w:r>
      <w:hyperlink r:id="rId11" w:history="1">
        <w:r w:rsidRPr="00935F46">
          <w:rPr>
            <w:rStyle w:val="Hyperlink"/>
            <w:rFonts w:cs="Calibri"/>
          </w:rPr>
          <w:t>here</w:t>
        </w:r>
      </w:hyperlink>
      <w:r w:rsidRPr="00935F46">
        <w:rPr>
          <w:rFonts w:cs="Calibri"/>
        </w:rPr>
        <w:t>. The below chart describes the specific letter grade/grade point equivalent in place:</w:t>
      </w:r>
    </w:p>
    <w:p w14:paraId="241D6E78" w14:textId="77777777" w:rsidR="001562C6" w:rsidRPr="00DF2791" w:rsidRDefault="001562C6" w:rsidP="001562C6">
      <w:pPr>
        <w:pStyle w:val="ListParagraph"/>
        <w:ind w:left="1080"/>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1562C6" w:rsidRPr="009A3F06" w14:paraId="78898FF0" w14:textId="77777777" w:rsidTr="008970E2">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3AAE0" w14:textId="77777777" w:rsidR="001562C6" w:rsidRPr="00935F46" w:rsidRDefault="001562C6" w:rsidP="008970E2">
            <w:pPr>
              <w:rPr>
                <w:rFonts w:cs="Calibri"/>
              </w:rPr>
            </w:pPr>
            <w:r w:rsidRPr="00935F46">
              <w:rPr>
                <w:rFonts w:cs="Calibr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F0D2F" w14:textId="77777777" w:rsidR="001562C6" w:rsidRPr="00935F46" w:rsidRDefault="001562C6" w:rsidP="008970E2">
            <w:pPr>
              <w:rPr>
                <w:rFonts w:cs="Calibri"/>
              </w:rPr>
            </w:pPr>
            <w:r w:rsidRPr="00935F46">
              <w:rPr>
                <w:rFonts w:cs="Calibri"/>
              </w:rPr>
              <w:t>Point Equivalent</w:t>
            </w:r>
          </w:p>
        </w:tc>
      </w:tr>
      <w:tr w:rsidR="001562C6" w:rsidRPr="009A3F06" w14:paraId="2D03234B" w14:textId="77777777" w:rsidTr="008970E2">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3D3CC" w14:textId="77777777" w:rsidR="001562C6" w:rsidRPr="00935F46" w:rsidRDefault="001562C6" w:rsidP="008970E2">
            <w:pPr>
              <w:rPr>
                <w:rFonts w:cs="Calibri"/>
              </w:rPr>
            </w:pPr>
            <w:r w:rsidRPr="00935F46">
              <w:rPr>
                <w:rFonts w:cs="Calibri"/>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C12708" w14:textId="77777777" w:rsidR="001562C6" w:rsidRPr="00935F46" w:rsidRDefault="001562C6" w:rsidP="008970E2">
            <w:pPr>
              <w:rPr>
                <w:rFonts w:cs="Calibri"/>
              </w:rPr>
            </w:pPr>
            <w:r w:rsidRPr="00935F46">
              <w:rPr>
                <w:rFonts w:cs="Calibri"/>
              </w:rPr>
              <w:t>4.0</w:t>
            </w:r>
          </w:p>
        </w:tc>
      </w:tr>
      <w:tr w:rsidR="001562C6" w:rsidRPr="009A3F06" w14:paraId="1CD602FA" w14:textId="77777777" w:rsidTr="008970E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DAF5D" w14:textId="77777777" w:rsidR="001562C6" w:rsidRPr="00935F46" w:rsidRDefault="001562C6" w:rsidP="008970E2">
            <w:pPr>
              <w:rPr>
                <w:rFonts w:cs="Calibri"/>
              </w:rPr>
            </w:pPr>
            <w:r w:rsidRPr="00935F46">
              <w:rPr>
                <w:rFonts w:cs="Calibr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ED68B0" w14:textId="77777777" w:rsidR="001562C6" w:rsidRPr="00935F46" w:rsidRDefault="001562C6" w:rsidP="008970E2">
            <w:pPr>
              <w:rPr>
                <w:rFonts w:cs="Calibri"/>
              </w:rPr>
            </w:pPr>
            <w:r w:rsidRPr="00935F46">
              <w:rPr>
                <w:rFonts w:cs="Calibri"/>
              </w:rPr>
              <w:t>3.67</w:t>
            </w:r>
          </w:p>
        </w:tc>
      </w:tr>
      <w:tr w:rsidR="001562C6" w:rsidRPr="009A3F06" w14:paraId="1788BFBC" w14:textId="77777777" w:rsidTr="008970E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CFEE5" w14:textId="77777777" w:rsidR="001562C6" w:rsidRPr="00935F46" w:rsidRDefault="001562C6" w:rsidP="008970E2">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40B7B60" w14:textId="77777777" w:rsidR="001562C6" w:rsidRPr="00935F46" w:rsidRDefault="001562C6" w:rsidP="008970E2">
            <w:pPr>
              <w:rPr>
                <w:rFonts w:cs="Calibri"/>
              </w:rPr>
            </w:pPr>
            <w:r w:rsidRPr="00935F46">
              <w:rPr>
                <w:rFonts w:cs="Calibri"/>
              </w:rPr>
              <w:t>3.33</w:t>
            </w:r>
          </w:p>
        </w:tc>
      </w:tr>
      <w:tr w:rsidR="001562C6" w:rsidRPr="009A3F06" w14:paraId="0FD9E74E" w14:textId="77777777" w:rsidTr="008970E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04910" w14:textId="77777777" w:rsidR="001562C6" w:rsidRPr="00935F46" w:rsidRDefault="001562C6" w:rsidP="008970E2">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6FECBC" w14:textId="77777777" w:rsidR="001562C6" w:rsidRPr="00935F46" w:rsidRDefault="001562C6" w:rsidP="008970E2">
            <w:pPr>
              <w:rPr>
                <w:rFonts w:cs="Calibri"/>
              </w:rPr>
            </w:pPr>
            <w:r w:rsidRPr="00935F46">
              <w:rPr>
                <w:rFonts w:cs="Calibri"/>
              </w:rPr>
              <w:t>3.0</w:t>
            </w:r>
          </w:p>
        </w:tc>
      </w:tr>
      <w:tr w:rsidR="001562C6" w:rsidRPr="009A3F06" w14:paraId="3E142CBF" w14:textId="77777777" w:rsidTr="008970E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B4A51" w14:textId="77777777" w:rsidR="001562C6" w:rsidRPr="00935F46" w:rsidRDefault="001562C6" w:rsidP="008970E2">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AEDAFF" w14:textId="77777777" w:rsidR="001562C6" w:rsidRPr="00935F46" w:rsidRDefault="001562C6" w:rsidP="008970E2">
            <w:pPr>
              <w:rPr>
                <w:rFonts w:cs="Calibri"/>
              </w:rPr>
            </w:pPr>
            <w:r w:rsidRPr="00935F46">
              <w:rPr>
                <w:rFonts w:cs="Calibri"/>
              </w:rPr>
              <w:t>2.67</w:t>
            </w:r>
          </w:p>
        </w:tc>
      </w:tr>
      <w:tr w:rsidR="001562C6" w:rsidRPr="009A3F06" w14:paraId="269CFD2F" w14:textId="77777777" w:rsidTr="008970E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57980" w14:textId="77777777" w:rsidR="001562C6" w:rsidRPr="00935F46" w:rsidRDefault="001562C6" w:rsidP="008970E2">
            <w:pPr>
              <w:rPr>
                <w:rFonts w:cs="Calibri"/>
              </w:rPr>
            </w:pPr>
            <w:r w:rsidRPr="00935F46">
              <w:rPr>
                <w:rFonts w:cs="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12DC60" w14:textId="77777777" w:rsidR="001562C6" w:rsidRPr="00935F46" w:rsidRDefault="001562C6" w:rsidP="008970E2">
            <w:pPr>
              <w:rPr>
                <w:rFonts w:cs="Calibri"/>
              </w:rPr>
            </w:pPr>
            <w:r w:rsidRPr="00935F46">
              <w:rPr>
                <w:rFonts w:cs="Calibri"/>
              </w:rPr>
              <w:t>2.33</w:t>
            </w:r>
          </w:p>
        </w:tc>
      </w:tr>
      <w:tr w:rsidR="001562C6" w:rsidRPr="009A3F06" w14:paraId="05B0F95F" w14:textId="77777777" w:rsidTr="008970E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9B14A" w14:textId="77777777" w:rsidR="001562C6" w:rsidRPr="00935F46" w:rsidRDefault="001562C6" w:rsidP="008970E2">
            <w:pPr>
              <w:rPr>
                <w:rFonts w:cs="Calibri"/>
              </w:rPr>
            </w:pPr>
            <w:r w:rsidRPr="00935F46">
              <w:rPr>
                <w:rFonts w:cs="Calibri"/>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034D15" w14:textId="77777777" w:rsidR="001562C6" w:rsidRPr="00935F46" w:rsidRDefault="001562C6" w:rsidP="008970E2">
            <w:pPr>
              <w:rPr>
                <w:rFonts w:cs="Calibri"/>
              </w:rPr>
            </w:pPr>
            <w:r w:rsidRPr="00935F46">
              <w:rPr>
                <w:rFonts w:cs="Calibri"/>
              </w:rPr>
              <w:t>2.0</w:t>
            </w:r>
          </w:p>
        </w:tc>
      </w:tr>
      <w:tr w:rsidR="001562C6" w:rsidRPr="009A3F06" w14:paraId="473B9874" w14:textId="77777777" w:rsidTr="008970E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B63B6" w14:textId="77777777" w:rsidR="001562C6" w:rsidRPr="00935F46" w:rsidRDefault="001562C6" w:rsidP="008970E2">
            <w:pPr>
              <w:rPr>
                <w:rFonts w:cs="Calibri"/>
              </w:rPr>
            </w:pPr>
            <w:r w:rsidRPr="00935F46">
              <w:rPr>
                <w:rFonts w:cs="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A0D31C7" w14:textId="77777777" w:rsidR="001562C6" w:rsidRPr="00935F46" w:rsidRDefault="001562C6" w:rsidP="008970E2">
            <w:pPr>
              <w:rPr>
                <w:rFonts w:cs="Calibri"/>
              </w:rPr>
            </w:pPr>
            <w:r w:rsidRPr="00935F46">
              <w:rPr>
                <w:rFonts w:cs="Calibri"/>
              </w:rPr>
              <w:t>1.67</w:t>
            </w:r>
          </w:p>
        </w:tc>
      </w:tr>
      <w:tr w:rsidR="001562C6" w:rsidRPr="009A3F06" w14:paraId="029A1E06" w14:textId="77777777" w:rsidTr="008970E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468F7" w14:textId="77777777" w:rsidR="001562C6" w:rsidRPr="00935F46" w:rsidRDefault="001562C6" w:rsidP="008970E2">
            <w:pPr>
              <w:rPr>
                <w:rFonts w:cs="Calibri"/>
              </w:rPr>
            </w:pPr>
            <w:r w:rsidRPr="00935F46">
              <w:rPr>
                <w:rFonts w:cs="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4BA8DE" w14:textId="77777777" w:rsidR="001562C6" w:rsidRPr="00935F46" w:rsidRDefault="001562C6" w:rsidP="008970E2">
            <w:pPr>
              <w:rPr>
                <w:rFonts w:cs="Calibri"/>
              </w:rPr>
            </w:pPr>
            <w:r w:rsidRPr="00935F46">
              <w:rPr>
                <w:rFonts w:cs="Calibri"/>
              </w:rPr>
              <w:t>1.33</w:t>
            </w:r>
          </w:p>
        </w:tc>
      </w:tr>
      <w:tr w:rsidR="001562C6" w:rsidRPr="009A3F06" w14:paraId="71995434" w14:textId="77777777" w:rsidTr="008970E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E89B2" w14:textId="77777777" w:rsidR="001562C6" w:rsidRPr="00935F46" w:rsidRDefault="001562C6" w:rsidP="008970E2">
            <w:pPr>
              <w:rPr>
                <w:rFonts w:cs="Calibri"/>
              </w:rPr>
            </w:pPr>
            <w:r w:rsidRPr="00935F46">
              <w:rPr>
                <w:rFonts w:cs="Calibri"/>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755061" w14:textId="77777777" w:rsidR="001562C6" w:rsidRPr="00935F46" w:rsidRDefault="001562C6" w:rsidP="008970E2">
            <w:pPr>
              <w:rPr>
                <w:rFonts w:cs="Calibri"/>
              </w:rPr>
            </w:pPr>
            <w:r w:rsidRPr="00935F46">
              <w:rPr>
                <w:rFonts w:cs="Calibri"/>
              </w:rPr>
              <w:t>1.0</w:t>
            </w:r>
          </w:p>
        </w:tc>
      </w:tr>
      <w:tr w:rsidR="001562C6" w:rsidRPr="009A3F06" w14:paraId="6AC4C731" w14:textId="77777777" w:rsidTr="008970E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04D39" w14:textId="77777777" w:rsidR="001562C6" w:rsidRPr="00935F46" w:rsidRDefault="001562C6" w:rsidP="008970E2">
            <w:pPr>
              <w:rPr>
                <w:rFonts w:cs="Calibri"/>
              </w:rPr>
            </w:pPr>
            <w:r w:rsidRPr="00935F46">
              <w:rPr>
                <w:rFonts w:cs="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DF40C7" w14:textId="77777777" w:rsidR="001562C6" w:rsidRPr="00935F46" w:rsidRDefault="001562C6" w:rsidP="008970E2">
            <w:pPr>
              <w:rPr>
                <w:rFonts w:cs="Calibri"/>
              </w:rPr>
            </w:pPr>
            <w:r w:rsidRPr="00935F46">
              <w:rPr>
                <w:rFonts w:cs="Calibri"/>
              </w:rPr>
              <w:t>0.67</w:t>
            </w:r>
          </w:p>
        </w:tc>
      </w:tr>
      <w:tr w:rsidR="001562C6" w:rsidRPr="009A3F06" w14:paraId="2292D42C" w14:textId="77777777" w:rsidTr="008970E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A85C9" w14:textId="77777777" w:rsidR="001562C6" w:rsidRPr="00935F46" w:rsidRDefault="001562C6" w:rsidP="008970E2">
            <w:pPr>
              <w:rPr>
                <w:rFonts w:cs="Calibri"/>
              </w:rPr>
            </w:pPr>
            <w:r w:rsidRPr="00935F46">
              <w:rPr>
                <w:rFonts w:cs="Calibr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8B218D" w14:textId="77777777" w:rsidR="001562C6" w:rsidRPr="00935F46" w:rsidRDefault="001562C6" w:rsidP="001562C6">
            <w:pPr>
              <w:numPr>
                <w:ilvl w:val="0"/>
                <w:numId w:val="4"/>
              </w:numPr>
              <w:rPr>
                <w:rFonts w:cs="Calibri"/>
              </w:rPr>
            </w:pPr>
          </w:p>
        </w:tc>
      </w:tr>
    </w:tbl>
    <w:p w14:paraId="75E26D6E" w14:textId="77777777" w:rsidR="001562C6" w:rsidRDefault="001562C6" w:rsidP="001562C6">
      <w:pPr>
        <w:ind w:firstLine="720"/>
        <w:jc w:val="both"/>
      </w:pPr>
    </w:p>
    <w:p w14:paraId="0A8CFFD0" w14:textId="77777777" w:rsidR="001562C6" w:rsidRDefault="001562C6" w:rsidP="001562C6">
      <w:pPr>
        <w:ind w:firstLine="720"/>
        <w:jc w:val="both"/>
      </w:pPr>
      <w:r w:rsidRPr="00DF2791">
        <w:t xml:space="preserve">Students are expected to provide professional and respectful feedback on the quality of instruction in this course by completing course evaluations online via </w:t>
      </w:r>
      <w:proofErr w:type="spellStart"/>
      <w:r w:rsidRPr="00DF2791">
        <w:t>GatorEvals</w:t>
      </w:r>
      <w:proofErr w:type="spellEnd"/>
      <w:r w:rsidRPr="00DF2791">
        <w:t xml:space="preserve">. Click </w:t>
      </w:r>
      <w:hyperlink r:id="rId12" w:history="1">
        <w:r w:rsidRPr="007A1D2B">
          <w:rPr>
            <w:rStyle w:val="Hyperlink"/>
          </w:rPr>
          <w:t>here</w:t>
        </w:r>
      </w:hyperlink>
      <w:r w:rsidRPr="00DF2791">
        <w:t xml:space="preserve"> for guidance on how to give feedback in a professional and respectful manner. Students will be notified when the evaluation period opens and </w:t>
      </w:r>
      <w:r>
        <w:t xml:space="preserve">may </w:t>
      </w:r>
      <w:r w:rsidRPr="00DF2791">
        <w:t xml:space="preserve">complete evaluations through the email they receive from </w:t>
      </w:r>
      <w:proofErr w:type="spellStart"/>
      <w:r w:rsidRPr="00DF2791">
        <w:t>GatorEvals</w:t>
      </w:r>
      <w:proofErr w:type="spellEnd"/>
      <w:r w:rsidRPr="00DF2791">
        <w:t xml:space="preserve">, in their Canvas course menu under </w:t>
      </w:r>
      <w:proofErr w:type="spellStart"/>
      <w:r w:rsidRPr="00DF2791">
        <w:t>GatorEvals</w:t>
      </w:r>
      <w:proofErr w:type="spellEnd"/>
      <w:r w:rsidRPr="00DF2791">
        <w:t xml:space="preserve">, or via </w:t>
      </w:r>
      <w:hyperlink r:id="rId13" w:history="1">
        <w:r w:rsidRPr="007A1D2B">
          <w:rPr>
            <w:rStyle w:val="Hyperlink"/>
          </w:rPr>
          <w:t>ufl.bluera.com/</w:t>
        </w:r>
        <w:proofErr w:type="spellStart"/>
        <w:r w:rsidRPr="007A1D2B">
          <w:rPr>
            <w:rStyle w:val="Hyperlink"/>
          </w:rPr>
          <w:t>ufl</w:t>
        </w:r>
        <w:proofErr w:type="spellEnd"/>
        <w:r w:rsidRPr="007A1D2B">
          <w:rPr>
            <w:rStyle w:val="Hyperlink"/>
          </w:rPr>
          <w:t>/</w:t>
        </w:r>
      </w:hyperlink>
      <w:r>
        <w:t xml:space="preserve">. </w:t>
      </w:r>
      <w:r w:rsidRPr="00DF2791">
        <w:t xml:space="preserve">Summaries of course evaluation results are available to students </w:t>
      </w:r>
      <w:hyperlink r:id="rId14" w:history="1">
        <w:r w:rsidRPr="007A1D2B">
          <w:rPr>
            <w:rStyle w:val="Hyperlink"/>
          </w:rPr>
          <w:t>here</w:t>
        </w:r>
      </w:hyperlink>
      <w:r w:rsidRPr="00DF2791">
        <w:t>.</w:t>
      </w:r>
    </w:p>
    <w:p w14:paraId="5E3E82F0" w14:textId="77777777" w:rsidR="001562C6" w:rsidRDefault="001562C6" w:rsidP="001562C6">
      <w:pPr>
        <w:ind w:firstLine="720"/>
        <w:jc w:val="both"/>
      </w:pPr>
    </w:p>
    <w:p w14:paraId="1F3209C1" w14:textId="77777777" w:rsidR="001562C6" w:rsidRDefault="001562C6" w:rsidP="001562C6">
      <w:pPr>
        <w:ind w:firstLine="720"/>
        <w:jc w:val="both"/>
      </w:pPr>
      <w:r w:rsidRPr="00003B24">
        <w:t xml:space="preserve">Academic honesty and integrity are fundamental values of the University community. Students should understand the UF Student Honor Code </w:t>
      </w:r>
      <w:r>
        <w:t xml:space="preserve">located </w:t>
      </w:r>
      <w:hyperlink r:id="rId15" w:history="1">
        <w:r w:rsidRPr="00003B24">
          <w:rPr>
            <w:rStyle w:val="Hyperlink"/>
          </w:rPr>
          <w:t>here</w:t>
        </w:r>
      </w:hyperlink>
      <w:r>
        <w:t>.</w:t>
      </w:r>
    </w:p>
    <w:p w14:paraId="2A29DD8F" w14:textId="77777777" w:rsidR="003C690D" w:rsidRDefault="003C690D" w:rsidP="00E662FC">
      <w:pPr>
        <w:rPr>
          <w:b/>
          <w:smallCaps/>
          <w:sz w:val="28"/>
          <w:szCs w:val="28"/>
        </w:rPr>
      </w:pPr>
    </w:p>
    <w:p w14:paraId="232572D2" w14:textId="77777777" w:rsidR="00E662FC" w:rsidRDefault="00E662FC" w:rsidP="00E662FC">
      <w:pPr>
        <w:rPr>
          <w:b/>
          <w:smallCaps/>
          <w:sz w:val="28"/>
          <w:szCs w:val="28"/>
        </w:rPr>
      </w:pPr>
      <w:r>
        <w:rPr>
          <w:b/>
          <w:smallCaps/>
          <w:sz w:val="28"/>
          <w:szCs w:val="28"/>
        </w:rPr>
        <w:t xml:space="preserve">Class </w:t>
      </w:r>
      <w:r w:rsidR="00CC5AD4">
        <w:rPr>
          <w:b/>
          <w:smallCaps/>
          <w:sz w:val="28"/>
          <w:szCs w:val="28"/>
        </w:rPr>
        <w:t>Rescheduling</w:t>
      </w:r>
    </w:p>
    <w:p w14:paraId="6EB29AC8" w14:textId="77777777" w:rsidR="002C6C56" w:rsidRDefault="002C6C56" w:rsidP="006F58CB"/>
    <w:p w14:paraId="54E8E936" w14:textId="4469E05D" w:rsidR="00A665D3" w:rsidRDefault="00CB278D" w:rsidP="00A665D3">
      <w:pPr>
        <w:ind w:firstLine="720"/>
        <w:jc w:val="both"/>
      </w:pPr>
      <w:r>
        <w:t xml:space="preserve">I may need to cancel classes from time to time for </w:t>
      </w:r>
      <w:r w:rsidR="003F0B8A">
        <w:t xml:space="preserve">personal or </w:t>
      </w:r>
      <w:r>
        <w:t xml:space="preserve">professional reasons. I will let you know of any cancellations as we proceed through the semester. </w:t>
      </w:r>
      <w:r w:rsidR="003F0B8A">
        <w:t xml:space="preserve">In the event of a cancellation it is possible that we will have a class or two on Zoom. </w:t>
      </w:r>
      <w:r w:rsidR="0012622C">
        <w:t xml:space="preserve">If any </w:t>
      </w:r>
      <w:r w:rsidR="00113419">
        <w:t xml:space="preserve">classes require </w:t>
      </w:r>
      <w:r w:rsidR="004E74DE">
        <w:t xml:space="preserve">make-up </w:t>
      </w:r>
      <w:r w:rsidR="00A665D3">
        <w:t xml:space="preserve">classes to cover the affected </w:t>
      </w:r>
      <w:r w:rsidR="00A665D3" w:rsidRPr="002B1482">
        <w:t>dates</w:t>
      </w:r>
      <w:r w:rsidR="00113419">
        <w:t>, we will schedule those accordingly</w:t>
      </w:r>
      <w:r w:rsidR="00A665D3" w:rsidRPr="002B1482">
        <w:t xml:space="preserve">.  I will </w:t>
      </w:r>
      <w:r w:rsidR="004E74DE">
        <w:t>do my best to en</w:t>
      </w:r>
      <w:r w:rsidR="00A665D3" w:rsidRPr="002B1482">
        <w:t xml:space="preserve">sure that make-up classes do not conflict with any of your other classes. For anyone </w:t>
      </w:r>
      <w:r w:rsidR="004E74DE">
        <w:t xml:space="preserve">unable to attend a make-up class and </w:t>
      </w:r>
      <w:r w:rsidR="00E968CC">
        <w:t xml:space="preserve">with an </w:t>
      </w:r>
      <w:r w:rsidR="00A665D3" w:rsidRPr="002B1482">
        <w:t>unusual situation</w:t>
      </w:r>
      <w:r w:rsidR="00E968CC">
        <w:t xml:space="preserve"> preventing attendance</w:t>
      </w:r>
      <w:r w:rsidR="00A665D3" w:rsidRPr="002B1482">
        <w:t xml:space="preserve">, please let me know </w:t>
      </w:r>
      <w:r w:rsidR="004E74DE">
        <w:t xml:space="preserve">and </w:t>
      </w:r>
      <w:r w:rsidR="00A665D3">
        <w:t>we will address it</w:t>
      </w:r>
      <w:r w:rsidR="00A665D3" w:rsidRPr="002B1482">
        <w:t>.</w:t>
      </w:r>
    </w:p>
    <w:p w14:paraId="06478E85" w14:textId="77777777" w:rsidR="00D06360" w:rsidRDefault="00D06360" w:rsidP="00A665D3">
      <w:pPr>
        <w:ind w:firstLine="720"/>
        <w:jc w:val="both"/>
      </w:pPr>
    </w:p>
    <w:p w14:paraId="023325E3" w14:textId="77777777" w:rsidR="00A452EC" w:rsidRPr="00F060C6" w:rsidRDefault="00FA003D" w:rsidP="004F158C">
      <w:pPr>
        <w:jc w:val="both"/>
        <w:rPr>
          <w:b/>
          <w:highlight w:val="yellow"/>
          <w:u w:val="single"/>
        </w:rPr>
      </w:pPr>
      <w:r>
        <w:rPr>
          <w:b/>
          <w:smallCaps/>
          <w:sz w:val="28"/>
          <w:szCs w:val="28"/>
        </w:rPr>
        <w:t>Required Readings</w:t>
      </w:r>
    </w:p>
    <w:p w14:paraId="7F413753" w14:textId="77777777" w:rsidR="00A452EC" w:rsidRPr="00F060C6" w:rsidRDefault="00A452EC" w:rsidP="004F158C">
      <w:pPr>
        <w:jc w:val="both"/>
        <w:rPr>
          <w:highlight w:val="yellow"/>
        </w:rPr>
      </w:pPr>
    </w:p>
    <w:p w14:paraId="03F45E66" w14:textId="00BDDA37" w:rsidR="009D64A1" w:rsidRDefault="00A452EC" w:rsidP="00E56C8C">
      <w:pPr>
        <w:jc w:val="both"/>
      </w:pPr>
      <w:r w:rsidRPr="00FA003D">
        <w:tab/>
        <w:t xml:space="preserve">Rather than </w:t>
      </w:r>
      <w:r w:rsidR="00581477">
        <w:t>attempt to plan the day-to-day discussions</w:t>
      </w:r>
      <w:r w:rsidR="00563A12">
        <w:t xml:space="preserve"> months in advance, I will</w:t>
      </w:r>
      <w:r w:rsidR="00FA003D">
        <w:t xml:space="preserve"> </w:t>
      </w:r>
      <w:r w:rsidR="00A74EBD">
        <w:t>post</w:t>
      </w:r>
      <w:r w:rsidR="00FA003D">
        <w:t xml:space="preserve"> assignment sheets</w:t>
      </w:r>
      <w:r w:rsidR="00A74EBD">
        <w:t xml:space="preserve"> on </w:t>
      </w:r>
      <w:r w:rsidR="002414FF">
        <w:t>Canvas</w:t>
      </w:r>
      <w:r w:rsidR="00FA003D">
        <w:t xml:space="preserve"> in two</w:t>
      </w:r>
      <w:r w:rsidR="002414FF">
        <w:t>-</w:t>
      </w:r>
      <w:r w:rsidR="00FA003D">
        <w:t xml:space="preserve">week </w:t>
      </w:r>
      <w:r w:rsidR="00A74EBD">
        <w:t>intervals</w:t>
      </w:r>
      <w:r w:rsidR="00581477">
        <w:t xml:space="preserve"> </w:t>
      </w:r>
      <w:r w:rsidR="00D76B72">
        <w:t>to</w:t>
      </w:r>
      <w:r w:rsidR="00581477">
        <w:t xml:space="preserve"> maintain flexibility in our approach</w:t>
      </w:r>
      <w:r w:rsidR="00A74EBD">
        <w:t xml:space="preserve"> (under “assignment sheets” on </w:t>
      </w:r>
      <w:r w:rsidR="002414FF">
        <w:t>Canvas</w:t>
      </w:r>
      <w:r w:rsidR="00A74EBD">
        <w:t>)</w:t>
      </w:r>
      <w:r w:rsidR="00FA003D">
        <w:t xml:space="preserve">.  You should receive each new assignment sheet </w:t>
      </w:r>
      <w:r w:rsidR="00111D6C">
        <w:t>by</w:t>
      </w:r>
      <w:r w:rsidR="00FA003D">
        <w:t xml:space="preserve"> the </w:t>
      </w:r>
      <w:r w:rsidR="002414FF">
        <w:t xml:space="preserve">Thursday or </w:t>
      </w:r>
      <w:r w:rsidR="00111D6C">
        <w:t>Friday</w:t>
      </w:r>
      <w:r w:rsidR="00FA003D">
        <w:t xml:space="preserve"> prior to that assignment.  This will allow yo</w:t>
      </w:r>
      <w:r w:rsidR="009D64A1">
        <w:t>u plenty of time to read</w:t>
      </w:r>
      <w:r w:rsidR="004073E8">
        <w:t xml:space="preserve"> and process</w:t>
      </w:r>
      <w:r w:rsidR="009D64A1">
        <w:t xml:space="preserve"> the </w:t>
      </w:r>
      <w:r w:rsidR="002414FF">
        <w:t>Monday</w:t>
      </w:r>
      <w:r w:rsidR="00FA003D">
        <w:t xml:space="preserve"> assignment before class on that day.</w:t>
      </w:r>
      <w:r w:rsidRPr="00FA003D">
        <w:t xml:space="preserve"> </w:t>
      </w:r>
    </w:p>
    <w:p w14:paraId="50D6212E" w14:textId="77777777" w:rsidR="009D64A1" w:rsidRDefault="009D64A1" w:rsidP="00E56C8C">
      <w:pPr>
        <w:jc w:val="both"/>
      </w:pPr>
    </w:p>
    <w:p w14:paraId="41C3CF68" w14:textId="01F6AD34" w:rsidR="00345C9F" w:rsidRDefault="009D64A1" w:rsidP="00E56C8C">
      <w:pPr>
        <w:jc w:val="both"/>
      </w:pPr>
      <w:r>
        <w:tab/>
      </w:r>
      <w:r w:rsidR="00A452EC" w:rsidRPr="00FA003D">
        <w:t>Over the course of this semester, we will endeavor to rea</w:t>
      </w:r>
      <w:r w:rsidR="000E2F99" w:rsidRPr="00FA003D">
        <w:t xml:space="preserve">d </w:t>
      </w:r>
      <w:r w:rsidR="00111D6C">
        <w:rPr>
          <w:smallCaps/>
        </w:rPr>
        <w:t>Adler, Craig, and Hall</w:t>
      </w:r>
      <w:r w:rsidR="00563A12">
        <w:t xml:space="preserve"> chapters </w:t>
      </w:r>
      <w:r w:rsidR="00AE2F5D">
        <w:t>1</w:t>
      </w:r>
      <w:r w:rsidR="00AB46DC">
        <w:t>-5, 7-8, 11-12 and 14</w:t>
      </w:r>
      <w:r w:rsidR="00FA003D">
        <w:t>,</w:t>
      </w:r>
      <w:r w:rsidR="00822248" w:rsidRPr="00FA003D">
        <w:t xml:space="preserve"> although </w:t>
      </w:r>
      <w:r w:rsidR="00D55A93">
        <w:t xml:space="preserve">potentially </w:t>
      </w:r>
      <w:r w:rsidR="00822248" w:rsidRPr="00FA003D">
        <w:t xml:space="preserve">skipping </w:t>
      </w:r>
      <w:r w:rsidR="006C4947">
        <w:t>portions of certain</w:t>
      </w:r>
      <w:r w:rsidR="00563A12">
        <w:t xml:space="preserve"> chapters</w:t>
      </w:r>
      <w:r w:rsidR="00D55A93">
        <w:t xml:space="preserve"> or jumping outside of those chapters for some material</w:t>
      </w:r>
      <w:r w:rsidR="00822248" w:rsidRPr="00FA003D">
        <w:t>.</w:t>
      </w:r>
      <w:r w:rsidR="00790621">
        <w:t xml:space="preserve"> </w:t>
      </w:r>
      <w:r w:rsidR="00345C9F">
        <w:t xml:space="preserve">We will try to cover between </w:t>
      </w:r>
      <w:r w:rsidR="008E7A84">
        <w:t>1</w:t>
      </w:r>
      <w:r w:rsidR="00345C9F">
        <w:t xml:space="preserve">5 and </w:t>
      </w:r>
      <w:r w:rsidR="008E7A84">
        <w:t>2</w:t>
      </w:r>
      <w:r w:rsidR="00345C9F">
        <w:t xml:space="preserve">5 pages of text in each class. </w:t>
      </w:r>
      <w:r w:rsidR="00B74D42" w:rsidRPr="00B74D42">
        <w:t xml:space="preserve">Students </w:t>
      </w:r>
      <w:r w:rsidR="00B74D42">
        <w:t>might generally</w:t>
      </w:r>
      <w:r w:rsidR="00B74D42" w:rsidRPr="00B74D42">
        <w:t xml:space="preserve"> expect to spend at least two hours outside of class reading and preparing for every hour of class.</w:t>
      </w:r>
      <w:r w:rsidR="00B74D42">
        <w:t xml:space="preserve"> </w:t>
      </w:r>
      <w:r w:rsidR="00FD6049">
        <w:t xml:space="preserve">The chart below represents what </w:t>
      </w:r>
      <w:r w:rsidR="00EC5763">
        <w:t xml:space="preserve">we </w:t>
      </w:r>
      <w:r w:rsidR="00AE2F5D">
        <w:t>plan to</w:t>
      </w:r>
      <w:r w:rsidR="00EC5763">
        <w:t xml:space="preserve"> </w:t>
      </w:r>
      <w:r w:rsidR="00FD6049">
        <w:t>cover, but this is only meant as a general guideline for what we will attempt to accomplish this semester. We may not cover every topic listed below, and I may change the assignments or even dispense with entire topics if necessary.  Also, I may add reading materials, although you will be given plenty of time to read these in advance.</w:t>
      </w:r>
    </w:p>
    <w:p w14:paraId="3CB1FF39" w14:textId="139901EE" w:rsidR="009F16BF" w:rsidRDefault="009F16BF" w:rsidP="00E56C8C">
      <w:pPr>
        <w:jc w:val="both"/>
      </w:pPr>
    </w:p>
    <w:p w14:paraId="4260CFFF" w14:textId="77777777" w:rsidR="009F16BF" w:rsidRPr="00F060C6" w:rsidRDefault="009F16BF" w:rsidP="009F16BF">
      <w:pPr>
        <w:jc w:val="both"/>
        <w:rPr>
          <w:b/>
          <w:highlight w:val="yellow"/>
          <w:u w:val="single"/>
        </w:rPr>
      </w:pPr>
      <w:proofErr w:type="spellStart"/>
      <w:r>
        <w:rPr>
          <w:b/>
          <w:smallCaps/>
          <w:sz w:val="28"/>
          <w:szCs w:val="28"/>
        </w:rPr>
        <w:t>Heath</w:t>
      </w:r>
      <w:proofErr w:type="spellEnd"/>
      <w:r>
        <w:rPr>
          <w:b/>
          <w:smallCaps/>
          <w:sz w:val="28"/>
          <w:szCs w:val="28"/>
        </w:rPr>
        <w:t xml:space="preserve"> and Wellness Resources</w:t>
      </w:r>
    </w:p>
    <w:p w14:paraId="17184248" w14:textId="77777777" w:rsidR="009F16BF" w:rsidRDefault="009F16BF" w:rsidP="009F16BF">
      <w:pPr>
        <w:jc w:val="both"/>
      </w:pPr>
    </w:p>
    <w:p w14:paraId="18B37310" w14:textId="77777777" w:rsidR="009F16BF" w:rsidRPr="007A1D2B" w:rsidRDefault="009F16BF" w:rsidP="009F16BF">
      <w:pPr>
        <w:ind w:firstLine="720"/>
        <w:jc w:val="both"/>
      </w:pPr>
      <w:r>
        <w:rPr>
          <w:rFonts w:cs="Calibri"/>
        </w:rPr>
        <w:t>Law school can be a stressful time</w:t>
      </w:r>
      <w:r w:rsidRPr="00DB5C27">
        <w:rPr>
          <w:rFonts w:cs="Calibri"/>
        </w:rPr>
        <w:t>.</w:t>
      </w:r>
      <w:r>
        <w:rPr>
          <w:rFonts w:cs="Calibri"/>
        </w:rPr>
        <w:t xml:space="preserve"> Do not be afraid to get help when needed. We all go through difficulties, and here are some resources that can help:</w:t>
      </w:r>
      <w:r w:rsidRPr="00DB5C27">
        <w:rPr>
          <w:rFonts w:cs="Calibri"/>
        </w:rPr>
        <w:t xml:space="preserve"> </w:t>
      </w:r>
    </w:p>
    <w:p w14:paraId="3751FB6A" w14:textId="77777777" w:rsidR="009F16BF" w:rsidRPr="00DB5C27" w:rsidRDefault="009F16BF" w:rsidP="009F16BF">
      <w:pPr>
        <w:pStyle w:val="ListParagraph"/>
        <w:ind w:left="1080"/>
        <w:rPr>
          <w:rFonts w:cs="Calibri"/>
        </w:rPr>
      </w:pPr>
    </w:p>
    <w:p w14:paraId="5F26D9BD" w14:textId="2CD5F1E0" w:rsidR="009F16BF" w:rsidRPr="00DB5C27" w:rsidRDefault="009F16BF" w:rsidP="009F16BF">
      <w:pPr>
        <w:pStyle w:val="ListParagraph"/>
        <w:numPr>
          <w:ilvl w:val="0"/>
          <w:numId w:val="5"/>
        </w:numPr>
        <w:spacing w:after="160" w:line="259" w:lineRule="auto"/>
        <w:ind w:left="1440"/>
        <w:contextualSpacing/>
        <w:rPr>
          <w:rFonts w:cs="Calibri"/>
        </w:rPr>
      </w:pPr>
      <w:r w:rsidRPr="00DB5C27">
        <w:rPr>
          <w:rFonts w:cs="Calibri"/>
          <w:i/>
          <w:color w:val="202020"/>
        </w:rPr>
        <w:t>U Matter, We Care</w:t>
      </w:r>
      <w:r w:rsidRPr="00DB5C27">
        <w:rPr>
          <w:rFonts w:cs="Calibri"/>
          <w:color w:val="202020"/>
        </w:rPr>
        <w:t xml:space="preserve">: If you or someone you know is in distress, please contact </w:t>
      </w:r>
      <w:hyperlink r:id="rId16" w:history="1">
        <w:r w:rsidR="00957844" w:rsidRPr="006934BB">
          <w:rPr>
            <w:rStyle w:val="Hyperlink"/>
            <w:rFonts w:cs="Calibri"/>
          </w:rPr>
          <w:t xml:space="preserve">umatter@ufl.edu, </w:t>
        </w:r>
      </w:hyperlink>
      <w:r w:rsidRPr="00DB5C27">
        <w:rPr>
          <w:rFonts w:cs="Calibri"/>
          <w:color w:val="202020"/>
        </w:rPr>
        <w:t xml:space="preserve">352-392-1575, or visit </w:t>
      </w:r>
      <w:hyperlink r:id="rId17" w:history="1">
        <w:r w:rsidRPr="00DB5C27">
          <w:rPr>
            <w:rStyle w:val="Hyperlink"/>
            <w:rFonts w:cs="Calibri"/>
          </w:rPr>
          <w:t>U Matter, We Care website</w:t>
        </w:r>
      </w:hyperlink>
      <w:r w:rsidRPr="00DB5C27">
        <w:rPr>
          <w:rFonts w:cs="Calibri"/>
        </w:rPr>
        <w:t xml:space="preserve"> </w:t>
      </w:r>
      <w:r w:rsidRPr="00DB5C27">
        <w:rPr>
          <w:rFonts w:cs="Calibri"/>
          <w:color w:val="202020"/>
        </w:rPr>
        <w:t>to refer or report a concern and a team member will reach out to the student in distress.</w:t>
      </w:r>
    </w:p>
    <w:p w14:paraId="707C0565" w14:textId="77777777" w:rsidR="009F16BF" w:rsidRPr="00DB5C27" w:rsidRDefault="009F16BF" w:rsidP="009F16BF">
      <w:pPr>
        <w:pStyle w:val="ListParagraph"/>
        <w:ind w:left="1800"/>
        <w:rPr>
          <w:rFonts w:cs="Calibri"/>
          <w:i/>
          <w:color w:val="202020"/>
        </w:rPr>
      </w:pPr>
    </w:p>
    <w:p w14:paraId="60E7D672" w14:textId="77777777" w:rsidR="009F16BF" w:rsidRPr="00DB5C27" w:rsidRDefault="009F16BF" w:rsidP="009F16BF">
      <w:pPr>
        <w:pStyle w:val="ListParagraph"/>
        <w:numPr>
          <w:ilvl w:val="0"/>
          <w:numId w:val="5"/>
        </w:numPr>
        <w:spacing w:after="160" w:line="259" w:lineRule="auto"/>
        <w:ind w:left="1440"/>
        <w:contextualSpacing/>
        <w:rPr>
          <w:rFonts w:cs="Calibri"/>
        </w:rPr>
      </w:pPr>
      <w:r w:rsidRPr="00DB5C27">
        <w:rPr>
          <w:rFonts w:cs="Calibri"/>
          <w:i/>
          <w:color w:val="202020"/>
        </w:rPr>
        <w:lastRenderedPageBreak/>
        <w:t>Counseling and Wellness Center</w:t>
      </w:r>
      <w:r w:rsidRPr="00DB5C27">
        <w:rPr>
          <w:rFonts w:cs="Calibri"/>
          <w:color w:val="202020"/>
        </w:rPr>
        <w:t xml:space="preserve">: </w:t>
      </w:r>
      <w:hyperlink r:id="rId18" w:history="1">
        <w:r w:rsidRPr="00DB5C27">
          <w:rPr>
            <w:rStyle w:val="Hyperlink"/>
            <w:rFonts w:cs="Calibri"/>
          </w:rPr>
          <w:t>Visit the Counseling and Wellness Center website</w:t>
        </w:r>
      </w:hyperlink>
      <w:r w:rsidRPr="00DB5C27">
        <w:rPr>
          <w:rFonts w:cs="Calibri"/>
          <w:color w:val="202020"/>
        </w:rPr>
        <w:t xml:space="preserve"> or call 352-392-1575 for information on crisis services as well as non-crisis services.</w:t>
      </w:r>
    </w:p>
    <w:p w14:paraId="391ABCD7" w14:textId="77777777" w:rsidR="009F16BF" w:rsidRPr="00DB5C27" w:rsidRDefault="009F16BF" w:rsidP="009F16BF">
      <w:pPr>
        <w:pStyle w:val="ListParagraph"/>
        <w:ind w:left="1800"/>
        <w:rPr>
          <w:rFonts w:cs="Calibri"/>
          <w:i/>
          <w:color w:val="202020"/>
        </w:rPr>
      </w:pPr>
    </w:p>
    <w:p w14:paraId="51CB4D62" w14:textId="77777777" w:rsidR="009F16BF" w:rsidRPr="00DB5C27" w:rsidRDefault="009F16BF" w:rsidP="009F16BF">
      <w:pPr>
        <w:pStyle w:val="ListParagraph"/>
        <w:numPr>
          <w:ilvl w:val="0"/>
          <w:numId w:val="5"/>
        </w:numPr>
        <w:spacing w:after="160" w:line="259" w:lineRule="auto"/>
        <w:ind w:left="1440"/>
        <w:contextualSpacing/>
        <w:rPr>
          <w:rFonts w:cs="Calibri"/>
        </w:rPr>
      </w:pPr>
      <w:r w:rsidRPr="00DB5C27">
        <w:rPr>
          <w:rFonts w:cs="Calibri"/>
          <w:i/>
          <w:color w:val="202020"/>
        </w:rPr>
        <w:t>Student Health Care Center</w:t>
      </w:r>
      <w:r w:rsidRPr="00DB5C27">
        <w:rPr>
          <w:rFonts w:cs="Calibri"/>
          <w:color w:val="202020"/>
        </w:rPr>
        <w:t xml:space="preserve">: Call 352-392-1161 for 24/7 information to help you find the care you need, or </w:t>
      </w:r>
      <w:hyperlink r:id="rId19" w:history="1">
        <w:r w:rsidRPr="00DB5C27">
          <w:rPr>
            <w:rStyle w:val="Hyperlink"/>
            <w:rFonts w:cs="Calibri"/>
          </w:rPr>
          <w:t>visit the Student Health Care Center website</w:t>
        </w:r>
      </w:hyperlink>
      <w:r w:rsidRPr="00DB5C27">
        <w:rPr>
          <w:rFonts w:cs="Calibri"/>
          <w:color w:val="202020"/>
        </w:rPr>
        <w:t>.</w:t>
      </w:r>
    </w:p>
    <w:p w14:paraId="7F649B2A" w14:textId="77777777" w:rsidR="009F16BF" w:rsidRPr="00DB5C27" w:rsidRDefault="009F16BF" w:rsidP="009F16BF">
      <w:pPr>
        <w:pStyle w:val="ListParagraph"/>
        <w:ind w:left="1800"/>
        <w:rPr>
          <w:rFonts w:cs="Calibri"/>
          <w:i/>
          <w:color w:val="202020"/>
        </w:rPr>
      </w:pPr>
    </w:p>
    <w:p w14:paraId="51A1900B" w14:textId="77777777" w:rsidR="009F16BF" w:rsidRPr="00DB5C27" w:rsidRDefault="009F16BF" w:rsidP="009F16BF">
      <w:pPr>
        <w:pStyle w:val="ListParagraph"/>
        <w:numPr>
          <w:ilvl w:val="0"/>
          <w:numId w:val="5"/>
        </w:numPr>
        <w:spacing w:after="160" w:line="259" w:lineRule="auto"/>
        <w:ind w:left="1440"/>
        <w:contextualSpacing/>
        <w:rPr>
          <w:rFonts w:cs="Calibri"/>
        </w:rPr>
      </w:pPr>
      <w:r w:rsidRPr="00DB5C27">
        <w:rPr>
          <w:rFonts w:cs="Calibri"/>
          <w:i/>
          <w:color w:val="202020"/>
        </w:rPr>
        <w:t>University Police Department</w:t>
      </w:r>
      <w:r w:rsidRPr="00DB5C27">
        <w:rPr>
          <w:rFonts w:cs="Calibri"/>
          <w:color w:val="202020"/>
        </w:rPr>
        <w:t xml:space="preserve">: </w:t>
      </w:r>
      <w:hyperlink r:id="rId20" w:history="1">
        <w:r w:rsidRPr="00DB5C27">
          <w:rPr>
            <w:rStyle w:val="Hyperlink"/>
            <w:rFonts w:cs="Calibri"/>
          </w:rPr>
          <w:t>Visit UF Police Department website</w:t>
        </w:r>
      </w:hyperlink>
      <w:r w:rsidRPr="00DB5C27">
        <w:rPr>
          <w:rFonts w:cs="Calibri"/>
          <w:color w:val="202020"/>
        </w:rPr>
        <w:t xml:space="preserve"> or call 352-392-1111 (or 9-1-1 for emergencies).</w:t>
      </w:r>
    </w:p>
    <w:p w14:paraId="3E1FE484" w14:textId="77777777" w:rsidR="009F16BF" w:rsidRPr="00DB5C27" w:rsidRDefault="009F16BF" w:rsidP="009F16BF">
      <w:pPr>
        <w:pStyle w:val="ListParagraph"/>
        <w:ind w:left="1800"/>
        <w:rPr>
          <w:rFonts w:cs="Calibri"/>
          <w:i/>
          <w:color w:val="202020"/>
        </w:rPr>
      </w:pPr>
    </w:p>
    <w:p w14:paraId="688E72B8" w14:textId="77777777" w:rsidR="009F16BF" w:rsidRPr="00DB5C27" w:rsidRDefault="009F16BF" w:rsidP="009F16BF">
      <w:pPr>
        <w:pStyle w:val="ListParagraph"/>
        <w:numPr>
          <w:ilvl w:val="0"/>
          <w:numId w:val="5"/>
        </w:numPr>
        <w:spacing w:after="160" w:line="259" w:lineRule="auto"/>
        <w:ind w:left="1440"/>
        <w:contextualSpacing/>
        <w:rPr>
          <w:rFonts w:cs="Calibri"/>
        </w:rPr>
      </w:pPr>
      <w:r w:rsidRPr="00DB5C27">
        <w:rPr>
          <w:rFonts w:cs="Calibri"/>
          <w:i/>
          <w:color w:val="202020"/>
        </w:rPr>
        <w:t xml:space="preserve">UF Health Shands Emergency Room / Trauma Center: </w:t>
      </w:r>
      <w:r w:rsidRPr="00DB5C27">
        <w:rPr>
          <w:rFonts w:cs="Calibri"/>
          <w:color w:val="202020"/>
        </w:rPr>
        <w:t xml:space="preserve">For immediate medical care call 352-733-0111 or go to the emergency room at 1515 SW Archer Road, Gainesville, FL 32608; </w:t>
      </w:r>
      <w:hyperlink r:id="rId21" w:history="1">
        <w:r w:rsidRPr="00DB5C27">
          <w:rPr>
            <w:rStyle w:val="Hyperlink"/>
            <w:rFonts w:cs="Calibri"/>
          </w:rPr>
          <w:t>Visit the UF Health Emergency Room and Trauma Center website</w:t>
        </w:r>
      </w:hyperlink>
      <w:r w:rsidRPr="00DB5C27">
        <w:rPr>
          <w:rFonts w:cs="Calibri"/>
          <w:color w:val="202020"/>
        </w:rPr>
        <w:t>.</w:t>
      </w:r>
    </w:p>
    <w:p w14:paraId="0FF89FA0" w14:textId="77777777" w:rsidR="00D90117" w:rsidRDefault="00D90117" w:rsidP="004F158C">
      <w:pPr>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5"/>
      </w:tblGrid>
      <w:tr w:rsidR="00462312" w:rsidRPr="00FA003D" w14:paraId="48A3C786" w14:textId="77777777" w:rsidTr="007429F1">
        <w:trPr>
          <w:jc w:val="center"/>
        </w:trPr>
        <w:tc>
          <w:tcPr>
            <w:tcW w:w="8365" w:type="dxa"/>
          </w:tcPr>
          <w:p w14:paraId="5010849B" w14:textId="77777777" w:rsidR="00462312" w:rsidRPr="0070607E" w:rsidRDefault="00462312" w:rsidP="007429F1">
            <w:pPr>
              <w:jc w:val="both"/>
              <w:rPr>
                <w:b/>
                <w:smallCaps/>
                <w:sz w:val="16"/>
                <w:szCs w:val="16"/>
              </w:rPr>
            </w:pPr>
          </w:p>
          <w:p w14:paraId="24BC1317" w14:textId="77777777" w:rsidR="00462312" w:rsidRPr="00D622C7" w:rsidRDefault="00462312" w:rsidP="007429F1">
            <w:pPr>
              <w:jc w:val="both"/>
              <w:rPr>
                <w:b/>
                <w:highlight w:val="yellow"/>
                <w:u w:val="single"/>
              </w:rPr>
            </w:pPr>
            <w:r>
              <w:rPr>
                <w:b/>
                <w:smallCaps/>
              </w:rPr>
              <w:t xml:space="preserve">Chapter 1: </w:t>
            </w:r>
            <w:r w:rsidR="00354A16">
              <w:rPr>
                <w:b/>
                <w:smallCaps/>
              </w:rPr>
              <w:t>Introduction</w:t>
            </w:r>
          </w:p>
          <w:p w14:paraId="5E351898" w14:textId="77777777" w:rsidR="00462312" w:rsidRPr="00FB3EC9" w:rsidRDefault="00462312" w:rsidP="007429F1">
            <w:pPr>
              <w:rPr>
                <w:sz w:val="16"/>
                <w:szCs w:val="16"/>
              </w:rPr>
            </w:pPr>
          </w:p>
          <w:p w14:paraId="35FD64BF" w14:textId="77777777" w:rsidR="00462312" w:rsidRDefault="005D426F" w:rsidP="007429F1">
            <w:r>
              <w:t>The Aquatic Cycle</w:t>
            </w:r>
          </w:p>
          <w:p w14:paraId="550ED1F2" w14:textId="77777777" w:rsidR="005D426F" w:rsidRPr="002D7626" w:rsidRDefault="005D426F" w:rsidP="007429F1">
            <w:pPr>
              <w:rPr>
                <w:sz w:val="16"/>
                <w:szCs w:val="16"/>
              </w:rPr>
            </w:pPr>
          </w:p>
          <w:p w14:paraId="34991398" w14:textId="77777777" w:rsidR="005D426F" w:rsidRPr="00FA003D" w:rsidRDefault="005D426F" w:rsidP="007429F1">
            <w:r>
              <w:t>Water use in the U.S. and Globally</w:t>
            </w:r>
          </w:p>
          <w:p w14:paraId="6F919086" w14:textId="77777777" w:rsidR="00462312" w:rsidRPr="00FB3EC9" w:rsidRDefault="00462312" w:rsidP="007429F1">
            <w:pPr>
              <w:rPr>
                <w:sz w:val="16"/>
                <w:szCs w:val="16"/>
              </w:rPr>
            </w:pPr>
          </w:p>
          <w:p w14:paraId="3E624A82" w14:textId="77777777" w:rsidR="00B00472" w:rsidRDefault="005D426F" w:rsidP="007429F1">
            <w:r>
              <w:t>Water Quality, Ecosystem Health, and Climate Change</w:t>
            </w:r>
          </w:p>
          <w:p w14:paraId="5BD1315F" w14:textId="77777777" w:rsidR="00E228F7" w:rsidRPr="00E228F7" w:rsidRDefault="00E228F7" w:rsidP="007429F1">
            <w:pPr>
              <w:rPr>
                <w:sz w:val="16"/>
                <w:szCs w:val="16"/>
              </w:rPr>
            </w:pPr>
          </w:p>
          <w:p w14:paraId="035FE2AE" w14:textId="6744E5DF" w:rsidR="00E228F7" w:rsidRDefault="00E228F7" w:rsidP="007429F1">
            <w:r>
              <w:t>The Emerging Human Right to Water</w:t>
            </w:r>
          </w:p>
          <w:p w14:paraId="1087E689" w14:textId="77777777" w:rsidR="00D358FC" w:rsidRPr="00FB3EC9" w:rsidRDefault="00D358FC" w:rsidP="007429F1">
            <w:pPr>
              <w:rPr>
                <w:sz w:val="16"/>
                <w:szCs w:val="16"/>
              </w:rPr>
            </w:pPr>
          </w:p>
        </w:tc>
      </w:tr>
      <w:tr w:rsidR="005229E1" w:rsidRPr="00FA003D" w14:paraId="24AE4197" w14:textId="77777777" w:rsidTr="007429F1">
        <w:trPr>
          <w:jc w:val="center"/>
        </w:trPr>
        <w:tc>
          <w:tcPr>
            <w:tcW w:w="8365" w:type="dxa"/>
          </w:tcPr>
          <w:p w14:paraId="4E2A2A88" w14:textId="77777777" w:rsidR="005229E1" w:rsidRDefault="005229E1" w:rsidP="005229E1">
            <w:pPr>
              <w:jc w:val="both"/>
              <w:rPr>
                <w:b/>
                <w:smallCaps/>
              </w:rPr>
            </w:pPr>
          </w:p>
          <w:p w14:paraId="42AE8EDB" w14:textId="77777777" w:rsidR="005229E1" w:rsidRPr="00D622C7" w:rsidRDefault="002D7626" w:rsidP="005229E1">
            <w:pPr>
              <w:jc w:val="both"/>
              <w:rPr>
                <w:b/>
                <w:highlight w:val="yellow"/>
                <w:u w:val="single"/>
              </w:rPr>
            </w:pPr>
            <w:r>
              <w:rPr>
                <w:b/>
                <w:smallCaps/>
              </w:rPr>
              <w:t>Chapter 2</w:t>
            </w:r>
            <w:r w:rsidR="005229E1">
              <w:rPr>
                <w:b/>
                <w:smallCaps/>
              </w:rPr>
              <w:t>:</w:t>
            </w:r>
            <w:r w:rsidR="003E71A3">
              <w:rPr>
                <w:b/>
                <w:smallCaps/>
              </w:rPr>
              <w:t xml:space="preserve"> </w:t>
            </w:r>
            <w:r>
              <w:rPr>
                <w:b/>
                <w:smallCaps/>
              </w:rPr>
              <w:t>Riparian Law</w:t>
            </w:r>
          </w:p>
          <w:p w14:paraId="3DAB2D2B" w14:textId="77777777" w:rsidR="005229E1" w:rsidRPr="00FB3EC9" w:rsidRDefault="005229E1" w:rsidP="005229E1">
            <w:pPr>
              <w:rPr>
                <w:sz w:val="16"/>
                <w:szCs w:val="16"/>
              </w:rPr>
            </w:pPr>
          </w:p>
          <w:p w14:paraId="6AF09AA4" w14:textId="77777777" w:rsidR="005229E1" w:rsidRDefault="002D7626" w:rsidP="005229E1">
            <w:r>
              <w:t>What is Riparian Property and What are Riparian Rights</w:t>
            </w:r>
          </w:p>
          <w:p w14:paraId="2B69857B" w14:textId="77777777" w:rsidR="004D5F01" w:rsidRPr="004D5F01" w:rsidRDefault="004D5F01" w:rsidP="005229E1">
            <w:pPr>
              <w:rPr>
                <w:sz w:val="16"/>
                <w:szCs w:val="16"/>
              </w:rPr>
            </w:pPr>
          </w:p>
          <w:p w14:paraId="0A329BED" w14:textId="77777777" w:rsidR="005229E1" w:rsidRDefault="002D7626" w:rsidP="00552D24">
            <w:r>
              <w:t>Consumptive Riparian Uses and Beyond</w:t>
            </w:r>
            <w:r w:rsidR="004D5F01">
              <w:t xml:space="preserve"> </w:t>
            </w:r>
          </w:p>
          <w:p w14:paraId="52947736" w14:textId="77777777" w:rsidR="00552D24" w:rsidRPr="0070607E" w:rsidRDefault="00552D24" w:rsidP="00552D24">
            <w:pPr>
              <w:rPr>
                <w:b/>
                <w:smallCaps/>
                <w:sz w:val="16"/>
                <w:szCs w:val="16"/>
              </w:rPr>
            </w:pPr>
          </w:p>
        </w:tc>
      </w:tr>
      <w:tr w:rsidR="00462312" w:rsidRPr="00FA003D" w14:paraId="6B1994FE" w14:textId="77777777" w:rsidTr="007429F1">
        <w:trPr>
          <w:jc w:val="center"/>
        </w:trPr>
        <w:tc>
          <w:tcPr>
            <w:tcW w:w="8365" w:type="dxa"/>
          </w:tcPr>
          <w:p w14:paraId="4C16F1B5" w14:textId="77777777" w:rsidR="00462312" w:rsidRPr="0070607E" w:rsidRDefault="00462312" w:rsidP="007429F1">
            <w:pPr>
              <w:jc w:val="both"/>
              <w:rPr>
                <w:b/>
                <w:smallCaps/>
                <w:sz w:val="16"/>
                <w:szCs w:val="16"/>
              </w:rPr>
            </w:pPr>
          </w:p>
          <w:p w14:paraId="27437AE8" w14:textId="77777777" w:rsidR="00462312" w:rsidRPr="00D622C7" w:rsidRDefault="00462312" w:rsidP="007429F1">
            <w:pPr>
              <w:jc w:val="both"/>
              <w:rPr>
                <w:b/>
                <w:highlight w:val="yellow"/>
                <w:u w:val="single"/>
              </w:rPr>
            </w:pPr>
            <w:r>
              <w:rPr>
                <w:b/>
                <w:smallCaps/>
              </w:rPr>
              <w:t xml:space="preserve">Chapter </w:t>
            </w:r>
            <w:r w:rsidR="002D7626">
              <w:rPr>
                <w:b/>
                <w:smallCaps/>
              </w:rPr>
              <w:t>3</w:t>
            </w:r>
            <w:r>
              <w:rPr>
                <w:b/>
                <w:smallCaps/>
              </w:rPr>
              <w:t>:</w:t>
            </w:r>
            <w:r w:rsidR="003E71A3">
              <w:rPr>
                <w:b/>
                <w:smallCaps/>
              </w:rPr>
              <w:t xml:space="preserve"> </w:t>
            </w:r>
            <w:r w:rsidR="002D7626">
              <w:rPr>
                <w:b/>
                <w:smallCaps/>
              </w:rPr>
              <w:t>History and Principles of Prior Appropriation</w:t>
            </w:r>
          </w:p>
          <w:p w14:paraId="62CEDB10" w14:textId="77777777" w:rsidR="00462312" w:rsidRPr="00FB3EC9" w:rsidRDefault="00462312" w:rsidP="007429F1">
            <w:pPr>
              <w:rPr>
                <w:sz w:val="16"/>
                <w:szCs w:val="16"/>
              </w:rPr>
            </w:pPr>
          </w:p>
          <w:p w14:paraId="34B6EB46" w14:textId="77777777" w:rsidR="00462312" w:rsidRDefault="002D7626" w:rsidP="007429F1">
            <w:r>
              <w:t>Origins and Variations of Prior Appropriation</w:t>
            </w:r>
          </w:p>
          <w:p w14:paraId="686CBCEF" w14:textId="77777777" w:rsidR="002D7626" w:rsidRPr="002D7626" w:rsidRDefault="002D7626" w:rsidP="007429F1">
            <w:pPr>
              <w:rPr>
                <w:sz w:val="16"/>
                <w:szCs w:val="16"/>
              </w:rPr>
            </w:pPr>
          </w:p>
          <w:p w14:paraId="2E991B3B" w14:textId="77777777" w:rsidR="002D7626" w:rsidRDefault="002D7626" w:rsidP="007429F1">
            <w:r>
              <w:t>Elements and Attributes of Appropriative Rights</w:t>
            </w:r>
          </w:p>
          <w:p w14:paraId="42B66A52" w14:textId="77777777" w:rsidR="00B00472" w:rsidRPr="00FB3EC9" w:rsidRDefault="00B00472" w:rsidP="00EC0003">
            <w:pPr>
              <w:rPr>
                <w:sz w:val="16"/>
                <w:szCs w:val="16"/>
              </w:rPr>
            </w:pPr>
          </w:p>
        </w:tc>
      </w:tr>
      <w:tr w:rsidR="00462312" w:rsidRPr="00FA003D" w14:paraId="089A5DF9" w14:textId="77777777" w:rsidTr="007429F1">
        <w:trPr>
          <w:jc w:val="center"/>
        </w:trPr>
        <w:tc>
          <w:tcPr>
            <w:tcW w:w="8365" w:type="dxa"/>
          </w:tcPr>
          <w:p w14:paraId="4F75BFDF" w14:textId="77777777" w:rsidR="00462312" w:rsidRPr="0070607E" w:rsidRDefault="00462312" w:rsidP="007429F1">
            <w:pPr>
              <w:jc w:val="both"/>
              <w:rPr>
                <w:b/>
                <w:smallCaps/>
                <w:sz w:val="16"/>
                <w:szCs w:val="16"/>
              </w:rPr>
            </w:pPr>
          </w:p>
          <w:p w14:paraId="734EA18E" w14:textId="77777777" w:rsidR="00462312" w:rsidRPr="00D622C7" w:rsidRDefault="00462312" w:rsidP="007429F1">
            <w:pPr>
              <w:jc w:val="both"/>
              <w:rPr>
                <w:b/>
                <w:highlight w:val="yellow"/>
                <w:u w:val="single"/>
              </w:rPr>
            </w:pPr>
            <w:r>
              <w:rPr>
                <w:b/>
                <w:smallCaps/>
              </w:rPr>
              <w:t xml:space="preserve">Chapter </w:t>
            </w:r>
            <w:r w:rsidR="002D7626">
              <w:rPr>
                <w:b/>
                <w:smallCaps/>
              </w:rPr>
              <w:t>4</w:t>
            </w:r>
            <w:r>
              <w:rPr>
                <w:b/>
                <w:smallCaps/>
              </w:rPr>
              <w:t xml:space="preserve">: </w:t>
            </w:r>
            <w:r w:rsidR="002D7626">
              <w:rPr>
                <w:b/>
                <w:smallCaps/>
              </w:rPr>
              <w:t>Groundwater</w:t>
            </w:r>
          </w:p>
          <w:p w14:paraId="2A98B2BB" w14:textId="77777777" w:rsidR="00462312" w:rsidRPr="00FB3EC9" w:rsidRDefault="00462312" w:rsidP="007429F1">
            <w:pPr>
              <w:rPr>
                <w:b/>
                <w:sz w:val="16"/>
                <w:szCs w:val="16"/>
              </w:rPr>
            </w:pPr>
          </w:p>
          <w:p w14:paraId="3F0D8A5F" w14:textId="77777777" w:rsidR="00462312" w:rsidRDefault="002D7626" w:rsidP="00552D24">
            <w:r>
              <w:t>Basic Groundwater Hydrology</w:t>
            </w:r>
          </w:p>
          <w:p w14:paraId="05824192" w14:textId="77777777" w:rsidR="00B00472" w:rsidRPr="00FB3EC9" w:rsidRDefault="00B00472" w:rsidP="007429F1">
            <w:pPr>
              <w:rPr>
                <w:sz w:val="16"/>
                <w:szCs w:val="16"/>
              </w:rPr>
            </w:pPr>
          </w:p>
          <w:p w14:paraId="711A3675" w14:textId="77777777" w:rsidR="00D90117" w:rsidRDefault="002D7626" w:rsidP="00552D24">
            <w:r>
              <w:t>Common-Law Groundwater Doctrines</w:t>
            </w:r>
          </w:p>
          <w:p w14:paraId="15A81E18" w14:textId="77777777" w:rsidR="002D7626" w:rsidRPr="002D7626" w:rsidRDefault="002D7626" w:rsidP="00552D24">
            <w:pPr>
              <w:rPr>
                <w:sz w:val="16"/>
                <w:szCs w:val="16"/>
              </w:rPr>
            </w:pPr>
          </w:p>
          <w:p w14:paraId="6D972E4C" w14:textId="77777777" w:rsidR="002D7626" w:rsidRPr="00EC0003" w:rsidRDefault="002D7626" w:rsidP="00552D24">
            <w:r>
              <w:t>Groundwater-Surface Water Interactions</w:t>
            </w:r>
          </w:p>
          <w:p w14:paraId="5BD8008F" w14:textId="77777777" w:rsidR="00D90117" w:rsidRPr="00FB3EC9" w:rsidRDefault="00D90117" w:rsidP="00552D24">
            <w:pPr>
              <w:rPr>
                <w:sz w:val="16"/>
                <w:szCs w:val="16"/>
              </w:rPr>
            </w:pPr>
          </w:p>
        </w:tc>
      </w:tr>
      <w:tr w:rsidR="00462312" w:rsidRPr="00FA003D" w14:paraId="739230C3" w14:textId="77777777" w:rsidTr="007429F1">
        <w:trPr>
          <w:trHeight w:val="1070"/>
          <w:jc w:val="center"/>
        </w:trPr>
        <w:tc>
          <w:tcPr>
            <w:tcW w:w="8365" w:type="dxa"/>
          </w:tcPr>
          <w:p w14:paraId="2513BBC7" w14:textId="77777777" w:rsidR="00462312" w:rsidRPr="0070607E" w:rsidRDefault="00462312" w:rsidP="007429F1">
            <w:pPr>
              <w:rPr>
                <w:sz w:val="16"/>
                <w:szCs w:val="16"/>
              </w:rPr>
            </w:pPr>
          </w:p>
          <w:p w14:paraId="01177C1E" w14:textId="77777777" w:rsidR="00462312" w:rsidRPr="00D622C7" w:rsidRDefault="00B00472" w:rsidP="007429F1">
            <w:pPr>
              <w:jc w:val="both"/>
              <w:rPr>
                <w:b/>
                <w:highlight w:val="yellow"/>
                <w:u w:val="single"/>
              </w:rPr>
            </w:pPr>
            <w:r>
              <w:rPr>
                <w:b/>
                <w:smallCaps/>
              </w:rPr>
              <w:t xml:space="preserve">Chapter </w:t>
            </w:r>
            <w:r w:rsidR="003E71A3">
              <w:rPr>
                <w:b/>
                <w:smallCaps/>
              </w:rPr>
              <w:t>7</w:t>
            </w:r>
            <w:r w:rsidR="00462312">
              <w:rPr>
                <w:b/>
                <w:smallCaps/>
              </w:rPr>
              <w:t xml:space="preserve">: </w:t>
            </w:r>
            <w:r w:rsidR="003E71A3">
              <w:rPr>
                <w:b/>
                <w:smallCaps/>
              </w:rPr>
              <w:t>Public Rights in Water: The Public Trust Doctrine</w:t>
            </w:r>
          </w:p>
          <w:p w14:paraId="7D012E90" w14:textId="77777777" w:rsidR="00462312" w:rsidRPr="00FB3EC9" w:rsidRDefault="00462312" w:rsidP="007429F1">
            <w:pPr>
              <w:jc w:val="both"/>
              <w:rPr>
                <w:b/>
                <w:smallCaps/>
                <w:sz w:val="16"/>
                <w:szCs w:val="16"/>
              </w:rPr>
            </w:pPr>
          </w:p>
          <w:p w14:paraId="316435D6" w14:textId="77777777" w:rsidR="00B00472" w:rsidRDefault="003E71A3" w:rsidP="00B00472">
            <w:r>
              <w:t>Origins of the Public Trust Doctrine</w:t>
            </w:r>
          </w:p>
          <w:p w14:paraId="6C722AEE" w14:textId="77777777" w:rsidR="003E71A3" w:rsidRPr="003E71A3" w:rsidRDefault="003E71A3" w:rsidP="00B00472">
            <w:pPr>
              <w:rPr>
                <w:sz w:val="16"/>
                <w:szCs w:val="16"/>
              </w:rPr>
            </w:pPr>
          </w:p>
          <w:p w14:paraId="197C9E21" w14:textId="4B4C86BF" w:rsidR="00DB4C84" w:rsidRDefault="003E71A3" w:rsidP="00B00472">
            <w:r>
              <w:t>State Versions of the Public Trust Doctrine</w:t>
            </w:r>
          </w:p>
          <w:p w14:paraId="5CCB052B" w14:textId="77777777" w:rsidR="00462312" w:rsidRPr="00FB3EC9" w:rsidRDefault="00462312" w:rsidP="000A7274">
            <w:pPr>
              <w:rPr>
                <w:sz w:val="16"/>
                <w:szCs w:val="16"/>
              </w:rPr>
            </w:pPr>
          </w:p>
        </w:tc>
      </w:tr>
      <w:tr w:rsidR="00462312" w:rsidRPr="00FA003D" w14:paraId="75AB6C0D" w14:textId="77777777" w:rsidTr="007429F1">
        <w:trPr>
          <w:jc w:val="center"/>
        </w:trPr>
        <w:tc>
          <w:tcPr>
            <w:tcW w:w="8365" w:type="dxa"/>
          </w:tcPr>
          <w:p w14:paraId="4A65A97E" w14:textId="77777777" w:rsidR="00462312" w:rsidRPr="0070607E" w:rsidRDefault="00462312" w:rsidP="007429F1">
            <w:pPr>
              <w:jc w:val="both"/>
              <w:rPr>
                <w:b/>
                <w:smallCaps/>
                <w:sz w:val="16"/>
                <w:szCs w:val="16"/>
              </w:rPr>
            </w:pPr>
          </w:p>
          <w:p w14:paraId="39241BF8" w14:textId="77777777" w:rsidR="00462312" w:rsidRPr="00D622C7" w:rsidRDefault="00462312" w:rsidP="007429F1">
            <w:pPr>
              <w:jc w:val="both"/>
              <w:rPr>
                <w:b/>
                <w:highlight w:val="yellow"/>
                <w:u w:val="single"/>
              </w:rPr>
            </w:pPr>
            <w:r>
              <w:rPr>
                <w:b/>
                <w:smallCaps/>
              </w:rPr>
              <w:t xml:space="preserve">Chapter </w:t>
            </w:r>
            <w:r w:rsidR="003E71A3">
              <w:rPr>
                <w:b/>
                <w:smallCaps/>
              </w:rPr>
              <w:t>8</w:t>
            </w:r>
            <w:r>
              <w:rPr>
                <w:b/>
                <w:smallCaps/>
              </w:rPr>
              <w:t xml:space="preserve">: </w:t>
            </w:r>
            <w:r w:rsidR="003E71A3">
              <w:rPr>
                <w:b/>
                <w:smallCaps/>
              </w:rPr>
              <w:t>Federal Water Interests</w:t>
            </w:r>
          </w:p>
          <w:p w14:paraId="3951C0BA" w14:textId="77777777" w:rsidR="00462312" w:rsidRPr="00FB3EC9" w:rsidRDefault="00462312" w:rsidP="007429F1">
            <w:pPr>
              <w:rPr>
                <w:sz w:val="16"/>
                <w:szCs w:val="16"/>
              </w:rPr>
            </w:pPr>
          </w:p>
          <w:p w14:paraId="105B6BED" w14:textId="77777777" w:rsidR="00462312" w:rsidRDefault="003E71A3" w:rsidP="00D45A77">
            <w:r>
              <w:t>Federal Reserved Water Rights</w:t>
            </w:r>
          </w:p>
          <w:p w14:paraId="1E481A19" w14:textId="77777777" w:rsidR="003E71A3" w:rsidRPr="003E71A3" w:rsidRDefault="003E71A3" w:rsidP="00D45A77">
            <w:pPr>
              <w:rPr>
                <w:sz w:val="16"/>
                <w:szCs w:val="16"/>
              </w:rPr>
            </w:pPr>
          </w:p>
          <w:p w14:paraId="108CCFEC" w14:textId="51DA2966" w:rsidR="002414FF" w:rsidRDefault="003E71A3" w:rsidP="00D45A77">
            <w:pPr>
              <w:rPr>
                <w:sz w:val="16"/>
                <w:szCs w:val="16"/>
              </w:rPr>
            </w:pPr>
            <w:r>
              <w:t>Federal Water Projects</w:t>
            </w:r>
          </w:p>
          <w:p w14:paraId="59643E00" w14:textId="44E4974A" w:rsidR="002414FF" w:rsidRPr="00FB3EC9" w:rsidRDefault="002414FF" w:rsidP="00D45A77">
            <w:pPr>
              <w:rPr>
                <w:sz w:val="16"/>
                <w:szCs w:val="16"/>
              </w:rPr>
            </w:pPr>
          </w:p>
        </w:tc>
      </w:tr>
      <w:tr w:rsidR="003E71A3" w:rsidRPr="00FA003D" w14:paraId="60AC63C9" w14:textId="77777777" w:rsidTr="007429F1">
        <w:trPr>
          <w:jc w:val="center"/>
        </w:trPr>
        <w:tc>
          <w:tcPr>
            <w:tcW w:w="8365" w:type="dxa"/>
          </w:tcPr>
          <w:p w14:paraId="4C5D17B2" w14:textId="77777777" w:rsidR="003E71A3" w:rsidRDefault="003E71A3" w:rsidP="003E71A3">
            <w:pPr>
              <w:jc w:val="both"/>
              <w:rPr>
                <w:b/>
                <w:smallCaps/>
              </w:rPr>
            </w:pPr>
          </w:p>
          <w:p w14:paraId="2A62F3F0" w14:textId="77777777" w:rsidR="003E71A3" w:rsidRPr="00D622C7" w:rsidRDefault="003E71A3" w:rsidP="003E71A3">
            <w:pPr>
              <w:jc w:val="both"/>
              <w:rPr>
                <w:b/>
                <w:highlight w:val="yellow"/>
                <w:u w:val="single"/>
              </w:rPr>
            </w:pPr>
            <w:r>
              <w:rPr>
                <w:b/>
                <w:smallCaps/>
              </w:rPr>
              <w:t>Chapter 11: The Intersection of Water Quality and Water Quantity</w:t>
            </w:r>
          </w:p>
          <w:p w14:paraId="313503B9" w14:textId="77777777" w:rsidR="003E71A3" w:rsidRPr="00FB3EC9" w:rsidRDefault="003E71A3" w:rsidP="003E71A3">
            <w:pPr>
              <w:rPr>
                <w:sz w:val="16"/>
                <w:szCs w:val="16"/>
              </w:rPr>
            </w:pPr>
          </w:p>
          <w:p w14:paraId="59DC9943" w14:textId="77777777" w:rsidR="003E71A3" w:rsidRDefault="003E71A3" w:rsidP="003E71A3">
            <w:r>
              <w:t>Water Quality Protection Under the Common Law</w:t>
            </w:r>
          </w:p>
          <w:p w14:paraId="7EF07CFF" w14:textId="77777777" w:rsidR="003E71A3" w:rsidRPr="003E71A3" w:rsidRDefault="003E71A3" w:rsidP="003E71A3">
            <w:pPr>
              <w:rPr>
                <w:sz w:val="16"/>
                <w:szCs w:val="16"/>
              </w:rPr>
            </w:pPr>
          </w:p>
          <w:p w14:paraId="6AF844C9" w14:textId="77777777" w:rsidR="003E71A3" w:rsidRDefault="003E71A3" w:rsidP="003E71A3">
            <w:r>
              <w:t xml:space="preserve">The </w:t>
            </w:r>
            <w:r w:rsidR="0013646C">
              <w:t xml:space="preserve">Federal </w:t>
            </w:r>
            <w:r>
              <w:t>Clean Water Act</w:t>
            </w:r>
          </w:p>
          <w:p w14:paraId="5173C07D" w14:textId="77777777" w:rsidR="003E71A3" w:rsidRPr="0070607E" w:rsidRDefault="003E71A3" w:rsidP="007429F1">
            <w:pPr>
              <w:jc w:val="both"/>
              <w:rPr>
                <w:b/>
                <w:smallCaps/>
                <w:sz w:val="16"/>
                <w:szCs w:val="16"/>
              </w:rPr>
            </w:pPr>
          </w:p>
        </w:tc>
      </w:tr>
      <w:tr w:rsidR="003E71A3" w:rsidRPr="00FA003D" w14:paraId="2E73C58F" w14:textId="77777777" w:rsidTr="007429F1">
        <w:trPr>
          <w:jc w:val="center"/>
        </w:trPr>
        <w:tc>
          <w:tcPr>
            <w:tcW w:w="8365" w:type="dxa"/>
          </w:tcPr>
          <w:p w14:paraId="507CF0D5" w14:textId="77777777" w:rsidR="003E71A3" w:rsidRDefault="003E71A3" w:rsidP="003E71A3">
            <w:pPr>
              <w:jc w:val="both"/>
              <w:rPr>
                <w:b/>
                <w:smallCaps/>
              </w:rPr>
            </w:pPr>
          </w:p>
          <w:p w14:paraId="642FFAE9" w14:textId="77777777" w:rsidR="003E71A3" w:rsidRPr="00D622C7" w:rsidRDefault="003E71A3" w:rsidP="003E71A3">
            <w:pPr>
              <w:jc w:val="both"/>
              <w:rPr>
                <w:b/>
                <w:highlight w:val="yellow"/>
                <w:u w:val="single"/>
              </w:rPr>
            </w:pPr>
            <w:r>
              <w:rPr>
                <w:b/>
                <w:smallCaps/>
              </w:rPr>
              <w:t xml:space="preserve">Chapter 12: </w:t>
            </w:r>
            <w:r w:rsidR="00794E3E">
              <w:rPr>
                <w:b/>
                <w:smallCaps/>
              </w:rPr>
              <w:tab/>
            </w:r>
            <w:r>
              <w:rPr>
                <w:b/>
                <w:smallCaps/>
              </w:rPr>
              <w:t xml:space="preserve">The Federal Endangered Species Act, Water Management, </w:t>
            </w:r>
            <w:r>
              <w:rPr>
                <w:b/>
                <w:smallCaps/>
              </w:rPr>
              <w:tab/>
            </w:r>
            <w:r>
              <w:rPr>
                <w:b/>
                <w:smallCaps/>
              </w:rPr>
              <w:tab/>
              <w:t>and Water Rights</w:t>
            </w:r>
          </w:p>
          <w:p w14:paraId="1FB9AD30" w14:textId="77777777" w:rsidR="003E71A3" w:rsidRPr="00FB3EC9" w:rsidRDefault="003E71A3" w:rsidP="003E71A3">
            <w:pPr>
              <w:rPr>
                <w:sz w:val="16"/>
                <w:szCs w:val="16"/>
              </w:rPr>
            </w:pPr>
          </w:p>
          <w:p w14:paraId="3135DD89" w14:textId="77777777" w:rsidR="003E71A3" w:rsidRDefault="00E228F7" w:rsidP="003E71A3">
            <w:r>
              <w:t>Species Listing; Critical Habitat Designation</w:t>
            </w:r>
          </w:p>
          <w:p w14:paraId="7A80951A" w14:textId="77777777" w:rsidR="00E228F7" w:rsidRPr="00E228F7" w:rsidRDefault="00E228F7" w:rsidP="003E71A3">
            <w:pPr>
              <w:rPr>
                <w:sz w:val="16"/>
                <w:szCs w:val="16"/>
              </w:rPr>
            </w:pPr>
          </w:p>
          <w:p w14:paraId="31E4F976" w14:textId="77777777" w:rsidR="00E228F7" w:rsidRDefault="00E228F7" w:rsidP="003E71A3">
            <w:r>
              <w:t>Section 7 and the Federal Government</w:t>
            </w:r>
          </w:p>
          <w:p w14:paraId="3842F6D0" w14:textId="77777777" w:rsidR="00E228F7" w:rsidRPr="00E228F7" w:rsidRDefault="00E228F7" w:rsidP="003E71A3">
            <w:pPr>
              <w:rPr>
                <w:sz w:val="16"/>
                <w:szCs w:val="16"/>
              </w:rPr>
            </w:pPr>
          </w:p>
          <w:p w14:paraId="6C145F22" w14:textId="77777777" w:rsidR="003E71A3" w:rsidRDefault="00E228F7" w:rsidP="009F16BF">
            <w:r>
              <w:t>Section 9 and Private Actors</w:t>
            </w:r>
          </w:p>
          <w:p w14:paraId="2979530C" w14:textId="65CC5CE3" w:rsidR="009F16BF" w:rsidRPr="009F16BF" w:rsidRDefault="009F16BF" w:rsidP="009F16BF"/>
        </w:tc>
      </w:tr>
      <w:tr w:rsidR="003E71A3" w:rsidRPr="00FA003D" w14:paraId="370E61A2" w14:textId="77777777" w:rsidTr="007429F1">
        <w:trPr>
          <w:jc w:val="center"/>
        </w:trPr>
        <w:tc>
          <w:tcPr>
            <w:tcW w:w="8365" w:type="dxa"/>
          </w:tcPr>
          <w:p w14:paraId="2A6EBC64" w14:textId="77777777" w:rsidR="003E71A3" w:rsidRDefault="003E71A3" w:rsidP="003E71A3">
            <w:pPr>
              <w:jc w:val="both"/>
              <w:rPr>
                <w:b/>
                <w:smallCaps/>
              </w:rPr>
            </w:pPr>
          </w:p>
          <w:p w14:paraId="753E2011" w14:textId="77777777" w:rsidR="003E71A3" w:rsidRPr="00D622C7" w:rsidRDefault="003E71A3" w:rsidP="003E71A3">
            <w:pPr>
              <w:jc w:val="both"/>
              <w:rPr>
                <w:b/>
                <w:highlight w:val="yellow"/>
                <w:u w:val="single"/>
              </w:rPr>
            </w:pPr>
            <w:r>
              <w:rPr>
                <w:b/>
                <w:smallCaps/>
              </w:rPr>
              <w:t xml:space="preserve">Chapter 14: </w:t>
            </w:r>
            <w:r w:rsidR="00794E3E">
              <w:rPr>
                <w:b/>
                <w:smallCaps/>
              </w:rPr>
              <w:tab/>
              <w:t>Public</w:t>
            </w:r>
            <w:r>
              <w:rPr>
                <w:b/>
                <w:smallCaps/>
              </w:rPr>
              <w:t xml:space="preserve"> Interests</w:t>
            </w:r>
            <w:r w:rsidR="00794E3E">
              <w:rPr>
                <w:b/>
                <w:smallCaps/>
              </w:rPr>
              <w:t xml:space="preserve">, Private Rights in Water, and </w:t>
            </w:r>
            <w:r w:rsidR="00794E3E">
              <w:rPr>
                <w:b/>
                <w:smallCaps/>
              </w:rPr>
              <w:tab/>
            </w:r>
            <w:r w:rsidR="00794E3E">
              <w:rPr>
                <w:b/>
                <w:smallCaps/>
              </w:rPr>
              <w:tab/>
            </w:r>
            <w:r w:rsidR="00794E3E">
              <w:rPr>
                <w:b/>
                <w:smallCaps/>
              </w:rPr>
              <w:tab/>
            </w:r>
            <w:r w:rsidR="00794E3E">
              <w:rPr>
                <w:b/>
                <w:smallCaps/>
              </w:rPr>
              <w:tab/>
              <w:t>Constitutional Takings Claims</w:t>
            </w:r>
          </w:p>
          <w:p w14:paraId="6B6120E9" w14:textId="77777777" w:rsidR="003E71A3" w:rsidRPr="00FB3EC9" w:rsidRDefault="003E71A3" w:rsidP="003E71A3">
            <w:pPr>
              <w:rPr>
                <w:sz w:val="16"/>
                <w:szCs w:val="16"/>
              </w:rPr>
            </w:pPr>
          </w:p>
          <w:p w14:paraId="08388ADA" w14:textId="77777777" w:rsidR="003E71A3" w:rsidRDefault="00794E3E" w:rsidP="003E71A3">
            <w:r>
              <w:t>Overview of Takings Law</w:t>
            </w:r>
          </w:p>
          <w:p w14:paraId="7C337893" w14:textId="77777777" w:rsidR="003E71A3" w:rsidRPr="003E71A3" w:rsidRDefault="003E71A3" w:rsidP="003E71A3">
            <w:pPr>
              <w:rPr>
                <w:sz w:val="16"/>
                <w:szCs w:val="16"/>
              </w:rPr>
            </w:pPr>
          </w:p>
          <w:p w14:paraId="5DA5A61F" w14:textId="77777777" w:rsidR="003E71A3" w:rsidRDefault="00794E3E" w:rsidP="003E71A3">
            <w:r>
              <w:t xml:space="preserve">Defining the Property </w:t>
            </w:r>
            <w:r w:rsidR="0013646C">
              <w:t>Interest</w:t>
            </w:r>
          </w:p>
          <w:p w14:paraId="36E2E3E1" w14:textId="77777777" w:rsidR="00794E3E" w:rsidRPr="00794E3E" w:rsidRDefault="00794E3E" w:rsidP="003E71A3">
            <w:pPr>
              <w:rPr>
                <w:sz w:val="16"/>
                <w:szCs w:val="16"/>
              </w:rPr>
            </w:pPr>
          </w:p>
          <w:p w14:paraId="394D08CE" w14:textId="77777777" w:rsidR="00794E3E" w:rsidRDefault="00794E3E" w:rsidP="003E71A3">
            <w:r>
              <w:t>Physical Versus Regulatory Takings of Water Rights</w:t>
            </w:r>
          </w:p>
          <w:p w14:paraId="5B57870C" w14:textId="77777777" w:rsidR="00794E3E" w:rsidRPr="00794E3E" w:rsidRDefault="00794E3E" w:rsidP="003E71A3">
            <w:pPr>
              <w:rPr>
                <w:sz w:val="16"/>
                <w:szCs w:val="16"/>
              </w:rPr>
            </w:pPr>
          </w:p>
          <w:p w14:paraId="47E4CAC0" w14:textId="77777777" w:rsidR="00794E3E" w:rsidRDefault="00794E3E" w:rsidP="003E71A3">
            <w:r>
              <w:t>Calculating Takings Compensation</w:t>
            </w:r>
          </w:p>
          <w:p w14:paraId="2F42F71A" w14:textId="77777777" w:rsidR="003E71A3" w:rsidRDefault="003E71A3" w:rsidP="003E71A3">
            <w:pPr>
              <w:jc w:val="both"/>
              <w:rPr>
                <w:b/>
                <w:smallCaps/>
              </w:rPr>
            </w:pPr>
          </w:p>
        </w:tc>
      </w:tr>
    </w:tbl>
    <w:p w14:paraId="3DC45EBD" w14:textId="77777777" w:rsidR="007C29B0" w:rsidRDefault="007C29B0" w:rsidP="00D45A77"/>
    <w:sectPr w:rsidR="007C29B0" w:rsidSect="00D76B72">
      <w:footerReference w:type="default" r:id="rId22"/>
      <w:pgSz w:w="12240" w:h="15840"/>
      <w:pgMar w:top="630" w:right="1440" w:bottom="117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BB3E" w14:textId="77777777" w:rsidR="00EE343B" w:rsidRDefault="00EE343B" w:rsidP="00F051AF">
      <w:r>
        <w:separator/>
      </w:r>
    </w:p>
  </w:endnote>
  <w:endnote w:type="continuationSeparator" w:id="0">
    <w:p w14:paraId="13E8DA4A" w14:textId="77777777" w:rsidR="00EE343B" w:rsidRDefault="00EE343B" w:rsidP="00F0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635F" w14:textId="77777777" w:rsidR="0084043F" w:rsidRDefault="0084043F">
    <w:pPr>
      <w:pStyle w:val="Footer"/>
      <w:jc w:val="center"/>
    </w:pPr>
    <w:r>
      <w:fldChar w:fldCharType="begin"/>
    </w:r>
    <w:r>
      <w:instrText xml:space="preserve"> PAGE   \* MERGEFORMAT </w:instrText>
    </w:r>
    <w:r>
      <w:fldChar w:fldCharType="separate"/>
    </w:r>
    <w:r w:rsidR="0083634D">
      <w:rPr>
        <w:noProof/>
      </w:rPr>
      <w:t>4</w:t>
    </w:r>
    <w:r>
      <w:fldChar w:fldCharType="end"/>
    </w:r>
  </w:p>
  <w:p w14:paraId="2A622E78" w14:textId="77777777" w:rsidR="0084043F" w:rsidRDefault="0084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62AF" w14:textId="77777777" w:rsidR="00EE343B" w:rsidRDefault="00EE343B" w:rsidP="00F051AF">
      <w:r>
        <w:separator/>
      </w:r>
    </w:p>
  </w:footnote>
  <w:footnote w:type="continuationSeparator" w:id="0">
    <w:p w14:paraId="595E7EE6" w14:textId="77777777" w:rsidR="00EE343B" w:rsidRDefault="00EE343B" w:rsidP="00F0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3E02"/>
    <w:multiLevelType w:val="multilevel"/>
    <w:tmpl w:val="3BCC879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3C71269"/>
    <w:multiLevelType w:val="hybridMultilevel"/>
    <w:tmpl w:val="DB48E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0773C6"/>
    <w:multiLevelType w:val="hybridMultilevel"/>
    <w:tmpl w:val="86B0A7AE"/>
    <w:lvl w:ilvl="0" w:tplc="9E70B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5A39F7-756A-4CB5-A922-4676E0B812FC}"/>
    <w:docVar w:name="dgnword-eventsink" w:val="288147952"/>
  </w:docVars>
  <w:rsids>
    <w:rsidRoot w:val="00D95804"/>
    <w:rsid w:val="00000C93"/>
    <w:rsid w:val="000043E1"/>
    <w:rsid w:val="00006DE1"/>
    <w:rsid w:val="000102E3"/>
    <w:rsid w:val="0001114D"/>
    <w:rsid w:val="00040A7B"/>
    <w:rsid w:val="0004220C"/>
    <w:rsid w:val="00053635"/>
    <w:rsid w:val="0005474D"/>
    <w:rsid w:val="00056299"/>
    <w:rsid w:val="0005670F"/>
    <w:rsid w:val="000575B3"/>
    <w:rsid w:val="000670A1"/>
    <w:rsid w:val="00072C7E"/>
    <w:rsid w:val="00092865"/>
    <w:rsid w:val="000960B2"/>
    <w:rsid w:val="000A19E6"/>
    <w:rsid w:val="000A5BDF"/>
    <w:rsid w:val="000A7274"/>
    <w:rsid w:val="000B4488"/>
    <w:rsid w:val="000C281B"/>
    <w:rsid w:val="000C416D"/>
    <w:rsid w:val="000D2278"/>
    <w:rsid w:val="000E2F99"/>
    <w:rsid w:val="000E4461"/>
    <w:rsid w:val="000E4A5A"/>
    <w:rsid w:val="000F0850"/>
    <w:rsid w:val="001018FF"/>
    <w:rsid w:val="00111D6C"/>
    <w:rsid w:val="00113419"/>
    <w:rsid w:val="00113F29"/>
    <w:rsid w:val="0011578A"/>
    <w:rsid w:val="00116E19"/>
    <w:rsid w:val="001173A3"/>
    <w:rsid w:val="00120BD3"/>
    <w:rsid w:val="0012622C"/>
    <w:rsid w:val="00135CE1"/>
    <w:rsid w:val="0013646C"/>
    <w:rsid w:val="001562C6"/>
    <w:rsid w:val="001858A3"/>
    <w:rsid w:val="0019191D"/>
    <w:rsid w:val="00193414"/>
    <w:rsid w:val="001A46D2"/>
    <w:rsid w:val="001B1660"/>
    <w:rsid w:val="001B554F"/>
    <w:rsid w:val="001C0807"/>
    <w:rsid w:val="001C2597"/>
    <w:rsid w:val="001C5698"/>
    <w:rsid w:val="001C62E6"/>
    <w:rsid w:val="001C6ADC"/>
    <w:rsid w:val="001D37DD"/>
    <w:rsid w:val="002137C2"/>
    <w:rsid w:val="002414FF"/>
    <w:rsid w:val="00264E1C"/>
    <w:rsid w:val="00271AAC"/>
    <w:rsid w:val="0027454C"/>
    <w:rsid w:val="0027579E"/>
    <w:rsid w:val="00283A7B"/>
    <w:rsid w:val="0029135C"/>
    <w:rsid w:val="00296378"/>
    <w:rsid w:val="002B1482"/>
    <w:rsid w:val="002C0BF4"/>
    <w:rsid w:val="002C2690"/>
    <w:rsid w:val="002C6C56"/>
    <w:rsid w:val="002D524D"/>
    <w:rsid w:val="002D7626"/>
    <w:rsid w:val="002D78A6"/>
    <w:rsid w:val="0031022D"/>
    <w:rsid w:val="00313745"/>
    <w:rsid w:val="00313C41"/>
    <w:rsid w:val="00333330"/>
    <w:rsid w:val="0033365B"/>
    <w:rsid w:val="0033480D"/>
    <w:rsid w:val="00335FB2"/>
    <w:rsid w:val="00345C9F"/>
    <w:rsid w:val="00354A16"/>
    <w:rsid w:val="00357495"/>
    <w:rsid w:val="003607AD"/>
    <w:rsid w:val="00362EF1"/>
    <w:rsid w:val="00371785"/>
    <w:rsid w:val="00373B01"/>
    <w:rsid w:val="003909C7"/>
    <w:rsid w:val="00392D16"/>
    <w:rsid w:val="00394BDA"/>
    <w:rsid w:val="00395E82"/>
    <w:rsid w:val="003A1541"/>
    <w:rsid w:val="003A3707"/>
    <w:rsid w:val="003A5258"/>
    <w:rsid w:val="003A7E82"/>
    <w:rsid w:val="003B0D3E"/>
    <w:rsid w:val="003B1687"/>
    <w:rsid w:val="003B5341"/>
    <w:rsid w:val="003B73A2"/>
    <w:rsid w:val="003B7B00"/>
    <w:rsid w:val="003C19EB"/>
    <w:rsid w:val="003C2DDB"/>
    <w:rsid w:val="003C5788"/>
    <w:rsid w:val="003C690D"/>
    <w:rsid w:val="003C7DC6"/>
    <w:rsid w:val="003C7F2E"/>
    <w:rsid w:val="003D38F1"/>
    <w:rsid w:val="003D50E4"/>
    <w:rsid w:val="003E63D3"/>
    <w:rsid w:val="003E71A3"/>
    <w:rsid w:val="003F0B8A"/>
    <w:rsid w:val="003F28A8"/>
    <w:rsid w:val="004029E4"/>
    <w:rsid w:val="004073E8"/>
    <w:rsid w:val="00414426"/>
    <w:rsid w:val="00414F4E"/>
    <w:rsid w:val="00457E8D"/>
    <w:rsid w:val="004618D8"/>
    <w:rsid w:val="00462312"/>
    <w:rsid w:val="00471EEB"/>
    <w:rsid w:val="004837B6"/>
    <w:rsid w:val="00486174"/>
    <w:rsid w:val="004A1069"/>
    <w:rsid w:val="004A2838"/>
    <w:rsid w:val="004A593F"/>
    <w:rsid w:val="004A6757"/>
    <w:rsid w:val="004B1D33"/>
    <w:rsid w:val="004B2BAA"/>
    <w:rsid w:val="004B56D3"/>
    <w:rsid w:val="004B7591"/>
    <w:rsid w:val="004C6CA6"/>
    <w:rsid w:val="004D5F01"/>
    <w:rsid w:val="004D6596"/>
    <w:rsid w:val="004E74DE"/>
    <w:rsid w:val="004F158C"/>
    <w:rsid w:val="005205F6"/>
    <w:rsid w:val="005229E1"/>
    <w:rsid w:val="00523694"/>
    <w:rsid w:val="00525E64"/>
    <w:rsid w:val="00526E07"/>
    <w:rsid w:val="0054650B"/>
    <w:rsid w:val="00550E48"/>
    <w:rsid w:val="00552D24"/>
    <w:rsid w:val="00563A12"/>
    <w:rsid w:val="00570839"/>
    <w:rsid w:val="005801C2"/>
    <w:rsid w:val="00581477"/>
    <w:rsid w:val="00584F90"/>
    <w:rsid w:val="00591B3F"/>
    <w:rsid w:val="0059652F"/>
    <w:rsid w:val="005A004C"/>
    <w:rsid w:val="005A2016"/>
    <w:rsid w:val="005D15CA"/>
    <w:rsid w:val="005D31EF"/>
    <w:rsid w:val="005D426F"/>
    <w:rsid w:val="005E3273"/>
    <w:rsid w:val="005E3B84"/>
    <w:rsid w:val="005E500E"/>
    <w:rsid w:val="005F2A5C"/>
    <w:rsid w:val="005F583E"/>
    <w:rsid w:val="00602593"/>
    <w:rsid w:val="00611828"/>
    <w:rsid w:val="0061586C"/>
    <w:rsid w:val="00617FA8"/>
    <w:rsid w:val="006217F9"/>
    <w:rsid w:val="0062625D"/>
    <w:rsid w:val="00643CEC"/>
    <w:rsid w:val="00671CE8"/>
    <w:rsid w:val="00674E0F"/>
    <w:rsid w:val="00697609"/>
    <w:rsid w:val="006A059A"/>
    <w:rsid w:val="006C4947"/>
    <w:rsid w:val="006C4B2E"/>
    <w:rsid w:val="006C60FF"/>
    <w:rsid w:val="006D254B"/>
    <w:rsid w:val="006D3A83"/>
    <w:rsid w:val="006E588A"/>
    <w:rsid w:val="006E647A"/>
    <w:rsid w:val="006F58CB"/>
    <w:rsid w:val="006F68A3"/>
    <w:rsid w:val="00713C94"/>
    <w:rsid w:val="00720BA0"/>
    <w:rsid w:val="00722328"/>
    <w:rsid w:val="00722408"/>
    <w:rsid w:val="00724BF5"/>
    <w:rsid w:val="0073528E"/>
    <w:rsid w:val="007429F1"/>
    <w:rsid w:val="0074453D"/>
    <w:rsid w:val="0075283A"/>
    <w:rsid w:val="00756AE3"/>
    <w:rsid w:val="00757D5E"/>
    <w:rsid w:val="007725B4"/>
    <w:rsid w:val="00773104"/>
    <w:rsid w:val="00773BFD"/>
    <w:rsid w:val="00786F49"/>
    <w:rsid w:val="007878E4"/>
    <w:rsid w:val="00787F86"/>
    <w:rsid w:val="00790621"/>
    <w:rsid w:val="00794E3E"/>
    <w:rsid w:val="00795C53"/>
    <w:rsid w:val="007979EA"/>
    <w:rsid w:val="007C049C"/>
    <w:rsid w:val="007C1300"/>
    <w:rsid w:val="007C29B0"/>
    <w:rsid w:val="007C521A"/>
    <w:rsid w:val="007D1F3C"/>
    <w:rsid w:val="007D7F5E"/>
    <w:rsid w:val="007E2EAA"/>
    <w:rsid w:val="00807676"/>
    <w:rsid w:val="00810CA4"/>
    <w:rsid w:val="008170B5"/>
    <w:rsid w:val="00822248"/>
    <w:rsid w:val="00825D26"/>
    <w:rsid w:val="0083634D"/>
    <w:rsid w:val="00837E4F"/>
    <w:rsid w:val="0084043F"/>
    <w:rsid w:val="00860AE8"/>
    <w:rsid w:val="008611CE"/>
    <w:rsid w:val="008705FD"/>
    <w:rsid w:val="008745E1"/>
    <w:rsid w:val="008763B3"/>
    <w:rsid w:val="0089452D"/>
    <w:rsid w:val="008A1113"/>
    <w:rsid w:val="008A7C10"/>
    <w:rsid w:val="008B56BE"/>
    <w:rsid w:val="008B659F"/>
    <w:rsid w:val="008B6730"/>
    <w:rsid w:val="008C1266"/>
    <w:rsid w:val="008C780A"/>
    <w:rsid w:val="008D3DDB"/>
    <w:rsid w:val="008E7A84"/>
    <w:rsid w:val="008F25E3"/>
    <w:rsid w:val="008F3CBB"/>
    <w:rsid w:val="009048E0"/>
    <w:rsid w:val="00913248"/>
    <w:rsid w:val="00916882"/>
    <w:rsid w:val="00927621"/>
    <w:rsid w:val="00956A32"/>
    <w:rsid w:val="00957844"/>
    <w:rsid w:val="00966231"/>
    <w:rsid w:val="00967E52"/>
    <w:rsid w:val="00972EFF"/>
    <w:rsid w:val="00976304"/>
    <w:rsid w:val="0098150B"/>
    <w:rsid w:val="00986201"/>
    <w:rsid w:val="009B3C13"/>
    <w:rsid w:val="009B3CA9"/>
    <w:rsid w:val="009C1493"/>
    <w:rsid w:val="009C6A80"/>
    <w:rsid w:val="009D64A1"/>
    <w:rsid w:val="009D7098"/>
    <w:rsid w:val="009E1E5E"/>
    <w:rsid w:val="009E239F"/>
    <w:rsid w:val="009E28EF"/>
    <w:rsid w:val="009E6F24"/>
    <w:rsid w:val="009F1208"/>
    <w:rsid w:val="009F16BF"/>
    <w:rsid w:val="00A0002F"/>
    <w:rsid w:val="00A01AFB"/>
    <w:rsid w:val="00A06754"/>
    <w:rsid w:val="00A20E7D"/>
    <w:rsid w:val="00A22216"/>
    <w:rsid w:val="00A348BD"/>
    <w:rsid w:val="00A448AF"/>
    <w:rsid w:val="00A452EC"/>
    <w:rsid w:val="00A551C7"/>
    <w:rsid w:val="00A564A2"/>
    <w:rsid w:val="00A56B0F"/>
    <w:rsid w:val="00A665D3"/>
    <w:rsid w:val="00A71CE7"/>
    <w:rsid w:val="00A72C3A"/>
    <w:rsid w:val="00A74EBD"/>
    <w:rsid w:val="00A81733"/>
    <w:rsid w:val="00A914DF"/>
    <w:rsid w:val="00A9229C"/>
    <w:rsid w:val="00A94E23"/>
    <w:rsid w:val="00A9655C"/>
    <w:rsid w:val="00AB46DC"/>
    <w:rsid w:val="00AC2A9B"/>
    <w:rsid w:val="00AC56C0"/>
    <w:rsid w:val="00AD2083"/>
    <w:rsid w:val="00AE0AE4"/>
    <w:rsid w:val="00AE2F5D"/>
    <w:rsid w:val="00AE4C90"/>
    <w:rsid w:val="00AE5218"/>
    <w:rsid w:val="00AE5284"/>
    <w:rsid w:val="00AE54BA"/>
    <w:rsid w:val="00AF57B5"/>
    <w:rsid w:val="00B00472"/>
    <w:rsid w:val="00B02C2C"/>
    <w:rsid w:val="00B048F9"/>
    <w:rsid w:val="00B05BA4"/>
    <w:rsid w:val="00B27FE4"/>
    <w:rsid w:val="00B4429D"/>
    <w:rsid w:val="00B46DCB"/>
    <w:rsid w:val="00B63027"/>
    <w:rsid w:val="00B67F5A"/>
    <w:rsid w:val="00B702D3"/>
    <w:rsid w:val="00B708E4"/>
    <w:rsid w:val="00B74D42"/>
    <w:rsid w:val="00B97718"/>
    <w:rsid w:val="00BA0AE1"/>
    <w:rsid w:val="00BA2E8D"/>
    <w:rsid w:val="00BA7033"/>
    <w:rsid w:val="00BB13DF"/>
    <w:rsid w:val="00BB3FF4"/>
    <w:rsid w:val="00BC2CD4"/>
    <w:rsid w:val="00BC5415"/>
    <w:rsid w:val="00BC68D6"/>
    <w:rsid w:val="00BC7321"/>
    <w:rsid w:val="00BE5E97"/>
    <w:rsid w:val="00C05F12"/>
    <w:rsid w:val="00C118AE"/>
    <w:rsid w:val="00C12016"/>
    <w:rsid w:val="00C27A10"/>
    <w:rsid w:val="00C308AA"/>
    <w:rsid w:val="00C45053"/>
    <w:rsid w:val="00C45525"/>
    <w:rsid w:val="00C613A3"/>
    <w:rsid w:val="00C61D78"/>
    <w:rsid w:val="00C6213C"/>
    <w:rsid w:val="00C6439A"/>
    <w:rsid w:val="00C73BC6"/>
    <w:rsid w:val="00C74FB7"/>
    <w:rsid w:val="00C77503"/>
    <w:rsid w:val="00CA4539"/>
    <w:rsid w:val="00CA7773"/>
    <w:rsid w:val="00CA7F2F"/>
    <w:rsid w:val="00CB278D"/>
    <w:rsid w:val="00CB4051"/>
    <w:rsid w:val="00CC5AD4"/>
    <w:rsid w:val="00D05B84"/>
    <w:rsid w:val="00D06360"/>
    <w:rsid w:val="00D30914"/>
    <w:rsid w:val="00D358FC"/>
    <w:rsid w:val="00D45A77"/>
    <w:rsid w:val="00D55A93"/>
    <w:rsid w:val="00D622C7"/>
    <w:rsid w:val="00D75B8F"/>
    <w:rsid w:val="00D75BD0"/>
    <w:rsid w:val="00D76B72"/>
    <w:rsid w:val="00D8231A"/>
    <w:rsid w:val="00D90117"/>
    <w:rsid w:val="00D934DC"/>
    <w:rsid w:val="00D95314"/>
    <w:rsid w:val="00D95804"/>
    <w:rsid w:val="00DA147D"/>
    <w:rsid w:val="00DA3FD1"/>
    <w:rsid w:val="00DA52AC"/>
    <w:rsid w:val="00DA6121"/>
    <w:rsid w:val="00DB29A3"/>
    <w:rsid w:val="00DB4C84"/>
    <w:rsid w:val="00DB6A0E"/>
    <w:rsid w:val="00DD4F09"/>
    <w:rsid w:val="00DD7052"/>
    <w:rsid w:val="00DE2273"/>
    <w:rsid w:val="00E1030C"/>
    <w:rsid w:val="00E13E2B"/>
    <w:rsid w:val="00E228F7"/>
    <w:rsid w:val="00E23FEC"/>
    <w:rsid w:val="00E26486"/>
    <w:rsid w:val="00E3330F"/>
    <w:rsid w:val="00E36937"/>
    <w:rsid w:val="00E40705"/>
    <w:rsid w:val="00E43754"/>
    <w:rsid w:val="00E471A9"/>
    <w:rsid w:val="00E474A4"/>
    <w:rsid w:val="00E50C9F"/>
    <w:rsid w:val="00E56C8C"/>
    <w:rsid w:val="00E64D93"/>
    <w:rsid w:val="00E662FC"/>
    <w:rsid w:val="00E71087"/>
    <w:rsid w:val="00E71595"/>
    <w:rsid w:val="00E849DC"/>
    <w:rsid w:val="00E862A9"/>
    <w:rsid w:val="00E968CC"/>
    <w:rsid w:val="00EA1F74"/>
    <w:rsid w:val="00EB094E"/>
    <w:rsid w:val="00EB408F"/>
    <w:rsid w:val="00EB556A"/>
    <w:rsid w:val="00EB6A87"/>
    <w:rsid w:val="00EC0003"/>
    <w:rsid w:val="00EC059C"/>
    <w:rsid w:val="00EC5763"/>
    <w:rsid w:val="00ED3341"/>
    <w:rsid w:val="00ED3B1F"/>
    <w:rsid w:val="00EE343B"/>
    <w:rsid w:val="00EF21F0"/>
    <w:rsid w:val="00EF3F1C"/>
    <w:rsid w:val="00EF5945"/>
    <w:rsid w:val="00EF5B45"/>
    <w:rsid w:val="00F00019"/>
    <w:rsid w:val="00F00FB2"/>
    <w:rsid w:val="00F02F97"/>
    <w:rsid w:val="00F04B77"/>
    <w:rsid w:val="00F051AF"/>
    <w:rsid w:val="00F060C6"/>
    <w:rsid w:val="00F07EBC"/>
    <w:rsid w:val="00F1206F"/>
    <w:rsid w:val="00F1533F"/>
    <w:rsid w:val="00F15D6E"/>
    <w:rsid w:val="00F16810"/>
    <w:rsid w:val="00F31DD7"/>
    <w:rsid w:val="00F335FA"/>
    <w:rsid w:val="00F336F3"/>
    <w:rsid w:val="00F346BC"/>
    <w:rsid w:val="00F364DA"/>
    <w:rsid w:val="00F365C6"/>
    <w:rsid w:val="00F5640D"/>
    <w:rsid w:val="00F6268D"/>
    <w:rsid w:val="00F755EC"/>
    <w:rsid w:val="00F90BDA"/>
    <w:rsid w:val="00F926CB"/>
    <w:rsid w:val="00F930C8"/>
    <w:rsid w:val="00F94451"/>
    <w:rsid w:val="00F961EB"/>
    <w:rsid w:val="00F974BF"/>
    <w:rsid w:val="00FA003D"/>
    <w:rsid w:val="00FB3EC9"/>
    <w:rsid w:val="00FD6049"/>
    <w:rsid w:val="00FE29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09479"/>
  <w15:docId w15:val="{FBFAE723-1C92-4E90-B804-0FDA747D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804"/>
    <w:rPr>
      <w:sz w:val="24"/>
      <w:szCs w:val="24"/>
    </w:rPr>
  </w:style>
  <w:style w:type="paragraph" w:styleId="Heading1">
    <w:name w:val="heading 1"/>
    <w:basedOn w:val="Normal"/>
    <w:next w:val="Normal"/>
    <w:qFormat/>
    <w:rsid w:val="006F58C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5804"/>
    <w:pPr>
      <w:jc w:val="center"/>
    </w:pPr>
    <w:rPr>
      <w:b/>
      <w:bCs/>
      <w:u w:val="single"/>
    </w:rPr>
  </w:style>
  <w:style w:type="table" w:styleId="TableGrid">
    <w:name w:val="Table Grid"/>
    <w:basedOn w:val="TableNormal"/>
    <w:rsid w:val="0082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58C"/>
    <w:pPr>
      <w:ind w:left="720"/>
    </w:pPr>
  </w:style>
  <w:style w:type="paragraph" w:styleId="Header">
    <w:name w:val="header"/>
    <w:basedOn w:val="Normal"/>
    <w:link w:val="HeaderChar"/>
    <w:rsid w:val="00F051AF"/>
    <w:pPr>
      <w:tabs>
        <w:tab w:val="center" w:pos="4680"/>
        <w:tab w:val="right" w:pos="9360"/>
      </w:tabs>
    </w:pPr>
    <w:rPr>
      <w:lang w:val="x-none" w:eastAsia="x-none"/>
    </w:rPr>
  </w:style>
  <w:style w:type="character" w:customStyle="1" w:styleId="HeaderChar">
    <w:name w:val="Header Char"/>
    <w:link w:val="Header"/>
    <w:rsid w:val="00F051AF"/>
    <w:rPr>
      <w:sz w:val="24"/>
      <w:szCs w:val="24"/>
    </w:rPr>
  </w:style>
  <w:style w:type="paragraph" w:styleId="Footer">
    <w:name w:val="footer"/>
    <w:basedOn w:val="Normal"/>
    <w:link w:val="FooterChar"/>
    <w:uiPriority w:val="99"/>
    <w:rsid w:val="00F051AF"/>
    <w:pPr>
      <w:tabs>
        <w:tab w:val="center" w:pos="4680"/>
        <w:tab w:val="right" w:pos="9360"/>
      </w:tabs>
    </w:pPr>
    <w:rPr>
      <w:lang w:val="x-none" w:eastAsia="x-none"/>
    </w:rPr>
  </w:style>
  <w:style w:type="character" w:customStyle="1" w:styleId="FooterChar">
    <w:name w:val="Footer Char"/>
    <w:link w:val="Footer"/>
    <w:uiPriority w:val="99"/>
    <w:rsid w:val="00F051AF"/>
    <w:rPr>
      <w:sz w:val="24"/>
      <w:szCs w:val="24"/>
    </w:rPr>
  </w:style>
  <w:style w:type="paragraph" w:styleId="BalloonText">
    <w:name w:val="Balloon Text"/>
    <w:basedOn w:val="Normal"/>
    <w:link w:val="BalloonTextChar"/>
    <w:rsid w:val="00F051AF"/>
    <w:rPr>
      <w:rFonts w:ascii="Tahoma" w:hAnsi="Tahoma"/>
      <w:sz w:val="16"/>
      <w:szCs w:val="16"/>
      <w:lang w:val="x-none" w:eastAsia="x-none"/>
    </w:rPr>
  </w:style>
  <w:style w:type="character" w:customStyle="1" w:styleId="BalloonTextChar">
    <w:name w:val="Balloon Text Char"/>
    <w:link w:val="BalloonText"/>
    <w:rsid w:val="00F051AF"/>
    <w:rPr>
      <w:rFonts w:ascii="Tahoma" w:hAnsi="Tahoma" w:cs="Tahoma"/>
      <w:sz w:val="16"/>
      <w:szCs w:val="16"/>
    </w:rPr>
  </w:style>
  <w:style w:type="character" w:styleId="CommentReference">
    <w:name w:val="annotation reference"/>
    <w:rsid w:val="00F051AF"/>
    <w:rPr>
      <w:sz w:val="16"/>
      <w:szCs w:val="16"/>
    </w:rPr>
  </w:style>
  <w:style w:type="paragraph" w:styleId="CommentText">
    <w:name w:val="annotation text"/>
    <w:basedOn w:val="Normal"/>
    <w:link w:val="CommentTextChar"/>
    <w:rsid w:val="00F051AF"/>
    <w:rPr>
      <w:sz w:val="20"/>
      <w:szCs w:val="20"/>
    </w:rPr>
  </w:style>
  <w:style w:type="character" w:customStyle="1" w:styleId="CommentTextChar">
    <w:name w:val="Comment Text Char"/>
    <w:basedOn w:val="DefaultParagraphFont"/>
    <w:link w:val="CommentText"/>
    <w:rsid w:val="00F051AF"/>
  </w:style>
  <w:style w:type="paragraph" w:styleId="CommentSubject">
    <w:name w:val="annotation subject"/>
    <w:basedOn w:val="CommentText"/>
    <w:next w:val="CommentText"/>
    <w:link w:val="CommentSubjectChar"/>
    <w:rsid w:val="00F051AF"/>
    <w:rPr>
      <w:b/>
      <w:bCs/>
      <w:lang w:val="x-none" w:eastAsia="x-none"/>
    </w:rPr>
  </w:style>
  <w:style w:type="character" w:customStyle="1" w:styleId="CommentSubjectChar">
    <w:name w:val="Comment Subject Char"/>
    <w:link w:val="CommentSubject"/>
    <w:rsid w:val="00F051AF"/>
    <w:rPr>
      <w:b/>
      <w:bCs/>
    </w:rPr>
  </w:style>
  <w:style w:type="character" w:styleId="Hyperlink">
    <w:name w:val="Hyperlink"/>
    <w:rsid w:val="005E3273"/>
    <w:rPr>
      <w:color w:val="0000FF"/>
      <w:u w:val="single"/>
    </w:rPr>
  </w:style>
  <w:style w:type="character" w:styleId="UnresolvedMention">
    <w:name w:val="Unresolved Mention"/>
    <w:basedOn w:val="DefaultParagraphFont"/>
    <w:uiPriority w:val="99"/>
    <w:semiHidden/>
    <w:unhideWhenUsed/>
    <w:rsid w:val="00957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342">
      <w:bodyDiv w:val="1"/>
      <w:marLeft w:val="0"/>
      <w:marRight w:val="0"/>
      <w:marTop w:val="0"/>
      <w:marBottom w:val="0"/>
      <w:divBdr>
        <w:top w:val="none" w:sz="0" w:space="0" w:color="auto"/>
        <w:left w:val="none" w:sz="0" w:space="0" w:color="auto"/>
        <w:bottom w:val="none" w:sz="0" w:space="0" w:color="auto"/>
        <w:right w:val="none" w:sz="0" w:space="0" w:color="auto"/>
      </w:divBdr>
    </w:div>
    <w:div w:id="20932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ance\AppData\Local\Microsoft\Windows\INetCache\Content.Outlook\70WP0DTB\ufl.bluera.com\ufl\" TargetMode="External"/><Relationship Id="rId18" Type="http://schemas.openxmlformats.org/officeDocument/2006/relationships/hyperlink" Target="https://counseling.ufl.edu/" TargetMode="External"/><Relationship Id="rId3" Type="http://schemas.openxmlformats.org/officeDocument/2006/relationships/styles" Target="styles.xml"/><Relationship Id="rId21"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s://umatter.ufl.edu/" TargetMode="External"/><Relationship Id="rId2" Type="http://schemas.openxmlformats.org/officeDocument/2006/relationships/numbering" Target="numbering.xml"/><Relationship Id="rId16" Type="http://schemas.openxmlformats.org/officeDocument/2006/relationships/hyperlink" Target="mailto:umatter@ufl.edu,%20" TargetMode="External"/><Relationship Id="rId20" Type="http://schemas.openxmlformats.org/officeDocument/2006/relationships/hyperlink" Target="https://police.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cr.dso.ufl.edu/process/student-conduct-code/" TargetMode="External"/><Relationship Id="rId23" Type="http://schemas.openxmlformats.org/officeDocument/2006/relationships/fontTable" Target="fontTable.xml"/><Relationship Id="rId10" Type="http://schemas.openxmlformats.org/officeDocument/2006/relationships/hyperlink" Target="http://www.dso.ufl.edu/drc/" TargetMode="External"/><Relationship Id="rId19"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gatorevals.aa.ufl.edu/public-resul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7A11-8295-460E-B28F-0863C1AB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9121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REAL PROPERTY I</vt:lpstr>
    </vt:vector>
  </TitlesOfParts>
  <Company>Stetson University College of Law</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I</dc:title>
  <dc:creator>mbauer</dc:creator>
  <cp:lastModifiedBy>McIlhenny, Ruth M.</cp:lastModifiedBy>
  <cp:revision>2</cp:revision>
  <cp:lastPrinted>2019-08-20T14:47:00Z</cp:lastPrinted>
  <dcterms:created xsi:type="dcterms:W3CDTF">2021-08-11T20:44:00Z</dcterms:created>
  <dcterms:modified xsi:type="dcterms:W3CDTF">2021-08-11T20:44:00Z</dcterms:modified>
</cp:coreProperties>
</file>