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54484DB1" w:rsidR="00DC571D" w:rsidRPr="009D7405" w:rsidRDefault="009D7405" w:rsidP="00DC571D">
      <w:pPr>
        <w:spacing w:line="259" w:lineRule="auto"/>
        <w:ind w:left="-90"/>
        <w:jc w:val="center"/>
        <w:rPr>
          <w:bCs/>
          <w:smallCaps/>
          <w:sz w:val="28"/>
          <w:szCs w:val="28"/>
        </w:rPr>
      </w:pPr>
      <w:r w:rsidRPr="009D7405">
        <w:rPr>
          <w:b/>
          <w:smallCaps/>
          <w:sz w:val="28"/>
          <w:szCs w:val="28"/>
          <w:lang w:eastAsia="zh-CN"/>
        </w:rPr>
        <w:t>FINTECH</w:t>
      </w:r>
    </w:p>
    <w:p w14:paraId="5352C854" w14:textId="77777777" w:rsidR="00DC571D" w:rsidRPr="009D7405" w:rsidRDefault="00DC571D" w:rsidP="00DC571D">
      <w:pPr>
        <w:spacing w:after="8" w:line="265" w:lineRule="auto"/>
        <w:ind w:left="1791" w:right="1718"/>
        <w:jc w:val="center"/>
        <w:rPr>
          <w:b/>
          <w:sz w:val="22"/>
          <w:szCs w:val="22"/>
        </w:rPr>
      </w:pPr>
      <w:r w:rsidRPr="009D7405">
        <w:rPr>
          <w:b/>
          <w:sz w:val="22"/>
          <w:szCs w:val="22"/>
        </w:rPr>
        <w:t xml:space="preserve">UNIVERSITY OF FLORIDA LEVIN COLLEGE OF LAW </w:t>
      </w:r>
    </w:p>
    <w:p w14:paraId="1C42F52C" w14:textId="6CBE669C" w:rsidR="001E2603" w:rsidRPr="009D7405" w:rsidRDefault="00CC1BD2" w:rsidP="0044543F">
      <w:pPr>
        <w:spacing w:after="8" w:line="265" w:lineRule="auto"/>
        <w:ind w:left="1791" w:right="1718"/>
        <w:jc w:val="center"/>
        <w:rPr>
          <w:b/>
          <w:sz w:val="22"/>
          <w:szCs w:val="22"/>
        </w:rPr>
      </w:pPr>
      <w:r w:rsidRPr="009D7405">
        <w:rPr>
          <w:b/>
          <w:sz w:val="22"/>
          <w:szCs w:val="22"/>
        </w:rPr>
        <w:t>FALL</w:t>
      </w:r>
      <w:r w:rsidR="00DC571D" w:rsidRPr="009D7405">
        <w:rPr>
          <w:b/>
          <w:sz w:val="22"/>
          <w:szCs w:val="22"/>
        </w:rPr>
        <w:t xml:space="preserve"> 202</w:t>
      </w:r>
      <w:r w:rsidR="00EF4349" w:rsidRPr="009D7405">
        <w:rPr>
          <w:b/>
          <w:sz w:val="22"/>
          <w:szCs w:val="22"/>
        </w:rPr>
        <w:t>3</w:t>
      </w:r>
      <w:r w:rsidR="00DC571D" w:rsidRPr="009D7405">
        <w:rPr>
          <w:b/>
          <w:sz w:val="22"/>
          <w:szCs w:val="22"/>
        </w:rPr>
        <w:t xml:space="preserve"> SYLLABUS – LAW</w:t>
      </w:r>
      <w:r w:rsidR="00C50C4B" w:rsidRPr="009D7405">
        <w:rPr>
          <w:b/>
          <w:sz w:val="22"/>
          <w:szCs w:val="22"/>
        </w:rPr>
        <w:t xml:space="preserve"> </w:t>
      </w:r>
      <w:r w:rsidR="00514193" w:rsidRPr="009D7405">
        <w:rPr>
          <w:b/>
          <w:sz w:val="22"/>
          <w:szCs w:val="22"/>
        </w:rPr>
        <w:t>693</w:t>
      </w:r>
      <w:r w:rsidR="007253E4" w:rsidRPr="009D7405">
        <w:rPr>
          <w:b/>
          <w:sz w:val="22"/>
          <w:szCs w:val="22"/>
        </w:rPr>
        <w:t>6</w:t>
      </w:r>
      <w:r w:rsidR="00DC571D" w:rsidRPr="009D7405">
        <w:rPr>
          <w:b/>
          <w:sz w:val="22"/>
          <w:szCs w:val="22"/>
        </w:rPr>
        <w:t xml:space="preserve"> – </w:t>
      </w:r>
      <w:r w:rsidR="009D7446" w:rsidRPr="009D7405">
        <w:rPr>
          <w:b/>
          <w:sz w:val="22"/>
          <w:szCs w:val="22"/>
        </w:rPr>
        <w:t xml:space="preserve">2 </w:t>
      </w:r>
      <w:r w:rsidRPr="009D7405">
        <w:rPr>
          <w:b/>
          <w:smallCaps/>
          <w:sz w:val="22"/>
          <w:szCs w:val="22"/>
        </w:rPr>
        <w:t xml:space="preserve">CREDITS </w:t>
      </w:r>
    </w:p>
    <w:p w14:paraId="6A1B78BB" w14:textId="77777777" w:rsidR="0044543F" w:rsidRPr="009D7405" w:rsidRDefault="0044543F" w:rsidP="0044543F">
      <w:pPr>
        <w:spacing w:after="8" w:line="265" w:lineRule="auto"/>
        <w:ind w:left="1791" w:right="1718"/>
        <w:jc w:val="center"/>
        <w:rPr>
          <w:b/>
        </w:rPr>
      </w:pPr>
    </w:p>
    <w:p w14:paraId="47E47726" w14:textId="18C7970A" w:rsidR="006A5D34" w:rsidRPr="009D7405" w:rsidRDefault="006A5D34" w:rsidP="006A5D34">
      <w:r w:rsidRPr="009D7405">
        <w:t xml:space="preserve">Professor </w:t>
      </w:r>
      <w:r w:rsidR="00B47272" w:rsidRPr="009D7405">
        <w:rPr>
          <w:rFonts w:hint="eastAsia"/>
          <w:lang w:eastAsia="zh-CN"/>
        </w:rPr>
        <w:t>Jiaying</w:t>
      </w:r>
      <w:r w:rsidR="00B47272" w:rsidRPr="009D7405">
        <w:rPr>
          <w:lang w:eastAsia="zh-CN"/>
        </w:rPr>
        <w:t xml:space="preserve"> </w:t>
      </w:r>
      <w:r w:rsidR="00B47272" w:rsidRPr="009D7405">
        <w:rPr>
          <w:rFonts w:hint="eastAsia"/>
          <w:lang w:eastAsia="zh-CN"/>
        </w:rPr>
        <w:t>Jiang</w:t>
      </w:r>
    </w:p>
    <w:p w14:paraId="22BBBF3A" w14:textId="36EAFBFB" w:rsidR="006A5D34" w:rsidRPr="009D7405" w:rsidRDefault="006A5D34" w:rsidP="006A5D34">
      <w:r w:rsidRPr="009D7405">
        <w:t xml:space="preserve">Office </w:t>
      </w:r>
      <w:r w:rsidR="0030769D" w:rsidRPr="009D7405">
        <w:rPr>
          <w:lang w:eastAsia="zh-CN"/>
        </w:rPr>
        <w:t>378</w:t>
      </w:r>
    </w:p>
    <w:p w14:paraId="17A3E66B" w14:textId="7226D460" w:rsidR="006A5D34" w:rsidRPr="009D7405" w:rsidRDefault="006A5D34" w:rsidP="006A5D34">
      <w:r w:rsidRPr="009D7405">
        <w:t xml:space="preserve">Office Phone: </w:t>
      </w:r>
      <w:r w:rsidR="0079526E" w:rsidRPr="009D7405">
        <w:rPr>
          <w:lang w:eastAsia="zh-CN"/>
        </w:rPr>
        <w:t>352</w:t>
      </w:r>
      <w:r w:rsidR="00F01119" w:rsidRPr="009D7405">
        <w:rPr>
          <w:lang w:eastAsia="zh-CN"/>
        </w:rPr>
        <w:t xml:space="preserve"> 273 06</w:t>
      </w:r>
      <w:r w:rsidR="00236F33" w:rsidRPr="009D7405">
        <w:rPr>
          <w:lang w:eastAsia="zh-CN"/>
        </w:rPr>
        <w:t>25</w:t>
      </w:r>
    </w:p>
    <w:p w14:paraId="05CB6241" w14:textId="46E7A4FF" w:rsidR="006A5D34" w:rsidRPr="009D7405" w:rsidRDefault="006A5D34" w:rsidP="006A5D34">
      <w:r w:rsidRPr="009D7405">
        <w:t xml:space="preserve">Email: </w:t>
      </w:r>
      <w:r w:rsidR="00B47272" w:rsidRPr="009D7405">
        <w:rPr>
          <w:rFonts w:hint="eastAsia"/>
          <w:lang w:eastAsia="zh-CN"/>
        </w:rPr>
        <w:t>jiang</w:t>
      </w:r>
      <w:r w:rsidRPr="009D7405">
        <w:t>@law.ufl.edu</w:t>
      </w:r>
    </w:p>
    <w:p w14:paraId="7B9873F9" w14:textId="6E148072" w:rsidR="00DE6F74" w:rsidRPr="009D7405" w:rsidRDefault="006A5D34" w:rsidP="006219CC">
      <w:pPr>
        <w:rPr>
          <w:color w:val="000000"/>
          <w:lang w:eastAsia="zh-CN"/>
        </w:rPr>
      </w:pPr>
      <w:r w:rsidRPr="009D7405">
        <w:t xml:space="preserve">Office Hours: </w:t>
      </w:r>
      <w:r w:rsidR="00494685" w:rsidRPr="009D7405">
        <w:rPr>
          <w:color w:val="000000"/>
          <w:lang w:eastAsia="zh-CN"/>
        </w:rPr>
        <w:t xml:space="preserve">Tuesdays </w:t>
      </w:r>
      <w:r w:rsidR="0012289D" w:rsidRPr="009D7405">
        <w:rPr>
          <w:lang w:eastAsia="zh-CN"/>
        </w:rPr>
        <w:t>1:30</w:t>
      </w:r>
      <w:r w:rsidR="00353336" w:rsidRPr="009D7405">
        <w:rPr>
          <w:lang w:eastAsia="zh-CN"/>
        </w:rPr>
        <w:t xml:space="preserve"> </w:t>
      </w:r>
      <w:r w:rsidR="0012289D" w:rsidRPr="009D7405">
        <w:rPr>
          <w:lang w:eastAsia="zh-CN"/>
        </w:rPr>
        <w:t>pm</w:t>
      </w:r>
      <w:r w:rsidR="00353336" w:rsidRPr="009D7405">
        <w:rPr>
          <w:color w:val="000000"/>
          <w:lang w:eastAsia="zh-CN"/>
        </w:rPr>
        <w:t xml:space="preserve"> – 2:30 pm</w:t>
      </w:r>
      <w:r w:rsidR="00F02EEE" w:rsidRPr="009D7405">
        <w:rPr>
          <w:color w:val="000000"/>
          <w:lang w:eastAsia="zh-CN"/>
        </w:rPr>
        <w:t xml:space="preserve"> (in person)</w:t>
      </w:r>
    </w:p>
    <w:p w14:paraId="786A7286" w14:textId="79A1B77B" w:rsidR="00F02EEE" w:rsidRPr="009D7405" w:rsidRDefault="00F02EEE" w:rsidP="006219CC">
      <w:pPr>
        <w:rPr>
          <w:lang w:eastAsia="zh-CN"/>
        </w:rPr>
      </w:pPr>
      <w:r w:rsidRPr="009D7405">
        <w:rPr>
          <w:color w:val="000000"/>
          <w:lang w:eastAsia="zh-CN"/>
        </w:rPr>
        <w:tab/>
        <w:t xml:space="preserve">         </w:t>
      </w:r>
      <w:r w:rsidR="009D7405">
        <w:rPr>
          <w:color w:val="000000"/>
          <w:lang w:eastAsia="zh-CN"/>
        </w:rPr>
        <w:t xml:space="preserve"> </w:t>
      </w:r>
      <w:r w:rsidRPr="009D7405">
        <w:rPr>
          <w:color w:val="000000"/>
          <w:lang w:eastAsia="zh-CN"/>
        </w:rPr>
        <w:t xml:space="preserve"> Wednesdays </w:t>
      </w:r>
      <w:r w:rsidRPr="009D7405">
        <w:rPr>
          <w:lang w:eastAsia="zh-CN"/>
        </w:rPr>
        <w:t>3:00 pm – 4:00 pm (on Zoom)</w:t>
      </w:r>
    </w:p>
    <w:p w14:paraId="668500BF" w14:textId="26F91626" w:rsidR="006A5D34" w:rsidRPr="009D7405" w:rsidRDefault="00DE6F74" w:rsidP="00DE6F74">
      <w:pPr>
        <w:ind w:left="720"/>
        <w:rPr>
          <w:lang w:eastAsia="zh-CN"/>
        </w:rPr>
      </w:pPr>
      <w:r w:rsidRPr="009D7405">
        <w:rPr>
          <w:lang w:eastAsia="zh-CN"/>
        </w:rPr>
        <w:t xml:space="preserve">           </w:t>
      </w:r>
    </w:p>
    <w:p w14:paraId="177A94E1" w14:textId="77777777" w:rsidR="006A5D34" w:rsidRPr="009D7405" w:rsidRDefault="006A5D34" w:rsidP="006A5D34"/>
    <w:p w14:paraId="54AE2805" w14:textId="77777777" w:rsidR="006A5D34" w:rsidRPr="009D7405" w:rsidRDefault="006A5D34" w:rsidP="006A5D34">
      <w:pPr>
        <w:rPr>
          <w:u w:val="single"/>
        </w:rPr>
      </w:pPr>
      <w:r w:rsidRPr="009D7405">
        <w:rPr>
          <w:b/>
          <w:u w:val="single"/>
        </w:rPr>
        <w:t>MEETING TIME AND LOCATION</w:t>
      </w:r>
      <w:r w:rsidRPr="009D7405">
        <w:rPr>
          <w:u w:val="single"/>
        </w:rPr>
        <w:t xml:space="preserve"> </w:t>
      </w:r>
    </w:p>
    <w:p w14:paraId="38422F12" w14:textId="277B4329" w:rsidR="006A5D34" w:rsidRPr="009D7405" w:rsidRDefault="00D96F79" w:rsidP="006A5D34">
      <w:pPr>
        <w:shd w:val="clear" w:color="auto" w:fill="FFFFFF"/>
        <w:rPr>
          <w:color w:val="000000"/>
          <w:lang w:eastAsia="zh-CN"/>
        </w:rPr>
      </w:pPr>
      <w:r w:rsidRPr="009D7405">
        <w:rPr>
          <w:color w:val="000000"/>
          <w:lang w:eastAsia="zh-CN"/>
        </w:rPr>
        <w:t>Tuesdays</w:t>
      </w:r>
      <w:r w:rsidR="000A5242" w:rsidRPr="009D7405">
        <w:rPr>
          <w:color w:val="000000"/>
          <w:lang w:eastAsia="zh-CN"/>
        </w:rPr>
        <w:t xml:space="preserve"> </w:t>
      </w:r>
      <w:r w:rsidR="0012289D" w:rsidRPr="009D7405">
        <w:rPr>
          <w:color w:val="000000"/>
          <w:lang w:eastAsia="zh-CN"/>
        </w:rPr>
        <w:t>10</w:t>
      </w:r>
      <w:r w:rsidR="000A5242" w:rsidRPr="009D7405">
        <w:rPr>
          <w:color w:val="000000"/>
          <w:lang w:eastAsia="zh-CN"/>
        </w:rPr>
        <w:t xml:space="preserve">:00 </w:t>
      </w:r>
      <w:r w:rsidR="0012289D" w:rsidRPr="009D7405">
        <w:rPr>
          <w:color w:val="000000"/>
          <w:lang w:eastAsia="zh-CN"/>
        </w:rPr>
        <w:t>a</w:t>
      </w:r>
      <w:r w:rsidR="000A5242" w:rsidRPr="009D7405">
        <w:rPr>
          <w:color w:val="000000"/>
          <w:lang w:eastAsia="zh-CN"/>
        </w:rPr>
        <w:t xml:space="preserve">m – </w:t>
      </w:r>
      <w:r w:rsidR="0012289D" w:rsidRPr="009D7405">
        <w:rPr>
          <w:color w:val="000000"/>
          <w:lang w:eastAsia="zh-CN"/>
        </w:rPr>
        <w:t>12:00 p</w:t>
      </w:r>
      <w:r w:rsidR="000A5242" w:rsidRPr="009D7405">
        <w:rPr>
          <w:color w:val="000000"/>
          <w:lang w:eastAsia="zh-CN"/>
        </w:rPr>
        <w:t>m</w:t>
      </w:r>
    </w:p>
    <w:p w14:paraId="443F8026" w14:textId="271F0159" w:rsidR="000A5242" w:rsidRPr="009D7405" w:rsidRDefault="007253E4" w:rsidP="006A5D34">
      <w:pPr>
        <w:shd w:val="clear" w:color="auto" w:fill="FFFFFF"/>
        <w:rPr>
          <w:color w:val="000000"/>
        </w:rPr>
      </w:pPr>
      <w:r w:rsidRPr="009D7405">
        <w:rPr>
          <w:color w:val="000000"/>
          <w:lang w:eastAsia="zh-CN"/>
        </w:rPr>
        <w:t>HOL</w:t>
      </w:r>
      <w:r w:rsidR="000A5242" w:rsidRPr="009D7405">
        <w:rPr>
          <w:color w:val="000000"/>
          <w:lang w:eastAsia="zh-CN"/>
        </w:rPr>
        <w:t xml:space="preserve"> </w:t>
      </w:r>
      <w:r w:rsidR="0012289D" w:rsidRPr="009D7405">
        <w:rPr>
          <w:color w:val="000000"/>
          <w:lang w:eastAsia="zh-CN"/>
        </w:rPr>
        <w:t>285A</w:t>
      </w:r>
    </w:p>
    <w:p w14:paraId="154C7CCF" w14:textId="77777777" w:rsidR="006A5D34" w:rsidRDefault="006A5D34" w:rsidP="006A5D34"/>
    <w:p w14:paraId="52469F56" w14:textId="77777777" w:rsidR="009D7405" w:rsidRPr="009D7405" w:rsidRDefault="009D7405" w:rsidP="006A5D34"/>
    <w:p w14:paraId="5373273B" w14:textId="4C58D866" w:rsidR="00B47272" w:rsidRPr="009D7405" w:rsidRDefault="006A5D34" w:rsidP="00B47272">
      <w:pPr>
        <w:rPr>
          <w:b/>
          <w:u w:val="single"/>
        </w:rPr>
      </w:pPr>
      <w:r w:rsidRPr="009D7405">
        <w:rPr>
          <w:b/>
          <w:u w:val="single"/>
        </w:rPr>
        <w:t>COURSE DESCRIPTION</w:t>
      </w:r>
    </w:p>
    <w:p w14:paraId="4F0D7492" w14:textId="3C12674D" w:rsidR="00E039BB" w:rsidRPr="009D7405" w:rsidRDefault="00CC5ABB" w:rsidP="00D10A20">
      <w:pPr>
        <w:rPr>
          <w:color w:val="000000" w:themeColor="text1"/>
          <w:shd w:val="clear" w:color="auto" w:fill="FFFFFF"/>
        </w:rPr>
      </w:pPr>
      <w:r w:rsidRPr="009D7405">
        <w:rPr>
          <w:color w:val="000000" w:themeColor="text1"/>
          <w:shd w:val="clear" w:color="auto" w:fill="FFFFFF"/>
        </w:rPr>
        <w:t xml:space="preserve">The landscape of financial services is undergoing a transformative change, driven by technology. Innovations such as </w:t>
      </w:r>
      <w:proofErr w:type="spellStart"/>
      <w:r w:rsidRPr="009D7405">
        <w:rPr>
          <w:color w:val="000000" w:themeColor="text1"/>
          <w:shd w:val="clear" w:color="auto" w:fill="FFFFFF"/>
        </w:rPr>
        <w:t>robo</w:t>
      </w:r>
      <w:proofErr w:type="spellEnd"/>
      <w:r w:rsidRPr="009D7405">
        <w:rPr>
          <w:color w:val="000000" w:themeColor="text1"/>
          <w:shd w:val="clear" w:color="auto" w:fill="FFFFFF"/>
        </w:rPr>
        <w:t xml:space="preserve">-advising, high frequency trading, marketplace lending, and mobile payment are not only </w:t>
      </w:r>
      <w:r w:rsidR="007A7332" w:rsidRPr="009D7405">
        <w:rPr>
          <w:color w:val="000000" w:themeColor="text1"/>
          <w:shd w:val="clear" w:color="auto" w:fill="FFFFFF"/>
        </w:rPr>
        <w:t xml:space="preserve">redefining how </w:t>
      </w:r>
      <w:r w:rsidR="00E039BB" w:rsidRPr="009D7405">
        <w:rPr>
          <w:color w:val="000000" w:themeColor="text1"/>
          <w:shd w:val="clear" w:color="auto" w:fill="FFFFFF"/>
        </w:rPr>
        <w:t>financial</w:t>
      </w:r>
      <w:r w:rsidR="007A7332" w:rsidRPr="009D7405">
        <w:rPr>
          <w:color w:val="000000" w:themeColor="text1"/>
          <w:shd w:val="clear" w:color="auto" w:fill="FFFFFF"/>
        </w:rPr>
        <w:t xml:space="preserve"> services are conducted, but also creating unique legal and regulatory challenges. Th</w:t>
      </w:r>
      <w:r w:rsidR="00E039BB" w:rsidRPr="009D7405">
        <w:rPr>
          <w:color w:val="000000" w:themeColor="text1"/>
          <w:shd w:val="clear" w:color="auto" w:fill="FFFFFF"/>
        </w:rPr>
        <w:t>i</w:t>
      </w:r>
      <w:r w:rsidR="007A7332" w:rsidRPr="009D7405">
        <w:rPr>
          <w:color w:val="000000" w:themeColor="text1"/>
          <w:shd w:val="clear" w:color="auto" w:fill="FFFFFF"/>
        </w:rPr>
        <w:t xml:space="preserve">s course aims to provide a comprehensive overview of these innovations and the </w:t>
      </w:r>
      <w:r w:rsidR="00AB32F9" w:rsidRPr="009D7405">
        <w:rPr>
          <w:color w:val="000000" w:themeColor="text1"/>
          <w:shd w:val="clear" w:color="auto" w:fill="FFFFFF"/>
        </w:rPr>
        <w:t xml:space="preserve">regulatory framework being adopted to oversee them. </w:t>
      </w:r>
    </w:p>
    <w:p w14:paraId="28B38566" w14:textId="77777777" w:rsidR="00E039BB" w:rsidRPr="009D7405" w:rsidRDefault="00E039BB" w:rsidP="00143D86">
      <w:pPr>
        <w:autoSpaceDE w:val="0"/>
        <w:autoSpaceDN w:val="0"/>
        <w:adjustRightInd w:val="0"/>
        <w:rPr>
          <w:rFonts w:ascii="AppleSystemUIFont" w:eastAsiaTheme="minorEastAsia" w:hAnsi="AppleSystemUIFont" w:cs="AppleSystemUIFont"/>
        </w:rPr>
      </w:pPr>
    </w:p>
    <w:p w14:paraId="1931CFE2" w14:textId="65CD1C53" w:rsidR="00D10A20" w:rsidRPr="009D7405" w:rsidRDefault="00143D86" w:rsidP="00143D86">
      <w:pPr>
        <w:rPr>
          <w:rFonts w:eastAsiaTheme="minorEastAsia"/>
        </w:rPr>
      </w:pPr>
      <w:r w:rsidRPr="009D7405">
        <w:rPr>
          <w:rFonts w:eastAsiaTheme="minorEastAsia"/>
        </w:rPr>
        <w:t xml:space="preserve">The course will </w:t>
      </w:r>
      <w:r w:rsidR="00904D0B" w:rsidRPr="009D7405">
        <w:rPr>
          <w:rFonts w:eastAsiaTheme="minorEastAsia"/>
        </w:rPr>
        <w:t>explore</w:t>
      </w:r>
      <w:r w:rsidRPr="009D7405">
        <w:rPr>
          <w:rFonts w:eastAsiaTheme="minorEastAsia"/>
        </w:rPr>
        <w:t xml:space="preserve"> a distinct fintech innovation each week</w:t>
      </w:r>
      <w:r w:rsidR="00071128" w:rsidRPr="009D7405">
        <w:rPr>
          <w:rFonts w:eastAsiaTheme="minorEastAsia"/>
        </w:rPr>
        <w:t xml:space="preserve"> </w:t>
      </w:r>
      <w:r w:rsidR="00904D0B" w:rsidRPr="009D7405">
        <w:rPr>
          <w:rFonts w:eastAsiaTheme="minorEastAsia"/>
        </w:rPr>
        <w:t xml:space="preserve">for </w:t>
      </w:r>
      <w:r w:rsidR="00071128" w:rsidRPr="009D7405">
        <w:rPr>
          <w:rFonts w:eastAsiaTheme="minorEastAsia"/>
        </w:rPr>
        <w:t>two hours</w:t>
      </w:r>
      <w:r w:rsidR="00353336" w:rsidRPr="009D7405">
        <w:rPr>
          <w:rFonts w:eastAsiaTheme="minorEastAsia"/>
        </w:rPr>
        <w:t xml:space="preserve">. </w:t>
      </w:r>
      <w:r w:rsidR="00F6288E" w:rsidRPr="009D7405">
        <w:rPr>
          <w:rFonts w:eastAsiaTheme="minorEastAsia"/>
        </w:rPr>
        <w:t>The first hour will be dedicated to understanding the</w:t>
      </w:r>
      <w:r w:rsidRPr="009D7405">
        <w:rPr>
          <w:rFonts w:eastAsiaTheme="minorEastAsia"/>
        </w:rPr>
        <w:t xml:space="preserve"> history, concept, characteristics, business model, and major </w:t>
      </w:r>
      <w:r w:rsidR="00F6288E" w:rsidRPr="009D7405">
        <w:rPr>
          <w:rFonts w:eastAsiaTheme="minorEastAsia"/>
        </w:rPr>
        <w:t xml:space="preserve">industry </w:t>
      </w:r>
      <w:r w:rsidRPr="009D7405">
        <w:rPr>
          <w:rFonts w:eastAsiaTheme="minorEastAsia"/>
        </w:rPr>
        <w:t>participants of th</w:t>
      </w:r>
      <w:r w:rsidR="00904D0B" w:rsidRPr="009D7405">
        <w:rPr>
          <w:rFonts w:eastAsiaTheme="minorEastAsia"/>
        </w:rPr>
        <w:t>e chosen</w:t>
      </w:r>
      <w:r w:rsidRPr="009D7405">
        <w:rPr>
          <w:rFonts w:eastAsiaTheme="minorEastAsia"/>
        </w:rPr>
        <w:t xml:space="preserve"> fintech innovation. </w:t>
      </w:r>
      <w:r w:rsidR="00D10A20" w:rsidRPr="009D7405">
        <w:rPr>
          <w:rFonts w:eastAsiaTheme="minorEastAsia"/>
        </w:rPr>
        <w:t>The second hour will focus on</w:t>
      </w:r>
      <w:r w:rsidRPr="009D7405">
        <w:rPr>
          <w:rFonts w:eastAsiaTheme="minorEastAsia"/>
        </w:rPr>
        <w:t xml:space="preserve"> </w:t>
      </w:r>
      <w:r w:rsidR="00D10A20" w:rsidRPr="009D7405">
        <w:rPr>
          <w:rFonts w:eastAsiaTheme="minorEastAsia"/>
        </w:rPr>
        <w:t xml:space="preserve">applicable </w:t>
      </w:r>
      <w:r w:rsidRPr="009D7405">
        <w:rPr>
          <w:rFonts w:eastAsiaTheme="minorEastAsia"/>
        </w:rPr>
        <w:t>laws and regulations</w:t>
      </w:r>
      <w:r w:rsidR="00D10A20" w:rsidRPr="009D7405">
        <w:rPr>
          <w:rFonts w:eastAsiaTheme="minorEastAsia"/>
        </w:rPr>
        <w:t xml:space="preserve"> and will engage students in a critical analysis of whether current legal structures are equipped to address the unique issues arising from these fintech innovations. </w:t>
      </w:r>
    </w:p>
    <w:p w14:paraId="6FECC7C9" w14:textId="77777777" w:rsidR="006A5D34" w:rsidRDefault="006A5D34" w:rsidP="006A5D34">
      <w:pPr>
        <w:rPr>
          <w:b/>
          <w:u w:val="single"/>
        </w:rPr>
      </w:pPr>
    </w:p>
    <w:p w14:paraId="0BCDE8FA" w14:textId="77777777" w:rsidR="009D7405" w:rsidRPr="009D7405" w:rsidRDefault="009D7405" w:rsidP="006A5D34">
      <w:pPr>
        <w:rPr>
          <w:b/>
          <w:u w:val="single"/>
        </w:rPr>
      </w:pPr>
    </w:p>
    <w:p w14:paraId="69B96114" w14:textId="77777777" w:rsidR="006A5D34" w:rsidRPr="009D7405" w:rsidRDefault="006A5D34" w:rsidP="006A5D34">
      <w:pPr>
        <w:rPr>
          <w:b/>
          <w:u w:val="single"/>
        </w:rPr>
      </w:pPr>
      <w:r w:rsidRPr="009D7405">
        <w:rPr>
          <w:b/>
          <w:u w:val="single"/>
        </w:rPr>
        <w:t>STUDENT LEARNING OUTCOMES</w:t>
      </w:r>
    </w:p>
    <w:p w14:paraId="07CE2E3C" w14:textId="3151AC7E" w:rsidR="006A5D34" w:rsidRPr="009D7405" w:rsidRDefault="00B538B1" w:rsidP="006A5D34">
      <w:pPr>
        <w:autoSpaceDE w:val="0"/>
        <w:autoSpaceDN w:val="0"/>
        <w:adjustRightInd w:val="0"/>
        <w:rPr>
          <w:bCs/>
        </w:rPr>
      </w:pPr>
      <w:r w:rsidRPr="009D7405">
        <w:rPr>
          <w:bCs/>
        </w:rPr>
        <w:t xml:space="preserve">By </w:t>
      </w:r>
      <w:r w:rsidR="006A5D34" w:rsidRPr="009D7405">
        <w:rPr>
          <w:bCs/>
        </w:rPr>
        <w:t>the end of this course, students should be able to perform the following:</w:t>
      </w:r>
    </w:p>
    <w:p w14:paraId="6DA6C62E" w14:textId="77777777" w:rsidR="00E759A1" w:rsidRPr="009D7405" w:rsidRDefault="00E759A1" w:rsidP="000B0224">
      <w:pPr>
        <w:pStyle w:val="ListParagraph"/>
        <w:numPr>
          <w:ilvl w:val="0"/>
          <w:numId w:val="2"/>
        </w:numPr>
        <w:rPr>
          <w:color w:val="000000" w:themeColor="text1"/>
        </w:rPr>
      </w:pPr>
      <w:r w:rsidRPr="009D7405">
        <w:rPr>
          <w:color w:val="000000" w:themeColor="text1"/>
        </w:rPr>
        <w:t>Develop a comprehensive understanding of fintech's brief history and the evolving dynamics between fintech entities and traditional financial institutions.</w:t>
      </w:r>
    </w:p>
    <w:p w14:paraId="55CEBEDC" w14:textId="6B59AB63" w:rsidR="00E759A1" w:rsidRPr="009D7405" w:rsidRDefault="006C6779" w:rsidP="000B0224">
      <w:pPr>
        <w:pStyle w:val="ListParagraph"/>
        <w:numPr>
          <w:ilvl w:val="0"/>
          <w:numId w:val="2"/>
        </w:numPr>
        <w:rPr>
          <w:color w:val="000000" w:themeColor="text1"/>
        </w:rPr>
      </w:pPr>
      <w:r w:rsidRPr="009D7405">
        <w:rPr>
          <w:color w:val="000000" w:themeColor="text1"/>
        </w:rPr>
        <w:t xml:space="preserve">Gain a solid grasp of various fintech advancements including crowdfunding, </w:t>
      </w:r>
      <w:proofErr w:type="spellStart"/>
      <w:r w:rsidRPr="009D7405">
        <w:rPr>
          <w:color w:val="000000" w:themeColor="text1"/>
        </w:rPr>
        <w:t>robo</w:t>
      </w:r>
      <w:proofErr w:type="spellEnd"/>
      <w:r w:rsidRPr="009D7405">
        <w:rPr>
          <w:color w:val="000000" w:themeColor="text1"/>
        </w:rPr>
        <w:t xml:space="preserve">-advising, high-frequency trading, marketplace lending, </w:t>
      </w:r>
      <w:r w:rsidR="00491DE6">
        <w:rPr>
          <w:color w:val="000000" w:themeColor="text1"/>
        </w:rPr>
        <w:t xml:space="preserve">and </w:t>
      </w:r>
      <w:r w:rsidRPr="009D7405">
        <w:rPr>
          <w:color w:val="000000" w:themeColor="text1"/>
        </w:rPr>
        <w:t xml:space="preserve">mobile </w:t>
      </w:r>
      <w:r w:rsidR="006616E4" w:rsidRPr="009D7405">
        <w:rPr>
          <w:color w:val="000000" w:themeColor="text1"/>
        </w:rPr>
        <w:t>payment.</w:t>
      </w:r>
    </w:p>
    <w:p w14:paraId="29660C99" w14:textId="3349D257" w:rsidR="006C6779" w:rsidRPr="009D7405" w:rsidRDefault="006C6779" w:rsidP="000B0224">
      <w:pPr>
        <w:pStyle w:val="ListParagraph"/>
        <w:numPr>
          <w:ilvl w:val="0"/>
          <w:numId w:val="2"/>
        </w:numPr>
        <w:rPr>
          <w:color w:val="000000" w:themeColor="text1"/>
        </w:rPr>
      </w:pPr>
      <w:r w:rsidRPr="009D7405">
        <w:rPr>
          <w:color w:val="000000" w:themeColor="text1"/>
        </w:rPr>
        <w:t>Apply existing laws and regulations to these fintech innovations.</w:t>
      </w:r>
    </w:p>
    <w:p w14:paraId="1110A97E" w14:textId="5B333EA4" w:rsidR="003116F2" w:rsidRPr="009D7405" w:rsidRDefault="003116F2" w:rsidP="000B0224">
      <w:pPr>
        <w:pStyle w:val="ListParagraph"/>
        <w:numPr>
          <w:ilvl w:val="0"/>
          <w:numId w:val="2"/>
        </w:numPr>
        <w:rPr>
          <w:color w:val="000000" w:themeColor="text1"/>
        </w:rPr>
      </w:pPr>
      <w:r w:rsidRPr="009D7405">
        <w:rPr>
          <w:color w:val="000000" w:themeColor="text1"/>
        </w:rPr>
        <w:t>Critically evaluate the suitability of current laws and regulations in addressing the unique challenges posed by these fintech developments.</w:t>
      </w:r>
    </w:p>
    <w:p w14:paraId="387A9AD2" w14:textId="506CD53E" w:rsidR="003116F2" w:rsidRPr="009D7405" w:rsidRDefault="003116F2" w:rsidP="000B0224">
      <w:pPr>
        <w:pStyle w:val="ListParagraph"/>
        <w:numPr>
          <w:ilvl w:val="0"/>
          <w:numId w:val="2"/>
        </w:numPr>
        <w:rPr>
          <w:color w:val="000000" w:themeColor="text1"/>
        </w:rPr>
      </w:pPr>
      <w:r w:rsidRPr="009D7405">
        <w:rPr>
          <w:color w:val="000000" w:themeColor="text1"/>
        </w:rPr>
        <w:t>Weigh the advantages and disadvantages of existing legal and regulatory frameworks in the fintech space.</w:t>
      </w:r>
    </w:p>
    <w:p w14:paraId="6ABE30C1" w14:textId="1E75AB99" w:rsidR="00DB562E" w:rsidRPr="009D7405" w:rsidRDefault="00DB562E" w:rsidP="000B0224">
      <w:pPr>
        <w:pStyle w:val="ListParagraph"/>
        <w:numPr>
          <w:ilvl w:val="0"/>
          <w:numId w:val="2"/>
        </w:numPr>
        <w:rPr>
          <w:color w:val="000000" w:themeColor="text1"/>
        </w:rPr>
      </w:pPr>
      <w:r w:rsidRPr="009D7405">
        <w:rPr>
          <w:color w:val="000000" w:themeColor="text1"/>
        </w:rPr>
        <w:t>Deepen their understanding of the challenges fintech firms face, comprehend the legal and regulatory objectives pursued by lawmakers and regulators, and identify the potential conflicts between these two aspects.</w:t>
      </w:r>
    </w:p>
    <w:p w14:paraId="3109D29E" w14:textId="77777777" w:rsidR="006A5D34" w:rsidRPr="009D7405" w:rsidRDefault="006A5D34" w:rsidP="006A5D34">
      <w:pPr>
        <w:rPr>
          <w:color w:val="000000" w:themeColor="text1"/>
        </w:rPr>
      </w:pPr>
    </w:p>
    <w:p w14:paraId="15FAB28C" w14:textId="77777777" w:rsidR="00DB562E" w:rsidRPr="009D7405" w:rsidRDefault="00DB562E" w:rsidP="006A5D34">
      <w:pPr>
        <w:rPr>
          <w:b/>
          <w:u w:val="single"/>
        </w:rPr>
      </w:pPr>
    </w:p>
    <w:p w14:paraId="0212562F" w14:textId="6EDD617B" w:rsidR="00DA68FE" w:rsidRPr="009D7405" w:rsidRDefault="00DA68FE" w:rsidP="00DA68FE">
      <w:r w:rsidRPr="009D7405">
        <w:rPr>
          <w:b/>
          <w:u w:val="single"/>
        </w:rPr>
        <w:t>REQUIRED TEXT</w:t>
      </w:r>
      <w:r w:rsidR="007D4865" w:rsidRPr="009D7405">
        <w:rPr>
          <w:b/>
          <w:u w:val="single"/>
        </w:rPr>
        <w:t>BOOK</w:t>
      </w:r>
    </w:p>
    <w:p w14:paraId="51A9B3B7" w14:textId="516424F1" w:rsidR="000C5A95" w:rsidRPr="009D7405" w:rsidRDefault="000C5A95" w:rsidP="000C5A95">
      <w:pPr>
        <w:rPr>
          <w:color w:val="000000" w:themeColor="text1"/>
        </w:rPr>
      </w:pPr>
      <w:r w:rsidRPr="009D7405">
        <w:rPr>
          <w:color w:val="000000" w:themeColor="text1"/>
        </w:rPr>
        <w:t>Fintech Law</w:t>
      </w:r>
      <w:r w:rsidR="00303A6E" w:rsidRPr="009D7405">
        <w:rPr>
          <w:color w:val="000000" w:themeColor="text1"/>
        </w:rPr>
        <w:t xml:space="preserve">, the </w:t>
      </w:r>
      <w:r w:rsidR="008B2A9F" w:rsidRPr="009D7405">
        <w:rPr>
          <w:color w:val="000000" w:themeColor="text1"/>
        </w:rPr>
        <w:t>Case Studies, Howell Jackson</w:t>
      </w:r>
      <w:r w:rsidR="00C202A2" w:rsidRPr="009D7405">
        <w:rPr>
          <w:color w:val="000000" w:themeColor="text1"/>
        </w:rPr>
        <w:t>,</w:t>
      </w:r>
      <w:r w:rsidR="008B2A9F" w:rsidRPr="009D7405">
        <w:rPr>
          <w:color w:val="000000" w:themeColor="text1"/>
        </w:rPr>
        <w:t xml:space="preserve"> and Margaret </w:t>
      </w:r>
      <w:proofErr w:type="spellStart"/>
      <w:r w:rsidR="008B2A9F" w:rsidRPr="009D7405">
        <w:rPr>
          <w:color w:val="000000" w:themeColor="text1"/>
        </w:rPr>
        <w:t>Tahyar</w:t>
      </w:r>
      <w:proofErr w:type="spellEnd"/>
      <w:r w:rsidR="002F2B55" w:rsidRPr="009D7405">
        <w:rPr>
          <w:color w:val="000000" w:themeColor="text1"/>
        </w:rPr>
        <w:t xml:space="preserve"> (</w:t>
      </w:r>
      <w:r w:rsidR="00141227">
        <w:rPr>
          <w:color w:val="000000" w:themeColor="text1"/>
        </w:rPr>
        <w:t>F</w:t>
      </w:r>
      <w:r w:rsidR="002F2B55" w:rsidRPr="009D7405">
        <w:rPr>
          <w:color w:val="000000" w:themeColor="text1"/>
        </w:rPr>
        <w:t>ree eBook available</w:t>
      </w:r>
      <w:r w:rsidR="00145737">
        <w:rPr>
          <w:color w:val="000000" w:themeColor="text1"/>
        </w:rPr>
        <w:t xml:space="preserve"> online</w:t>
      </w:r>
      <w:r w:rsidR="002F2B55" w:rsidRPr="009D7405">
        <w:rPr>
          <w:color w:val="000000" w:themeColor="text1"/>
        </w:rPr>
        <w:t>)</w:t>
      </w:r>
    </w:p>
    <w:p w14:paraId="034B834A" w14:textId="19C2F44D" w:rsidR="00FB2B8A" w:rsidRPr="009D7405" w:rsidRDefault="00FB2B8A" w:rsidP="000C5A95">
      <w:pPr>
        <w:rPr>
          <w:color w:val="000000" w:themeColor="text1"/>
        </w:rPr>
      </w:pPr>
      <w:r w:rsidRPr="009D7405">
        <w:rPr>
          <w:color w:val="000000" w:themeColor="text1"/>
        </w:rPr>
        <w:t>Fintech Law and Policy</w:t>
      </w:r>
      <w:r w:rsidR="006C6197" w:rsidRPr="009D7405">
        <w:rPr>
          <w:color w:val="000000" w:themeColor="text1"/>
        </w:rPr>
        <w:t xml:space="preserve">, Lee </w:t>
      </w:r>
      <w:proofErr w:type="spellStart"/>
      <w:r w:rsidR="006C6197" w:rsidRPr="009D7405">
        <w:rPr>
          <w:color w:val="000000" w:themeColor="text1"/>
        </w:rPr>
        <w:t>Reiners</w:t>
      </w:r>
      <w:proofErr w:type="spellEnd"/>
      <w:r w:rsidRPr="009D7405">
        <w:rPr>
          <w:color w:val="000000" w:themeColor="text1"/>
        </w:rPr>
        <w:t xml:space="preserve"> </w:t>
      </w:r>
      <w:r w:rsidR="004F5278">
        <w:rPr>
          <w:color w:val="000000" w:themeColor="text1"/>
        </w:rPr>
        <w:t>(</w:t>
      </w:r>
      <w:r w:rsidR="00141227">
        <w:rPr>
          <w:color w:val="000000" w:themeColor="text1"/>
        </w:rPr>
        <w:t>E</w:t>
      </w:r>
      <w:r w:rsidR="00145737">
        <w:rPr>
          <w:color w:val="000000" w:themeColor="text1"/>
        </w:rPr>
        <w:t xml:space="preserve">xcerpts </w:t>
      </w:r>
      <w:r w:rsidR="004F5278">
        <w:rPr>
          <w:color w:val="000000" w:themeColor="text1"/>
        </w:rPr>
        <w:t>will be distributed on Canvas)</w:t>
      </w:r>
    </w:p>
    <w:p w14:paraId="32CE3AA9" w14:textId="5A43AE17" w:rsidR="008B2A9F" w:rsidRPr="009D7405" w:rsidRDefault="005C2251" w:rsidP="000C5A95">
      <w:pPr>
        <w:rPr>
          <w:color w:val="000000" w:themeColor="text1"/>
        </w:rPr>
      </w:pPr>
      <w:r w:rsidRPr="009D7405">
        <w:rPr>
          <w:color w:val="000000" w:themeColor="text1"/>
        </w:rPr>
        <w:t>Fintech Law in a Nutshell, Chris Brummer</w:t>
      </w:r>
    </w:p>
    <w:p w14:paraId="4932228A" w14:textId="77777777" w:rsidR="003C4710" w:rsidRPr="009D7405" w:rsidRDefault="003C4710" w:rsidP="00B47272"/>
    <w:p w14:paraId="46152257" w14:textId="5276672B" w:rsidR="008B129C" w:rsidRPr="009D7405" w:rsidRDefault="008B129C" w:rsidP="008B129C">
      <w:r w:rsidRPr="009D7405">
        <w:t xml:space="preserve">Weekly reading assignments and study materials will be provided via Canvas, to be prepared ahead of each class. Ensure to have these materials readily </w:t>
      </w:r>
      <w:r w:rsidR="00521EED" w:rsidRPr="009D7405">
        <w:t>accessible</w:t>
      </w:r>
      <w:r w:rsidRPr="009D7405">
        <w:t xml:space="preserve"> in print or electronically during class. You are responsible for checking Canvas and associated email on a regular basis for class updates and announcements. </w:t>
      </w:r>
    </w:p>
    <w:p w14:paraId="27D29B67" w14:textId="77777777" w:rsidR="00B47272" w:rsidRDefault="00B47272" w:rsidP="00B47272"/>
    <w:p w14:paraId="4AC04889" w14:textId="77777777" w:rsidR="004F5278" w:rsidRPr="009D7405" w:rsidRDefault="004F5278" w:rsidP="00B47272"/>
    <w:p w14:paraId="45BB1FFF" w14:textId="77777777" w:rsidR="006A4050" w:rsidRPr="009D7405" w:rsidRDefault="006A4050" w:rsidP="006A4050">
      <w:pPr>
        <w:spacing w:after="10" w:line="249" w:lineRule="auto"/>
        <w:ind w:left="-5"/>
      </w:pPr>
      <w:r w:rsidRPr="006616E4">
        <w:rPr>
          <w:b/>
          <w:u w:val="single"/>
        </w:rPr>
        <w:t>COURSE EXPECTATIONS</w:t>
      </w:r>
      <w:r w:rsidRPr="009D7405">
        <w:rPr>
          <w:b/>
        </w:rPr>
        <w:t xml:space="preserve">  </w:t>
      </w:r>
    </w:p>
    <w:p w14:paraId="238F814D" w14:textId="77777777" w:rsidR="00EB0987" w:rsidRDefault="00EB0987" w:rsidP="006A4050">
      <w:r w:rsidRPr="00EB0987">
        <w:t>For a successful seminar experience, the following requirements should be met:</w:t>
      </w:r>
    </w:p>
    <w:p w14:paraId="1689F020" w14:textId="77777777" w:rsidR="006A4050" w:rsidRDefault="006A4050" w:rsidP="006A4050"/>
    <w:p w14:paraId="11E4DD3C" w14:textId="7D9A3697" w:rsidR="00EB0987" w:rsidRDefault="00EB0987" w:rsidP="00EB0987">
      <w:pPr>
        <w:ind w:left="720"/>
      </w:pPr>
      <w:r w:rsidRPr="00106F56">
        <w:rPr>
          <w:i/>
          <w:iCs/>
        </w:rPr>
        <w:t>• Preparation:</w:t>
      </w:r>
      <w:r w:rsidRPr="00EB0987">
        <w:t xml:space="preserve"> Prior to each session, please ensure you've thoroughly studied the assigned materials. This will foster productive and insightful discussions. All resources will be </w:t>
      </w:r>
      <w:r w:rsidR="008D4056" w:rsidRPr="00EB0987">
        <w:t>a</w:t>
      </w:r>
      <w:r w:rsidR="008D4056">
        <w:t>vailable</w:t>
      </w:r>
      <w:r w:rsidRPr="00EB0987">
        <w:t xml:space="preserve"> on Canvas.  </w:t>
      </w:r>
    </w:p>
    <w:p w14:paraId="120A963E" w14:textId="77777777" w:rsidR="00EB0987" w:rsidRDefault="00EB0987" w:rsidP="00EB0987">
      <w:pPr>
        <w:ind w:left="1440"/>
      </w:pPr>
    </w:p>
    <w:p w14:paraId="2BE5DCCB" w14:textId="08C0786F" w:rsidR="00EB0987" w:rsidRDefault="00EB0987" w:rsidP="00EB0987">
      <w:pPr>
        <w:ind w:left="720"/>
      </w:pPr>
      <w:r w:rsidRPr="00106F56">
        <w:rPr>
          <w:i/>
          <w:iCs/>
        </w:rPr>
        <w:t>• Active Participation:</w:t>
      </w:r>
      <w:r w:rsidRPr="00EB0987">
        <w:t xml:space="preserve"> Each class session is designed to be dynamic and engaging, </w:t>
      </w:r>
      <w:r w:rsidR="008D4056">
        <w:t xml:space="preserve">consisting of </w:t>
      </w:r>
      <w:r w:rsidRPr="00EB0987">
        <w:t>lectures, guest speaker sessions, small group activities, and discussions. Your active participation is a fundamental component of the learning experience.</w:t>
      </w:r>
    </w:p>
    <w:p w14:paraId="543711C6" w14:textId="77777777" w:rsidR="007B10BC" w:rsidRDefault="007B10BC" w:rsidP="00EB0987">
      <w:pPr>
        <w:ind w:left="720"/>
      </w:pPr>
    </w:p>
    <w:p w14:paraId="74C30287" w14:textId="31FF696C" w:rsidR="007B10BC" w:rsidRDefault="007B10BC" w:rsidP="00EB0987">
      <w:pPr>
        <w:ind w:left="720"/>
      </w:pPr>
      <w:r w:rsidRPr="00106F56">
        <w:rPr>
          <w:i/>
          <w:iCs/>
        </w:rPr>
        <w:t>• “Discussion Leader” Assignment:</w:t>
      </w:r>
      <w:r w:rsidRPr="007B10BC">
        <w:t xml:space="preserve"> Throughout this seminar, we'll delve into </w:t>
      </w:r>
      <w:r w:rsidR="0018278C">
        <w:t xml:space="preserve">five </w:t>
      </w:r>
      <w:r w:rsidRPr="007B10BC">
        <w:t xml:space="preserve">main topics: crowdfunding, high-frequency trading, </w:t>
      </w:r>
      <w:proofErr w:type="spellStart"/>
      <w:r w:rsidR="0018278C" w:rsidRPr="007B10BC">
        <w:t>robo</w:t>
      </w:r>
      <w:proofErr w:type="spellEnd"/>
      <w:r w:rsidR="0018278C" w:rsidRPr="007B10BC">
        <w:t>-advisors</w:t>
      </w:r>
      <w:r w:rsidR="0018278C">
        <w:t xml:space="preserve">, </w:t>
      </w:r>
      <w:r w:rsidRPr="007B10BC">
        <w:t xml:space="preserve">marketplace lending, </w:t>
      </w:r>
      <w:r w:rsidR="0018278C">
        <w:t xml:space="preserve">and </w:t>
      </w:r>
      <w:r w:rsidRPr="007B10BC">
        <w:t>paymen</w:t>
      </w:r>
      <w:r w:rsidR="0018278C">
        <w:t>t</w:t>
      </w:r>
      <w:r w:rsidRPr="007B10BC">
        <w:t>. For one of these topics, you will take on the role of a "</w:t>
      </w:r>
      <w:r>
        <w:t>d</w:t>
      </w:r>
      <w:r w:rsidRPr="007B10BC">
        <w:t>iscussion</w:t>
      </w:r>
      <w:r>
        <w:t xml:space="preserve"> l</w:t>
      </w:r>
      <w:r w:rsidRPr="007B10BC">
        <w:t xml:space="preserve">eader", presenting a concise history, the underlying concept, characteristics, business model, and key industry players of your chosen fintech innovation. In addition, you will </w:t>
      </w:r>
      <w:r>
        <w:t xml:space="preserve">lead </w:t>
      </w:r>
      <w:r w:rsidRPr="007B10BC">
        <w:t>the discussion for the first hour of the class. A week prior to your "</w:t>
      </w:r>
      <w:r>
        <w:t>d</w:t>
      </w:r>
      <w:r w:rsidRPr="007B10BC">
        <w:t xml:space="preserve">iscussion </w:t>
      </w:r>
      <w:r>
        <w:t>l</w:t>
      </w:r>
      <w:r w:rsidRPr="007B10BC">
        <w:t>eader" role, we will have a one-on-one meeting to prepare you for this task.</w:t>
      </w:r>
    </w:p>
    <w:p w14:paraId="5521FB89" w14:textId="77777777" w:rsidR="00FD381E" w:rsidRPr="009D7405" w:rsidRDefault="00FD381E" w:rsidP="00FD381E">
      <w:pPr>
        <w:pStyle w:val="ListParagraph"/>
      </w:pPr>
    </w:p>
    <w:p w14:paraId="5A6843F3" w14:textId="49BDC79C" w:rsidR="00DB562E" w:rsidRDefault="00723A71" w:rsidP="00DB562E">
      <w:pPr>
        <w:pStyle w:val="ListParagraph"/>
      </w:pPr>
      <w:r w:rsidRPr="00106F56">
        <w:rPr>
          <w:i/>
          <w:iCs/>
        </w:rPr>
        <w:t>• Draft Presentation and Final Paper:</w:t>
      </w:r>
      <w:r w:rsidRPr="00723A71">
        <w:t xml:space="preserve"> You are expected to write a comprehensive </w:t>
      </w:r>
      <w:r w:rsidRPr="00B475BD">
        <w:rPr>
          <w:b/>
          <w:bCs/>
        </w:rPr>
        <w:t>10-12 pages paper, single-spaced in 12 point, Times New Roman font</w:t>
      </w:r>
      <w:r w:rsidRPr="00723A71">
        <w:t xml:space="preserve">. </w:t>
      </w:r>
      <w:r>
        <w:t xml:space="preserve">You will present this paper to the class. </w:t>
      </w:r>
      <w:r w:rsidRPr="00723A71">
        <w:t xml:space="preserve">This </w:t>
      </w:r>
      <w:r>
        <w:t xml:space="preserve">topic can </w:t>
      </w:r>
      <w:r w:rsidRPr="00723A71">
        <w:t xml:space="preserve">focus on any </w:t>
      </w:r>
      <w:r>
        <w:t>aspect of f</w:t>
      </w:r>
      <w:r w:rsidRPr="00723A71">
        <w:t>intech</w:t>
      </w:r>
      <w:r>
        <w:t xml:space="preserve">. </w:t>
      </w:r>
      <w:r w:rsidRPr="00723A71">
        <w:t xml:space="preserve">However, it may be beneficial to select a topic aligned with your </w:t>
      </w:r>
      <w:r w:rsidR="008339EB">
        <w:t>“</w:t>
      </w:r>
      <w:r w:rsidRPr="00723A71">
        <w:t>discussion leader</w:t>
      </w:r>
      <w:r w:rsidR="008339EB">
        <w:t>”</w:t>
      </w:r>
      <w:r w:rsidRPr="00723A71">
        <w:t xml:space="preserve"> duty, as you'll have </w:t>
      </w:r>
      <w:r w:rsidR="008339EB">
        <w:t>to conduct</w:t>
      </w:r>
      <w:r w:rsidRPr="00723A71">
        <w:t xml:space="preserve"> research </w:t>
      </w:r>
      <w:r w:rsidR="008339EB">
        <w:t>on that topic</w:t>
      </w:r>
      <w:r w:rsidRPr="00723A71">
        <w:t xml:space="preserve">. </w:t>
      </w:r>
      <w:r w:rsidR="00FE08F1">
        <w:t xml:space="preserve">The </w:t>
      </w:r>
      <w:r w:rsidR="00FE08F1" w:rsidRPr="00106F56">
        <w:rPr>
          <w:b/>
          <w:bCs/>
        </w:rPr>
        <w:t>outline</w:t>
      </w:r>
      <w:r w:rsidR="00FE08F1">
        <w:t xml:space="preserve"> is due on either </w:t>
      </w:r>
      <w:r w:rsidR="00FE08F1" w:rsidRPr="00106F56">
        <w:rPr>
          <w:b/>
          <w:bCs/>
        </w:rPr>
        <w:t>September 26 or October 3</w:t>
      </w:r>
      <w:r w:rsidR="00207A47">
        <w:t xml:space="preserve"> </w:t>
      </w:r>
      <w:r w:rsidR="000656B1">
        <w:t xml:space="preserve">when you meet with me </w:t>
      </w:r>
      <w:r w:rsidR="00207A47">
        <w:t>to</w:t>
      </w:r>
      <w:r w:rsidR="00FE08F1">
        <w:t xml:space="preserve"> </w:t>
      </w:r>
      <w:r w:rsidR="003724A7">
        <w:t xml:space="preserve">discuss your outline and receive </w:t>
      </w:r>
      <w:r w:rsidR="00C074C6">
        <w:t xml:space="preserve">individualized </w:t>
      </w:r>
      <w:r w:rsidR="00207A47">
        <w:t>feedback.</w:t>
      </w:r>
      <w:r w:rsidR="00FE08F1">
        <w:t xml:space="preserve"> </w:t>
      </w:r>
      <w:r w:rsidRPr="00723A71">
        <w:t xml:space="preserve">Your </w:t>
      </w:r>
      <w:r w:rsidR="00FE08F1" w:rsidRPr="00106F56">
        <w:rPr>
          <w:b/>
          <w:bCs/>
        </w:rPr>
        <w:t xml:space="preserve">first </w:t>
      </w:r>
      <w:r w:rsidRPr="00106F56">
        <w:rPr>
          <w:b/>
          <w:bCs/>
        </w:rPr>
        <w:t>draft</w:t>
      </w:r>
      <w:r w:rsidRPr="00723A71">
        <w:t xml:space="preserve"> is due a week before your scheduled presentation on either </w:t>
      </w:r>
      <w:r w:rsidRPr="00106F56">
        <w:rPr>
          <w:b/>
          <w:bCs/>
        </w:rPr>
        <w:t>October 24 or 31</w:t>
      </w:r>
      <w:r w:rsidR="00FD2671">
        <w:t xml:space="preserve"> by 11:59 pm ET</w:t>
      </w:r>
      <w:r w:rsidRPr="00723A71">
        <w:t xml:space="preserve">. </w:t>
      </w:r>
      <w:r w:rsidR="000A1985">
        <w:t>The</w:t>
      </w:r>
      <w:r w:rsidRPr="00723A71">
        <w:t xml:space="preserve"> </w:t>
      </w:r>
      <w:r w:rsidRPr="00106F56">
        <w:rPr>
          <w:b/>
          <w:bCs/>
        </w:rPr>
        <w:t>final paper</w:t>
      </w:r>
      <w:r w:rsidRPr="00723A71">
        <w:t xml:space="preserve"> </w:t>
      </w:r>
      <w:r w:rsidR="000A1985">
        <w:t xml:space="preserve">is </w:t>
      </w:r>
      <w:r w:rsidRPr="00723A71">
        <w:t xml:space="preserve">due by 11:59 pm ET on </w:t>
      </w:r>
      <w:r w:rsidRPr="00106F56">
        <w:rPr>
          <w:b/>
          <w:bCs/>
        </w:rPr>
        <w:t>December 14</w:t>
      </w:r>
      <w:r w:rsidRPr="00723A71">
        <w:t>.</w:t>
      </w:r>
      <w:r w:rsidR="00EE7821">
        <w:t xml:space="preserve"> </w:t>
      </w:r>
    </w:p>
    <w:p w14:paraId="62829C6A" w14:textId="77777777" w:rsidR="00BB46D1" w:rsidRDefault="00BB46D1" w:rsidP="00DB562E">
      <w:pPr>
        <w:pStyle w:val="ListParagraph"/>
      </w:pPr>
    </w:p>
    <w:p w14:paraId="2D3637D4" w14:textId="53B02477" w:rsidR="00BB46D1" w:rsidRDefault="00BB46D1" w:rsidP="00DB562E">
      <w:pPr>
        <w:pStyle w:val="ListParagraph"/>
      </w:pPr>
      <w:r w:rsidRPr="00106F56">
        <w:rPr>
          <w:i/>
          <w:iCs/>
        </w:rPr>
        <w:t>• Peer Feedback:</w:t>
      </w:r>
      <w:r w:rsidRPr="00BB46D1">
        <w:t xml:space="preserve"> The presentations will be split across two days (October 31and November 7), with half of the students </w:t>
      </w:r>
      <w:r w:rsidR="004F56C7">
        <w:t xml:space="preserve">(3 or 4 students) </w:t>
      </w:r>
      <w:r w:rsidRPr="00BB46D1">
        <w:t xml:space="preserve">presenting on each day. On the day of your presentation, you are also expected to provide </w:t>
      </w:r>
      <w:r w:rsidR="004F56C7">
        <w:t xml:space="preserve">a one-page </w:t>
      </w:r>
      <w:r w:rsidRPr="00BB46D1">
        <w:t xml:space="preserve">written feedback </w:t>
      </w:r>
      <w:r w:rsidRPr="00BB46D1">
        <w:lastRenderedPageBreak/>
        <w:t>on the other presentations within 48 hours. You should also prepare to ask questions and provide verbal feedback/comments to your peers presenting on the alternate day.</w:t>
      </w:r>
    </w:p>
    <w:p w14:paraId="2837BF53" w14:textId="77777777" w:rsidR="00F262D2" w:rsidRDefault="00F262D2" w:rsidP="00BB46D1"/>
    <w:p w14:paraId="703123CF" w14:textId="77777777" w:rsidR="00F262D2" w:rsidRPr="009D7405" w:rsidRDefault="00F262D2" w:rsidP="00F262D2">
      <w:pPr>
        <w:ind w:left="576"/>
      </w:pPr>
    </w:p>
    <w:p w14:paraId="0B73D9E3" w14:textId="77777777" w:rsidR="006A4050" w:rsidRPr="009D7405" w:rsidRDefault="006A4050" w:rsidP="006A4050">
      <w:pPr>
        <w:spacing w:after="10" w:line="249" w:lineRule="auto"/>
        <w:ind w:left="-5"/>
      </w:pPr>
      <w:r w:rsidRPr="006616E4">
        <w:rPr>
          <w:b/>
          <w:u w:val="single"/>
        </w:rPr>
        <w:t>GRADING EVALUATION</w:t>
      </w:r>
      <w:r w:rsidRPr="009D7405">
        <w:rPr>
          <w:b/>
        </w:rPr>
        <w:t xml:space="preserve">  </w:t>
      </w:r>
    </w:p>
    <w:p w14:paraId="767A84FF" w14:textId="77777777" w:rsidR="006A4050" w:rsidRPr="009D7405" w:rsidRDefault="006A4050" w:rsidP="006A4050">
      <w:pPr>
        <w:spacing w:line="259" w:lineRule="auto"/>
      </w:pPr>
    </w:p>
    <w:tbl>
      <w:tblPr>
        <w:tblStyle w:val="TableGrid1"/>
        <w:tblW w:w="9581" w:type="dxa"/>
        <w:tblInd w:w="-5" w:type="dxa"/>
        <w:tblCellMar>
          <w:top w:w="10" w:type="dxa"/>
          <w:left w:w="106" w:type="dxa"/>
          <w:right w:w="115" w:type="dxa"/>
        </w:tblCellMar>
        <w:tblLook w:val="04A0" w:firstRow="1" w:lastRow="0" w:firstColumn="1" w:lastColumn="0" w:noHBand="0" w:noVBand="1"/>
      </w:tblPr>
      <w:tblGrid>
        <w:gridCol w:w="4790"/>
        <w:gridCol w:w="4791"/>
      </w:tblGrid>
      <w:tr w:rsidR="006A4050" w:rsidRPr="009D7405" w14:paraId="2E6209EF" w14:textId="77777777" w:rsidTr="000215C7">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D2FEC" w14:textId="77777777" w:rsidR="006A4050" w:rsidRPr="009D7405" w:rsidRDefault="006A4050" w:rsidP="00697B05">
            <w:pPr>
              <w:spacing w:line="259" w:lineRule="auto"/>
              <w:ind w:left="5"/>
            </w:pPr>
            <w:r w:rsidRPr="009D7405">
              <w:rPr>
                <w:b/>
              </w:rPr>
              <w:t xml:space="preserve">Class Component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670D" w14:textId="77777777" w:rsidR="006A4050" w:rsidRPr="009D7405" w:rsidRDefault="006A4050" w:rsidP="00697B05">
            <w:pPr>
              <w:spacing w:line="259" w:lineRule="auto"/>
            </w:pPr>
            <w:r w:rsidRPr="009D7405">
              <w:rPr>
                <w:b/>
              </w:rPr>
              <w:t xml:space="preserve">Percent of Grade </w:t>
            </w:r>
          </w:p>
        </w:tc>
      </w:tr>
      <w:tr w:rsidR="006A4050" w:rsidRPr="009D7405" w14:paraId="2CA605EF" w14:textId="77777777" w:rsidTr="000215C7">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3CFBF" w14:textId="77777777" w:rsidR="006A4050" w:rsidRPr="009D7405" w:rsidRDefault="006A4050" w:rsidP="00697B05">
            <w:pPr>
              <w:spacing w:line="259" w:lineRule="auto"/>
              <w:ind w:left="5"/>
            </w:pPr>
            <w:r w:rsidRPr="009D7405">
              <w:t xml:space="preserve">Class participation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59586" w14:textId="47DD8A06" w:rsidR="006A4050" w:rsidRPr="009D7405" w:rsidRDefault="0028149B" w:rsidP="00697B05">
            <w:pPr>
              <w:spacing w:line="259" w:lineRule="auto"/>
            </w:pPr>
            <w:r w:rsidRPr="009D7405">
              <w:t>10%</w:t>
            </w:r>
          </w:p>
        </w:tc>
      </w:tr>
      <w:tr w:rsidR="006A4050" w:rsidRPr="009D7405" w14:paraId="107353AE" w14:textId="77777777" w:rsidTr="000215C7">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E5A8B" w14:textId="139470CD" w:rsidR="006A4050" w:rsidRPr="009D7405" w:rsidRDefault="00293952" w:rsidP="00697B05">
            <w:pPr>
              <w:spacing w:line="259" w:lineRule="auto"/>
              <w:ind w:left="5"/>
            </w:pPr>
            <w:r w:rsidRPr="009D7405">
              <w:t xml:space="preserve">Discussion leader assignment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47398" w14:textId="15A8F2A7" w:rsidR="006A4050" w:rsidRPr="009D7405" w:rsidRDefault="001E2A97" w:rsidP="00697B05">
            <w:pPr>
              <w:spacing w:line="259" w:lineRule="auto"/>
            </w:pPr>
            <w:r>
              <w:t>15</w:t>
            </w:r>
            <w:r w:rsidR="00293952" w:rsidRPr="009D7405">
              <w:t>%</w:t>
            </w:r>
          </w:p>
        </w:tc>
      </w:tr>
      <w:tr w:rsidR="00293952" w:rsidRPr="009D7405" w14:paraId="64323BC2" w14:textId="77777777" w:rsidTr="000215C7">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A40C3" w14:textId="4D23C373" w:rsidR="00293952" w:rsidRPr="009D7405" w:rsidRDefault="00A26361" w:rsidP="00697B05">
            <w:pPr>
              <w:spacing w:line="259" w:lineRule="auto"/>
              <w:ind w:left="5"/>
            </w:pPr>
            <w:r w:rsidRPr="009D7405">
              <w:t xml:space="preserve">Draft presentation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338AF" w14:textId="016171A6" w:rsidR="00293952" w:rsidRPr="009D7405" w:rsidRDefault="00F71B1A" w:rsidP="00697B05">
            <w:pPr>
              <w:spacing w:line="259" w:lineRule="auto"/>
            </w:pPr>
            <w:r w:rsidRPr="009D7405">
              <w:t>1</w:t>
            </w:r>
            <w:r w:rsidR="00A26361">
              <w:t>5</w:t>
            </w:r>
            <w:r w:rsidRPr="009D7405">
              <w:t>%</w:t>
            </w:r>
          </w:p>
        </w:tc>
      </w:tr>
      <w:tr w:rsidR="00293952" w:rsidRPr="009D7405" w14:paraId="7DDAE3C8" w14:textId="77777777" w:rsidTr="000215C7">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B656E" w14:textId="700DE545" w:rsidR="00293952" w:rsidRPr="009D7405" w:rsidRDefault="00A26361" w:rsidP="00697B05">
            <w:pPr>
              <w:spacing w:line="259" w:lineRule="auto"/>
              <w:ind w:left="5"/>
            </w:pPr>
            <w:r w:rsidRPr="009D7405">
              <w:t xml:space="preserve">Feedback </w:t>
            </w:r>
            <w:r>
              <w:t>to peers</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F12A3" w14:textId="5F139B87" w:rsidR="00293952" w:rsidRPr="009D7405" w:rsidRDefault="001E2A97" w:rsidP="00697B05">
            <w:pPr>
              <w:spacing w:line="259" w:lineRule="auto"/>
            </w:pPr>
            <w:r>
              <w:t>1</w:t>
            </w:r>
            <w:r w:rsidR="00A26361">
              <w:t>0</w:t>
            </w:r>
            <w:r w:rsidR="00F71B1A" w:rsidRPr="009D7405">
              <w:t>%</w:t>
            </w:r>
          </w:p>
        </w:tc>
      </w:tr>
      <w:tr w:rsidR="006A4050" w:rsidRPr="009D7405" w14:paraId="4901C4BE" w14:textId="77777777" w:rsidTr="000215C7">
        <w:trPr>
          <w:trHeight w:val="259"/>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DFC4C" w14:textId="46F3962B" w:rsidR="006A4050" w:rsidRPr="009D7405" w:rsidRDefault="006A4050" w:rsidP="00697B05">
            <w:pPr>
              <w:spacing w:line="259" w:lineRule="auto"/>
              <w:ind w:left="5"/>
            </w:pPr>
            <w:r w:rsidRPr="009D7405">
              <w:t xml:space="preserve">Final </w:t>
            </w:r>
            <w:r w:rsidR="00A45A4E" w:rsidRPr="009D7405">
              <w:t xml:space="preserve">paper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D164" w14:textId="54E36104" w:rsidR="006A4050" w:rsidRPr="009D7405" w:rsidRDefault="00F71B1A" w:rsidP="00697B05">
            <w:pPr>
              <w:spacing w:line="259" w:lineRule="auto"/>
            </w:pPr>
            <w:r w:rsidRPr="009D7405">
              <w:t>50%</w:t>
            </w:r>
          </w:p>
        </w:tc>
      </w:tr>
      <w:tr w:rsidR="006A4050" w:rsidRPr="009D7405" w14:paraId="496337B3" w14:textId="77777777" w:rsidTr="000215C7">
        <w:trPr>
          <w:trHeight w:val="264"/>
        </w:trPr>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57793" w14:textId="77777777" w:rsidR="006A4050" w:rsidRPr="009D7405" w:rsidRDefault="006A4050" w:rsidP="00697B05">
            <w:pPr>
              <w:spacing w:line="259" w:lineRule="auto"/>
              <w:ind w:left="5"/>
            </w:pPr>
            <w:r w:rsidRPr="009D7405">
              <w:t xml:space="preserve">TOTAL </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93856" w14:textId="77777777" w:rsidR="006A4050" w:rsidRPr="009D7405" w:rsidRDefault="006A4050" w:rsidP="00697B05">
            <w:pPr>
              <w:spacing w:line="259" w:lineRule="auto"/>
            </w:pPr>
            <w:r w:rsidRPr="009D7405">
              <w:t xml:space="preserve">100% </w:t>
            </w:r>
          </w:p>
        </w:tc>
      </w:tr>
    </w:tbl>
    <w:p w14:paraId="7E5C9CA0" w14:textId="77777777" w:rsidR="006A4050" w:rsidRPr="009D7405" w:rsidRDefault="006A4050" w:rsidP="006A4050"/>
    <w:p w14:paraId="3E8B5193" w14:textId="77777777" w:rsidR="006A4050" w:rsidRPr="009D7405" w:rsidRDefault="006A4050" w:rsidP="009D40F0">
      <w:pPr>
        <w:spacing w:before="120" w:after="200"/>
        <w:rPr>
          <w:b/>
          <w:u w:val="single"/>
        </w:rPr>
      </w:pPr>
    </w:p>
    <w:p w14:paraId="0619D99B" w14:textId="77777777" w:rsidR="004F22B4" w:rsidRPr="009D7405" w:rsidRDefault="006A5D34" w:rsidP="004F22B4">
      <w:pPr>
        <w:spacing w:before="120" w:after="200"/>
      </w:pPr>
      <w:r w:rsidRPr="009D7405">
        <w:rPr>
          <w:b/>
          <w:u w:val="single"/>
        </w:rPr>
        <w:t>CLASS ATTENDANCE POLICY</w:t>
      </w:r>
      <w:r w:rsidR="009D40F0" w:rsidRPr="009D7405">
        <w:br/>
      </w:r>
      <w:r w:rsidR="004F22B4" w:rsidRPr="009D7405">
        <w:t xml:space="preserve">Both the ABA and Law School mandate class attendance. The school's attendance policy can be found </w:t>
      </w:r>
      <w:hyperlink r:id="rId8" w:anchor=":~:text=co%2Dcurricular%20activities.-,Attendance,regular%20and%20punctual%20class%20attendance.&amp;text=UF%20Law%20policy%20permits%20dismissal,of%2012%20credits%20per%20semester." w:history="1">
        <w:r w:rsidR="004F22B4" w:rsidRPr="009D7405">
          <w:rPr>
            <w:rStyle w:val="Hyperlink"/>
          </w:rPr>
          <w:t>here</w:t>
        </w:r>
      </w:hyperlink>
      <w:r w:rsidR="004F22B4" w:rsidRPr="009D7405">
        <w:t xml:space="preserve">. Attendance will be monitored at each session. You're allowed up to </w:t>
      </w:r>
      <w:r w:rsidR="004F22B4" w:rsidRPr="009D7405">
        <w:rPr>
          <w:b/>
          <w:bCs/>
        </w:rPr>
        <w:t>TWO</w:t>
      </w:r>
      <w:r w:rsidR="004F22B4" w:rsidRPr="009D7405">
        <w:t xml:space="preserve"> absences per semester. Ensure you're not marked absent if you arrive late, and kindly inform me ahead of time if you're unable to attend a class.</w:t>
      </w:r>
    </w:p>
    <w:p w14:paraId="28BDCCE7" w14:textId="77777777" w:rsidR="004F22B4" w:rsidRPr="009D7405" w:rsidRDefault="004F22B4" w:rsidP="000B0224">
      <w:pPr>
        <w:numPr>
          <w:ilvl w:val="0"/>
          <w:numId w:val="1"/>
        </w:numPr>
        <w:autoSpaceDE w:val="0"/>
        <w:autoSpaceDN w:val="0"/>
        <w:adjustRightInd w:val="0"/>
      </w:pPr>
      <w:r w:rsidRPr="009D7405">
        <w:rPr>
          <w:color w:val="000000" w:themeColor="text1"/>
        </w:rPr>
        <w:t>Absences beyond two will result in a one-third grade reduction for each additional absence (e.g., from A- to B+)</w:t>
      </w:r>
      <w:r w:rsidRPr="009D7405">
        <w:t xml:space="preserve">. </w:t>
      </w:r>
    </w:p>
    <w:p w14:paraId="146A793C" w14:textId="77777777" w:rsidR="004F22B4" w:rsidRPr="009D7405" w:rsidRDefault="004F22B4" w:rsidP="000B0224">
      <w:pPr>
        <w:numPr>
          <w:ilvl w:val="0"/>
          <w:numId w:val="1"/>
        </w:numPr>
        <w:autoSpaceDE w:val="0"/>
        <w:autoSpaceDN w:val="0"/>
        <w:adjustRightInd w:val="0"/>
      </w:pPr>
      <w:r w:rsidRPr="009D7405">
        <w:t>If a student misses four classes, the professor has the discretion to render the student ineligible to receive credit for the course.</w:t>
      </w:r>
    </w:p>
    <w:p w14:paraId="31BEEE2B" w14:textId="77884537" w:rsidR="006A5D34" w:rsidRPr="009D7405" w:rsidRDefault="004F22B4" w:rsidP="000B0224">
      <w:pPr>
        <w:pStyle w:val="ListParagraph"/>
        <w:numPr>
          <w:ilvl w:val="0"/>
          <w:numId w:val="1"/>
        </w:numPr>
      </w:pPr>
      <w:r w:rsidRPr="009D7405">
        <w:t>A seating chart will be provided on the first day of class. Choose your preferred seat on this day, as this will be your assigned spot for the remainder of the semester.</w:t>
      </w:r>
    </w:p>
    <w:p w14:paraId="04C3B061" w14:textId="77777777" w:rsidR="006A5D34" w:rsidRPr="009D7405" w:rsidRDefault="006A5D34" w:rsidP="006A5D34"/>
    <w:p w14:paraId="6FA7E002" w14:textId="77777777" w:rsidR="004F22B4" w:rsidRPr="009D7405" w:rsidRDefault="004F22B4" w:rsidP="004F22B4">
      <w:pPr>
        <w:rPr>
          <w:b/>
          <w:bCs/>
          <w:color w:val="201F1E"/>
          <w:u w:val="single"/>
          <w:bdr w:val="none" w:sz="0" w:space="0" w:color="auto" w:frame="1"/>
          <w:shd w:val="clear" w:color="auto" w:fill="FFFFFF"/>
        </w:rPr>
      </w:pPr>
      <w:r w:rsidRPr="009D7405">
        <w:rPr>
          <w:b/>
          <w:bCs/>
          <w:color w:val="201F1E"/>
          <w:u w:val="single"/>
          <w:bdr w:val="none" w:sz="0" w:space="0" w:color="auto" w:frame="1"/>
          <w:shd w:val="clear" w:color="auto" w:fill="FFFFFF"/>
        </w:rPr>
        <w:t>UF LEVIN COLLEGE OF LAW STANDARD SYLLABUS POLICIES:</w:t>
      </w:r>
    </w:p>
    <w:p w14:paraId="1649B22D" w14:textId="77777777" w:rsidR="004F22B4" w:rsidRPr="009D7405" w:rsidRDefault="004F22B4" w:rsidP="004F22B4">
      <w:pPr>
        <w:rPr>
          <w:color w:val="201F1E"/>
          <w:bdr w:val="none" w:sz="0" w:space="0" w:color="auto" w:frame="1"/>
          <w:shd w:val="clear" w:color="auto" w:fill="FFFFFF"/>
        </w:rPr>
      </w:pPr>
      <w:r w:rsidRPr="009D7405">
        <w:rPr>
          <w:color w:val="201F1E"/>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9" w:tgtFrame="_blank" w:history="1">
        <w:r w:rsidRPr="009D7405">
          <w:rPr>
            <w:rStyle w:val="Hyperlink"/>
            <w:bdr w:val="none" w:sz="0" w:space="0" w:color="auto" w:frame="1"/>
            <w:shd w:val="clear" w:color="auto" w:fill="FFFFFF"/>
          </w:rPr>
          <w:t>https://ufl.instructure.com/courses/427635/files/74674656?wrap=1</w:t>
        </w:r>
      </w:hyperlink>
      <w:r w:rsidRPr="009D7405">
        <w:t>.</w:t>
      </w:r>
    </w:p>
    <w:p w14:paraId="13B05B36" w14:textId="77777777" w:rsidR="004F22B4" w:rsidRPr="009D7405" w:rsidRDefault="004F22B4" w:rsidP="00C93291">
      <w:pPr>
        <w:rPr>
          <w:b/>
          <w:u w:val="single"/>
        </w:rPr>
      </w:pPr>
    </w:p>
    <w:p w14:paraId="35775A7E" w14:textId="77777777" w:rsidR="004F22B4" w:rsidRPr="009D7405" w:rsidRDefault="004F22B4" w:rsidP="004F22B4">
      <w:pPr>
        <w:rPr>
          <w:b/>
          <w:u w:val="single"/>
        </w:rPr>
      </w:pPr>
    </w:p>
    <w:p w14:paraId="3ED77375" w14:textId="77777777" w:rsidR="004F22B4" w:rsidRPr="009D7405" w:rsidRDefault="004F22B4" w:rsidP="004F22B4">
      <w:pPr>
        <w:rPr>
          <w:b/>
        </w:rPr>
      </w:pPr>
      <w:r w:rsidRPr="009D7405">
        <w:rPr>
          <w:b/>
          <w:u w:val="single"/>
        </w:rPr>
        <w:t>ABA OUT-OF-CLASS HOURS REQUIREMENTS:</w:t>
      </w:r>
      <w:r w:rsidRPr="009D7405">
        <w:rPr>
          <w:b/>
        </w:rPr>
        <w:t xml:space="preserve"> </w:t>
      </w:r>
    </w:p>
    <w:p w14:paraId="6A75279E" w14:textId="29D95072" w:rsidR="004F22B4" w:rsidRPr="009D7405" w:rsidRDefault="004F22B4" w:rsidP="004F22B4">
      <w:pPr>
        <w:rPr>
          <w:rFonts w:eastAsia="Baskerville Old Face"/>
          <w:color w:val="000000" w:themeColor="text1"/>
        </w:rPr>
      </w:pPr>
      <w:r w:rsidRPr="009D7405">
        <w:rPr>
          <w:rFonts w:eastAsia="Baskerville Old Face"/>
        </w:rPr>
        <w:t xml:space="preserve">ABA Standard 310 requires that students devote 120 minutes to out-of-class preparation for every “classroom hour” of in-class instruction. </w:t>
      </w:r>
      <w:r w:rsidRPr="009D7405">
        <w:rPr>
          <w:rFonts w:eastAsia="Baskerville Old Face"/>
          <w:color w:val="000000" w:themeColor="text1"/>
        </w:rPr>
        <w:t xml:space="preserve">This weekly class is </w:t>
      </w:r>
      <w:r w:rsidRPr="009D7405">
        <w:rPr>
          <w:rFonts w:eastAsia="Baskerville Old Face"/>
          <w:b/>
          <w:bCs/>
          <w:color w:val="000000" w:themeColor="text1"/>
        </w:rPr>
        <w:t xml:space="preserve">two </w:t>
      </w:r>
      <w:r w:rsidRPr="009D7405">
        <w:rPr>
          <w:rFonts w:eastAsia="Baskerville Old Face"/>
          <w:color w:val="000000" w:themeColor="text1"/>
        </w:rPr>
        <w:t xml:space="preserve">hours in length, requiring at least </w:t>
      </w:r>
      <w:r w:rsidRPr="009D7405">
        <w:rPr>
          <w:rFonts w:eastAsia="Baskerville Old Face"/>
          <w:b/>
          <w:bCs/>
          <w:color w:val="000000" w:themeColor="text1"/>
        </w:rPr>
        <w:t>four</w:t>
      </w:r>
      <w:r w:rsidRPr="009D7405">
        <w:rPr>
          <w:rFonts w:eastAsia="Baskerville Old Face"/>
          <w:color w:val="000000" w:themeColor="text1"/>
        </w:rPr>
        <w:t xml:space="preserve"> hours of preparation outside of class. </w:t>
      </w:r>
    </w:p>
    <w:p w14:paraId="7A99EB2D" w14:textId="77777777" w:rsidR="006A5D34" w:rsidRPr="009D7405" w:rsidRDefault="006A5D34" w:rsidP="006A5D34">
      <w:pPr>
        <w:rPr>
          <w:b/>
          <w:u w:val="single"/>
        </w:rPr>
      </w:pPr>
    </w:p>
    <w:p w14:paraId="7DE00C50" w14:textId="77777777" w:rsidR="006A5D34" w:rsidRPr="009D7405" w:rsidRDefault="006A5D34" w:rsidP="006A5D34">
      <w:pPr>
        <w:rPr>
          <w:b/>
          <w:u w:val="single"/>
        </w:rPr>
      </w:pPr>
      <w:r w:rsidRPr="009D7405">
        <w:rPr>
          <w:b/>
          <w:u w:val="single"/>
        </w:rPr>
        <w:t>COURSE SCHEDULE OF TOPICS AND ASSIGNMENTS (TENTATIVE)</w:t>
      </w:r>
    </w:p>
    <w:p w14:paraId="33BEFF0C" w14:textId="10D7F14A" w:rsidR="004F22B4" w:rsidRPr="009D7405" w:rsidRDefault="004F22B4" w:rsidP="004F22B4">
      <w:r w:rsidRPr="009D7405">
        <w:t xml:space="preserve">This syllabus is offered as a guide to the direction of the seminar. It will be regularly updated on Canvas with specific reading assignments and may be adjusted based on guest speaker availability. The pace may vary depending on the level of interest and complexity of each topic </w:t>
      </w:r>
      <w:r w:rsidRPr="009D7405">
        <w:lastRenderedPageBreak/>
        <w:t xml:space="preserve">and is therefore subject to change. Initial </w:t>
      </w:r>
      <w:r w:rsidR="00A26361">
        <w:t xml:space="preserve">readings </w:t>
      </w:r>
      <w:r w:rsidRPr="009D7405">
        <w:t xml:space="preserve">assignments are included below, but Canvas will be the primary source for all topics, assignments and reading material links. </w:t>
      </w:r>
    </w:p>
    <w:p w14:paraId="7A8799F7" w14:textId="6AEBCB42" w:rsidR="009726D1" w:rsidRPr="009D7405" w:rsidRDefault="009726D1" w:rsidP="009726D1"/>
    <w:p w14:paraId="115849AF" w14:textId="77777777" w:rsidR="000A717E" w:rsidRPr="009D7405" w:rsidRDefault="000A717E" w:rsidP="000A717E">
      <w:pPr>
        <w:rPr>
          <w:b/>
          <w:bCs/>
          <w:color w:val="000000" w:themeColor="text1"/>
        </w:rPr>
      </w:pPr>
    </w:p>
    <w:tbl>
      <w:tblPr>
        <w:tblStyle w:val="TableGrid"/>
        <w:tblW w:w="0" w:type="auto"/>
        <w:tblLook w:val="04A0" w:firstRow="1" w:lastRow="0" w:firstColumn="1" w:lastColumn="0" w:noHBand="0" w:noVBand="1"/>
      </w:tblPr>
      <w:tblGrid>
        <w:gridCol w:w="548"/>
        <w:gridCol w:w="8800"/>
      </w:tblGrid>
      <w:tr w:rsidR="004E200C" w:rsidRPr="004E200C" w14:paraId="719524B1" w14:textId="77777777" w:rsidTr="00D71CB4">
        <w:tc>
          <w:tcPr>
            <w:tcW w:w="895" w:type="dxa"/>
          </w:tcPr>
          <w:p w14:paraId="17724640" w14:textId="77777777" w:rsidR="00016E26" w:rsidRPr="004E200C" w:rsidRDefault="00016E26" w:rsidP="00FE1E26">
            <w:pPr>
              <w:rPr>
                <w:color w:val="000000" w:themeColor="text1"/>
              </w:rPr>
            </w:pPr>
            <w:r w:rsidRPr="004E200C">
              <w:rPr>
                <w:color w:val="000000" w:themeColor="text1"/>
              </w:rPr>
              <w:t>1</w:t>
            </w:r>
          </w:p>
          <w:p w14:paraId="7519BB06" w14:textId="61CC0D5A" w:rsidR="00016E26" w:rsidRPr="004E200C" w:rsidRDefault="00016E26" w:rsidP="00FE1E26">
            <w:pPr>
              <w:rPr>
                <w:color w:val="000000" w:themeColor="text1"/>
              </w:rPr>
            </w:pPr>
            <w:r w:rsidRPr="004E200C">
              <w:rPr>
                <w:color w:val="000000" w:themeColor="text1"/>
              </w:rPr>
              <w:t>8/22</w:t>
            </w:r>
          </w:p>
        </w:tc>
        <w:tc>
          <w:tcPr>
            <w:tcW w:w="8453" w:type="dxa"/>
          </w:tcPr>
          <w:p w14:paraId="332715BB" w14:textId="77777777" w:rsidR="00016E26" w:rsidRPr="004E200C" w:rsidRDefault="00091930" w:rsidP="00FE1E26">
            <w:pPr>
              <w:rPr>
                <w:b/>
                <w:bCs/>
                <w:color w:val="000000" w:themeColor="text1"/>
              </w:rPr>
            </w:pPr>
            <w:r w:rsidRPr="00B02A80">
              <w:rPr>
                <w:b/>
                <w:bCs/>
                <w:color w:val="000000" w:themeColor="text1"/>
              </w:rPr>
              <w:t>Fintech Introduction</w:t>
            </w:r>
            <w:r w:rsidRPr="004E200C">
              <w:rPr>
                <w:b/>
                <w:bCs/>
                <w:color w:val="000000" w:themeColor="text1"/>
              </w:rPr>
              <w:t xml:space="preserve"> </w:t>
            </w:r>
          </w:p>
          <w:p w14:paraId="7842ADCE" w14:textId="77777777" w:rsidR="003E58DB" w:rsidRPr="004E200C" w:rsidRDefault="004C78AF" w:rsidP="000B0224">
            <w:pPr>
              <w:pStyle w:val="ListParagraph"/>
              <w:numPr>
                <w:ilvl w:val="0"/>
                <w:numId w:val="7"/>
              </w:numPr>
              <w:shd w:val="clear" w:color="auto" w:fill="FFFFFF"/>
              <w:spacing w:before="100" w:beforeAutospacing="1" w:after="100" w:afterAutospacing="1"/>
              <w:rPr>
                <w:color w:val="000000" w:themeColor="text1"/>
                <w:lang w:eastAsia="en-US"/>
              </w:rPr>
            </w:pPr>
            <w:r w:rsidRPr="004E200C">
              <w:rPr>
                <w:color w:val="000000" w:themeColor="text1"/>
              </w:rPr>
              <w:t>Fintech Law in a Nutshell</w:t>
            </w:r>
          </w:p>
          <w:p w14:paraId="355D7C98" w14:textId="4467ABC9" w:rsidR="004C78AF" w:rsidRPr="004E200C" w:rsidRDefault="004C78AF" w:rsidP="000B0224">
            <w:pPr>
              <w:pStyle w:val="ListParagraph"/>
              <w:numPr>
                <w:ilvl w:val="2"/>
                <w:numId w:val="6"/>
              </w:numPr>
              <w:shd w:val="clear" w:color="auto" w:fill="FFFFFF"/>
              <w:spacing w:before="100" w:beforeAutospacing="1" w:after="100" w:afterAutospacing="1"/>
              <w:rPr>
                <w:color w:val="000000" w:themeColor="text1"/>
                <w:lang w:eastAsia="en-US"/>
              </w:rPr>
            </w:pPr>
            <w:r w:rsidRPr="004E200C">
              <w:rPr>
                <w:color w:val="000000" w:themeColor="text1"/>
              </w:rPr>
              <w:t>Introduction: Regulating Financial Innovation</w:t>
            </w:r>
          </w:p>
          <w:p w14:paraId="2E0C99DD" w14:textId="77777777" w:rsidR="005F38BC" w:rsidRPr="004E200C" w:rsidRDefault="004C78AF" w:rsidP="000B0224">
            <w:pPr>
              <w:pStyle w:val="ListParagraph"/>
              <w:numPr>
                <w:ilvl w:val="1"/>
                <w:numId w:val="6"/>
              </w:numPr>
              <w:shd w:val="clear" w:color="auto" w:fill="FFFFFF"/>
              <w:spacing w:before="100" w:beforeAutospacing="1" w:after="100" w:afterAutospacing="1"/>
              <w:rPr>
                <w:color w:val="000000" w:themeColor="text1"/>
              </w:rPr>
            </w:pPr>
            <w:r w:rsidRPr="004E200C">
              <w:rPr>
                <w:color w:val="000000" w:themeColor="text1"/>
              </w:rPr>
              <w:t>Fintech Law, the Case Studies</w:t>
            </w:r>
          </w:p>
          <w:p w14:paraId="6D2DCE59" w14:textId="67D5EFF0" w:rsidR="00363F84" w:rsidRPr="004E200C" w:rsidRDefault="00363F84" w:rsidP="000B0224">
            <w:pPr>
              <w:pStyle w:val="ListParagraph"/>
              <w:numPr>
                <w:ilvl w:val="2"/>
                <w:numId w:val="6"/>
              </w:numPr>
              <w:shd w:val="clear" w:color="auto" w:fill="FFFFFF"/>
              <w:spacing w:before="100" w:beforeAutospacing="1" w:after="100" w:afterAutospacing="1"/>
              <w:rPr>
                <w:color w:val="000000" w:themeColor="text1"/>
              </w:rPr>
            </w:pPr>
            <w:r w:rsidRPr="004E200C">
              <w:rPr>
                <w:color w:val="000000" w:themeColor="text1"/>
              </w:rPr>
              <w:t>The Nature of the Fintech Firm</w:t>
            </w:r>
          </w:p>
          <w:p w14:paraId="531F57CB" w14:textId="1562AF45" w:rsidR="00AB6A67" w:rsidRPr="004E200C" w:rsidRDefault="00AB6A67" w:rsidP="000B0224">
            <w:pPr>
              <w:pStyle w:val="ListParagraph"/>
              <w:numPr>
                <w:ilvl w:val="0"/>
                <w:numId w:val="8"/>
              </w:numPr>
              <w:shd w:val="clear" w:color="auto" w:fill="FFFFFF"/>
              <w:spacing w:before="100" w:beforeAutospacing="1" w:after="100" w:afterAutospacing="1"/>
              <w:rPr>
                <w:color w:val="000000" w:themeColor="text1"/>
              </w:rPr>
            </w:pPr>
            <w:r w:rsidRPr="004E200C">
              <w:rPr>
                <w:color w:val="000000" w:themeColor="text1"/>
              </w:rPr>
              <w:t>Fintech Law and Policy</w:t>
            </w:r>
          </w:p>
          <w:p w14:paraId="259EBC86" w14:textId="1D743222" w:rsidR="005F38BC" w:rsidRDefault="005F38BC" w:rsidP="000B0224">
            <w:pPr>
              <w:pStyle w:val="ListParagraph"/>
              <w:numPr>
                <w:ilvl w:val="1"/>
                <w:numId w:val="8"/>
              </w:numPr>
              <w:shd w:val="clear" w:color="auto" w:fill="FFFFFF"/>
              <w:spacing w:before="100" w:beforeAutospacing="1" w:after="100" w:afterAutospacing="1"/>
              <w:rPr>
                <w:color w:val="000000" w:themeColor="text1"/>
              </w:rPr>
            </w:pPr>
            <w:r w:rsidRPr="004E200C">
              <w:rPr>
                <w:color w:val="000000" w:themeColor="text1"/>
              </w:rPr>
              <w:t xml:space="preserve">The evolving relationship between Fintech, Regulators, and Traditional Financial Institutions </w:t>
            </w:r>
          </w:p>
          <w:p w14:paraId="5ED8B99E" w14:textId="4CC3DB89" w:rsidR="0064429F" w:rsidRPr="004E200C" w:rsidRDefault="0064429F" w:rsidP="000B0224">
            <w:pPr>
              <w:pStyle w:val="ListParagraph"/>
              <w:numPr>
                <w:ilvl w:val="0"/>
                <w:numId w:val="8"/>
              </w:numPr>
              <w:shd w:val="clear" w:color="auto" w:fill="FFFFFF"/>
              <w:spacing w:before="100" w:beforeAutospacing="1" w:after="100" w:afterAutospacing="1"/>
              <w:rPr>
                <w:color w:val="000000" w:themeColor="text1"/>
              </w:rPr>
            </w:pPr>
            <w:r>
              <w:rPr>
                <w:color w:val="000000" w:themeColor="text1"/>
              </w:rPr>
              <w:t xml:space="preserve">The Future of FinTech, A Paradigm Shift in Small Business Finance </w:t>
            </w:r>
            <w:hyperlink r:id="rId10" w:history="1">
              <w:r w:rsidRPr="00721154">
                <w:rPr>
                  <w:rStyle w:val="Hyperlink"/>
                </w:rPr>
                <w:t>https://www3.weforum.org/docs/IP/2015/FS/GAC15_The_Future_of_FinTech_Paradigm_Shift_Small_Business_Finance_report_2015.pdf</w:t>
              </w:r>
            </w:hyperlink>
            <w:r>
              <w:rPr>
                <w:color w:val="000000" w:themeColor="text1"/>
              </w:rPr>
              <w:t xml:space="preserve"> </w:t>
            </w:r>
          </w:p>
          <w:p w14:paraId="49E62095" w14:textId="1ED46870" w:rsidR="00AB6A67" w:rsidRPr="00352EED" w:rsidRDefault="00AB6A67" w:rsidP="000B0224">
            <w:pPr>
              <w:pStyle w:val="NormalWeb"/>
              <w:numPr>
                <w:ilvl w:val="0"/>
                <w:numId w:val="3"/>
              </w:numPr>
              <w:shd w:val="clear" w:color="auto" w:fill="FFFFFF"/>
              <w:spacing w:before="0" w:beforeAutospacing="0" w:after="0" w:afterAutospacing="0"/>
              <w:rPr>
                <w:color w:val="000000" w:themeColor="text1"/>
              </w:rPr>
            </w:pPr>
            <w:r w:rsidRPr="004E200C">
              <w:rPr>
                <w:color w:val="000000" w:themeColor="text1"/>
              </w:rPr>
              <w:t>(Optional) Fintech: Overview of Financial Regulators and Recent Policy Approaches, Congress Research Services</w:t>
            </w:r>
            <w:r w:rsidR="00352EED">
              <w:rPr>
                <w:color w:val="000000" w:themeColor="text1"/>
              </w:rPr>
              <w:t xml:space="preserve"> </w:t>
            </w:r>
            <w:hyperlink r:id="rId11" w:history="1">
              <w:r w:rsidR="00352EED" w:rsidRPr="00721154">
                <w:rPr>
                  <w:rStyle w:val="Hyperlink"/>
                </w:rPr>
                <w:t>https://crsreports.congress.gov/product/pdf/R/R46333</w:t>
              </w:r>
              <w:r w:rsidR="00352EED" w:rsidRPr="00352EED">
                <w:rPr>
                  <w:rStyle w:val="Hyperlink"/>
                  <w:rFonts w:eastAsiaTheme="majorEastAsia"/>
                  <w:bdr w:val="none" w:sz="0" w:space="0" w:color="auto" w:frame="1"/>
                </w:rPr>
                <w:t>Links to an external site.</w:t>
              </w:r>
            </w:hyperlink>
          </w:p>
          <w:p w14:paraId="7728C186" w14:textId="01948C46" w:rsidR="004C78AF" w:rsidRPr="004E200C" w:rsidRDefault="004C78AF" w:rsidP="00FE1E26">
            <w:pPr>
              <w:rPr>
                <w:b/>
                <w:bCs/>
                <w:color w:val="000000" w:themeColor="text1"/>
              </w:rPr>
            </w:pPr>
          </w:p>
        </w:tc>
      </w:tr>
      <w:tr w:rsidR="004E200C" w:rsidRPr="004E200C" w14:paraId="2DDD8A7C" w14:textId="77777777" w:rsidTr="00D71CB4">
        <w:tc>
          <w:tcPr>
            <w:tcW w:w="895" w:type="dxa"/>
          </w:tcPr>
          <w:p w14:paraId="2B9BAE9A" w14:textId="4A822E6A" w:rsidR="003C2668" w:rsidRPr="004E200C" w:rsidRDefault="00C811F9" w:rsidP="003C2668">
            <w:pPr>
              <w:rPr>
                <w:color w:val="000000" w:themeColor="text1"/>
              </w:rPr>
            </w:pPr>
            <w:r w:rsidRPr="004E200C">
              <w:rPr>
                <w:color w:val="000000" w:themeColor="text1"/>
              </w:rPr>
              <w:t xml:space="preserve">2 </w:t>
            </w:r>
          </w:p>
          <w:p w14:paraId="729D9689" w14:textId="0E861FE4" w:rsidR="00C811F9" w:rsidRPr="004E200C" w:rsidRDefault="003C2668" w:rsidP="003C2668">
            <w:pPr>
              <w:rPr>
                <w:color w:val="000000" w:themeColor="text1"/>
              </w:rPr>
            </w:pPr>
            <w:r w:rsidRPr="004E200C">
              <w:rPr>
                <w:color w:val="000000" w:themeColor="text1"/>
              </w:rPr>
              <w:t>8/29</w:t>
            </w:r>
          </w:p>
        </w:tc>
        <w:tc>
          <w:tcPr>
            <w:tcW w:w="8453" w:type="dxa"/>
          </w:tcPr>
          <w:p w14:paraId="5F06B007" w14:textId="71FEDCC0" w:rsidR="00C811F9" w:rsidRPr="004E200C" w:rsidRDefault="00C811F9" w:rsidP="00FE1E26">
            <w:pPr>
              <w:rPr>
                <w:b/>
                <w:bCs/>
                <w:color w:val="000000" w:themeColor="text1"/>
              </w:rPr>
            </w:pPr>
            <w:r w:rsidRPr="004E200C">
              <w:rPr>
                <w:b/>
                <w:bCs/>
                <w:color w:val="000000" w:themeColor="text1"/>
              </w:rPr>
              <w:t>Fintech Introduction from a Comparative Perspective</w:t>
            </w:r>
            <w:r w:rsidR="00B27266" w:rsidRPr="004E200C">
              <w:rPr>
                <w:b/>
                <w:bCs/>
                <w:color w:val="000000" w:themeColor="text1"/>
              </w:rPr>
              <w:t xml:space="preserve">: Open Banking in Europe </w:t>
            </w:r>
          </w:p>
          <w:p w14:paraId="6919962D" w14:textId="77777777" w:rsidR="008D6396" w:rsidRPr="004E200C" w:rsidRDefault="00B27266" w:rsidP="00FE1E26">
            <w:pPr>
              <w:rPr>
                <w:b/>
                <w:bCs/>
                <w:color w:val="000000" w:themeColor="text1"/>
              </w:rPr>
            </w:pPr>
            <w:r w:rsidRPr="004E200C">
              <w:rPr>
                <w:b/>
                <w:bCs/>
                <w:color w:val="000000" w:themeColor="text1"/>
              </w:rPr>
              <w:t xml:space="preserve">Guest speakers: </w:t>
            </w:r>
            <w:r w:rsidR="00702B42" w:rsidRPr="004E200C">
              <w:rPr>
                <w:b/>
                <w:bCs/>
                <w:color w:val="000000" w:themeColor="text1"/>
              </w:rPr>
              <w:t xml:space="preserve">Daniel </w:t>
            </w:r>
            <w:proofErr w:type="spellStart"/>
            <w:r w:rsidR="00702B42" w:rsidRPr="004E200C">
              <w:rPr>
                <w:b/>
                <w:bCs/>
                <w:color w:val="000000" w:themeColor="text1"/>
              </w:rPr>
              <w:t>Ostrovski</w:t>
            </w:r>
            <w:proofErr w:type="spellEnd"/>
            <w:r w:rsidR="00702B42" w:rsidRPr="004E200C">
              <w:rPr>
                <w:b/>
                <w:bCs/>
                <w:color w:val="000000" w:themeColor="text1"/>
              </w:rPr>
              <w:t xml:space="preserve"> and Leander </w:t>
            </w:r>
            <w:proofErr w:type="spellStart"/>
            <w:r w:rsidR="005E510E" w:rsidRPr="004E200C">
              <w:rPr>
                <w:b/>
                <w:bCs/>
                <w:color w:val="000000" w:themeColor="text1"/>
              </w:rPr>
              <w:t>Bucken</w:t>
            </w:r>
            <w:proofErr w:type="spellEnd"/>
            <w:r w:rsidR="008D6396" w:rsidRPr="004E200C">
              <w:rPr>
                <w:b/>
                <w:bCs/>
                <w:color w:val="000000" w:themeColor="text1"/>
              </w:rPr>
              <w:t xml:space="preserve"> </w:t>
            </w:r>
          </w:p>
          <w:p w14:paraId="0AC6AD73" w14:textId="77777777" w:rsidR="008D6396" w:rsidRPr="004E200C" w:rsidRDefault="008D6396" w:rsidP="00FE1E26">
            <w:pPr>
              <w:rPr>
                <w:b/>
                <w:bCs/>
                <w:color w:val="000000" w:themeColor="text1"/>
              </w:rPr>
            </w:pPr>
          </w:p>
          <w:p w14:paraId="5D2E4BBE" w14:textId="15A33357" w:rsidR="00B27266" w:rsidRPr="004E200C" w:rsidRDefault="008D6396" w:rsidP="00FE1E26">
            <w:pPr>
              <w:rPr>
                <w:b/>
                <w:bCs/>
                <w:color w:val="000000" w:themeColor="text1"/>
              </w:rPr>
            </w:pPr>
            <w:r w:rsidRPr="004E200C">
              <w:rPr>
                <w:color w:val="000000" w:themeColor="text1"/>
              </w:rPr>
              <w:t>P</w:t>
            </w:r>
            <w:r w:rsidR="005E510E" w:rsidRPr="004E200C">
              <w:rPr>
                <w:color w:val="000000" w:themeColor="text1"/>
              </w:rPr>
              <w:t xml:space="preserve">hD researchers, </w:t>
            </w:r>
            <w:r w:rsidR="007E2DAE" w:rsidRPr="004E200C">
              <w:rPr>
                <w:color w:val="000000" w:themeColor="text1"/>
              </w:rPr>
              <w:t>Philipps-Universität Marburg, Germany</w:t>
            </w:r>
            <w:r w:rsidR="007E2DAE" w:rsidRPr="004E200C">
              <w:rPr>
                <w:b/>
                <w:bCs/>
                <w:color w:val="000000" w:themeColor="text1"/>
              </w:rPr>
              <w:t xml:space="preserve"> </w:t>
            </w:r>
          </w:p>
          <w:p w14:paraId="22A4F87D" w14:textId="1B0FA8C4" w:rsidR="00B27266" w:rsidRPr="004E200C" w:rsidRDefault="00B27266" w:rsidP="00FE1E26">
            <w:pPr>
              <w:rPr>
                <w:b/>
                <w:bCs/>
                <w:color w:val="000000" w:themeColor="text1"/>
              </w:rPr>
            </w:pPr>
          </w:p>
        </w:tc>
      </w:tr>
      <w:tr w:rsidR="004E200C" w:rsidRPr="004E200C" w14:paraId="7C27EB16" w14:textId="77777777" w:rsidTr="00D71CB4">
        <w:tc>
          <w:tcPr>
            <w:tcW w:w="895" w:type="dxa"/>
          </w:tcPr>
          <w:p w14:paraId="2F442C3A" w14:textId="77777777" w:rsidR="003C2668" w:rsidRPr="004E200C" w:rsidRDefault="003C2668" w:rsidP="003C2668">
            <w:pPr>
              <w:rPr>
                <w:color w:val="000000" w:themeColor="text1"/>
              </w:rPr>
            </w:pPr>
            <w:r w:rsidRPr="004E200C">
              <w:rPr>
                <w:color w:val="000000" w:themeColor="text1"/>
              </w:rPr>
              <w:t>3</w:t>
            </w:r>
          </w:p>
          <w:p w14:paraId="01AD939D" w14:textId="65617A78" w:rsidR="00016E26" w:rsidRPr="004E200C" w:rsidRDefault="003C2668" w:rsidP="003C2668">
            <w:pPr>
              <w:rPr>
                <w:color w:val="000000" w:themeColor="text1"/>
              </w:rPr>
            </w:pPr>
            <w:r w:rsidRPr="004E200C">
              <w:rPr>
                <w:color w:val="000000" w:themeColor="text1"/>
              </w:rPr>
              <w:t>9/5</w:t>
            </w:r>
          </w:p>
        </w:tc>
        <w:tc>
          <w:tcPr>
            <w:tcW w:w="8453" w:type="dxa"/>
          </w:tcPr>
          <w:p w14:paraId="10D70BCC" w14:textId="77777777" w:rsidR="00016E26" w:rsidRPr="004E200C" w:rsidRDefault="00091930" w:rsidP="00FE1E26">
            <w:pPr>
              <w:rPr>
                <w:b/>
                <w:bCs/>
                <w:color w:val="000000" w:themeColor="text1"/>
              </w:rPr>
            </w:pPr>
            <w:r w:rsidRPr="004E200C">
              <w:rPr>
                <w:b/>
                <w:bCs/>
                <w:color w:val="000000" w:themeColor="text1"/>
              </w:rPr>
              <w:t>Crowdfunding</w:t>
            </w:r>
          </w:p>
          <w:p w14:paraId="5BFDD584" w14:textId="77777777" w:rsidR="003D664C" w:rsidRPr="004E200C" w:rsidRDefault="007D0553" w:rsidP="000B0224">
            <w:pPr>
              <w:pStyle w:val="ListParagraph"/>
              <w:numPr>
                <w:ilvl w:val="0"/>
                <w:numId w:val="9"/>
              </w:numPr>
              <w:shd w:val="clear" w:color="auto" w:fill="FFFFFF"/>
              <w:spacing w:before="100" w:beforeAutospacing="1" w:after="100" w:afterAutospacing="1"/>
              <w:rPr>
                <w:color w:val="000000" w:themeColor="text1"/>
                <w:lang w:eastAsia="en-US"/>
              </w:rPr>
            </w:pPr>
            <w:r w:rsidRPr="004E200C">
              <w:rPr>
                <w:color w:val="000000" w:themeColor="text1"/>
              </w:rPr>
              <w:t>Fintech Law in a Nutshell</w:t>
            </w:r>
          </w:p>
          <w:p w14:paraId="087D0CAD" w14:textId="77777777" w:rsidR="0078253A" w:rsidRDefault="007D0553" w:rsidP="000B0224">
            <w:pPr>
              <w:pStyle w:val="ListParagraph"/>
              <w:numPr>
                <w:ilvl w:val="1"/>
                <w:numId w:val="9"/>
              </w:numPr>
              <w:shd w:val="clear" w:color="auto" w:fill="FFFFFF"/>
              <w:spacing w:before="100" w:beforeAutospacing="1" w:after="100" w:afterAutospacing="1"/>
              <w:rPr>
                <w:color w:val="000000" w:themeColor="text1"/>
                <w:lang w:eastAsia="en-US"/>
              </w:rPr>
            </w:pPr>
            <w:r w:rsidRPr="004E200C">
              <w:rPr>
                <w:color w:val="000000" w:themeColor="text1"/>
              </w:rPr>
              <w:t xml:space="preserve">Chapter 1 Crowdfunding </w:t>
            </w:r>
          </w:p>
          <w:p w14:paraId="25CFC998" w14:textId="77777777" w:rsidR="0078253A" w:rsidRDefault="007D0553" w:rsidP="000B0224">
            <w:pPr>
              <w:pStyle w:val="ListParagraph"/>
              <w:numPr>
                <w:ilvl w:val="0"/>
                <w:numId w:val="9"/>
              </w:numPr>
              <w:shd w:val="clear" w:color="auto" w:fill="FFFFFF"/>
              <w:spacing w:before="100" w:beforeAutospacing="1" w:after="100" w:afterAutospacing="1"/>
              <w:rPr>
                <w:color w:val="000000" w:themeColor="text1"/>
                <w:lang w:eastAsia="en-US"/>
              </w:rPr>
            </w:pPr>
            <w:r w:rsidRPr="0078253A">
              <w:rPr>
                <w:color w:val="000000" w:themeColor="text1"/>
              </w:rPr>
              <w:t>Crowdfunding Explained, European Commission </w:t>
            </w:r>
          </w:p>
          <w:p w14:paraId="3B4C7106" w14:textId="77777777" w:rsidR="0078253A" w:rsidRDefault="000B0224" w:rsidP="0078253A">
            <w:pPr>
              <w:pStyle w:val="ListParagraph"/>
              <w:shd w:val="clear" w:color="auto" w:fill="FFFFFF"/>
              <w:spacing w:before="100" w:beforeAutospacing="1" w:after="100" w:afterAutospacing="1"/>
              <w:rPr>
                <w:color w:val="000000" w:themeColor="text1"/>
              </w:rPr>
            </w:pPr>
            <w:hyperlink r:id="rId12" w:history="1">
              <w:r w:rsidR="0078253A" w:rsidRPr="00721154">
                <w:rPr>
                  <w:rStyle w:val="Hyperlink"/>
                </w:rPr>
                <w:t>https://single-market-economy.ec.europa.eu/access-finance/guide-crowdfunding/what-crowdfunding/crowdfunding-explained_en</w:t>
              </w:r>
              <w:r w:rsidR="0078253A" w:rsidRPr="00721154">
                <w:rPr>
                  <w:rStyle w:val="Hyperlink"/>
                  <w:bdr w:val="none" w:sz="0" w:space="0" w:color="auto" w:frame="1"/>
                </w:rPr>
                <w:t>Links to an external site.</w:t>
              </w:r>
            </w:hyperlink>
          </w:p>
          <w:p w14:paraId="20D0CA5A" w14:textId="4C3D56B5" w:rsidR="002C5848" w:rsidRDefault="002C5848" w:rsidP="000B0224">
            <w:pPr>
              <w:pStyle w:val="ListParagraph"/>
              <w:numPr>
                <w:ilvl w:val="0"/>
                <w:numId w:val="9"/>
              </w:numPr>
              <w:shd w:val="clear" w:color="auto" w:fill="FFFFFF"/>
              <w:spacing w:before="100" w:beforeAutospacing="1" w:after="100" w:afterAutospacing="1"/>
              <w:rPr>
                <w:color w:val="000000" w:themeColor="text1"/>
              </w:rPr>
            </w:pPr>
            <w:r>
              <w:rPr>
                <w:color w:val="000000" w:themeColor="text1"/>
              </w:rPr>
              <w:t xml:space="preserve">The Legal Regulation of U.S. Crowdfunding </w:t>
            </w:r>
            <w:hyperlink r:id="rId13" w:history="1">
              <w:r w:rsidR="00012699" w:rsidRPr="00721154">
                <w:rPr>
                  <w:rStyle w:val="Hyperlink"/>
                </w:rPr>
                <w:t>https://ir.law.utk.edu/cgi/viewcontent.cgi?article=1870&amp;context=utklaw_facpubs</w:t>
              </w:r>
            </w:hyperlink>
            <w:r w:rsidR="00012699">
              <w:rPr>
                <w:color w:val="000000" w:themeColor="text1"/>
              </w:rPr>
              <w:t xml:space="preserve"> </w:t>
            </w:r>
          </w:p>
          <w:p w14:paraId="30929065" w14:textId="0B719E41" w:rsidR="0078253A" w:rsidRDefault="007D0553" w:rsidP="000B0224">
            <w:pPr>
              <w:pStyle w:val="ListParagraph"/>
              <w:numPr>
                <w:ilvl w:val="0"/>
                <w:numId w:val="9"/>
              </w:numPr>
              <w:shd w:val="clear" w:color="auto" w:fill="FFFFFF"/>
              <w:spacing w:before="100" w:beforeAutospacing="1" w:after="100" w:afterAutospacing="1"/>
              <w:rPr>
                <w:color w:val="000000" w:themeColor="text1"/>
              </w:rPr>
            </w:pPr>
            <w:r w:rsidRPr="004E200C">
              <w:rPr>
                <w:color w:val="000000" w:themeColor="text1"/>
              </w:rPr>
              <w:t>Regulation Crowdfunding: A Small Entity Compliance Guide for Issuers </w:t>
            </w:r>
          </w:p>
          <w:p w14:paraId="30251A6A" w14:textId="25CCB0D5" w:rsidR="007D0553" w:rsidRPr="00955FD4" w:rsidRDefault="000B0224" w:rsidP="0078253A">
            <w:pPr>
              <w:pStyle w:val="ListParagraph"/>
              <w:shd w:val="clear" w:color="auto" w:fill="FFFFFF"/>
              <w:spacing w:before="100" w:beforeAutospacing="1" w:after="100" w:afterAutospacing="1"/>
              <w:rPr>
                <w:color w:val="000000" w:themeColor="text1"/>
              </w:rPr>
            </w:pPr>
            <w:hyperlink r:id="rId14" w:history="1">
              <w:r w:rsidR="0078253A" w:rsidRPr="00721154">
                <w:rPr>
                  <w:rStyle w:val="Hyperlink"/>
                </w:rPr>
                <w:t>https://www.sec.gov/info/smallbus/secg/rccomplianceguide-051316 </w:t>
              </w:r>
              <w:r w:rsidR="0078253A" w:rsidRPr="00721154">
                <w:rPr>
                  <w:rStyle w:val="Hyperlink"/>
                  <w:bdr w:val="none" w:sz="0" w:space="0" w:color="auto" w:frame="1"/>
                </w:rPr>
                <w:t>Links to an external site.</w:t>
              </w:r>
            </w:hyperlink>
          </w:p>
          <w:p w14:paraId="7B04A481" w14:textId="3E474E26" w:rsidR="007D0553" w:rsidRPr="004E200C" w:rsidRDefault="007D0553" w:rsidP="00FE1E26">
            <w:pPr>
              <w:rPr>
                <w:b/>
                <w:bCs/>
                <w:color w:val="000000" w:themeColor="text1"/>
              </w:rPr>
            </w:pPr>
          </w:p>
        </w:tc>
      </w:tr>
      <w:tr w:rsidR="004E200C" w:rsidRPr="004E200C" w14:paraId="3894F122" w14:textId="77777777" w:rsidTr="00D71CB4">
        <w:tc>
          <w:tcPr>
            <w:tcW w:w="895" w:type="dxa"/>
          </w:tcPr>
          <w:p w14:paraId="4358A8F1" w14:textId="77777777" w:rsidR="0094148B" w:rsidRPr="004E200C" w:rsidRDefault="0094148B" w:rsidP="0094148B">
            <w:pPr>
              <w:rPr>
                <w:color w:val="000000" w:themeColor="text1"/>
              </w:rPr>
            </w:pPr>
            <w:r w:rsidRPr="004E200C">
              <w:rPr>
                <w:color w:val="000000" w:themeColor="text1"/>
              </w:rPr>
              <w:t>4</w:t>
            </w:r>
          </w:p>
          <w:p w14:paraId="628FD48B" w14:textId="3B55FECA" w:rsidR="0094148B" w:rsidRPr="004E200C" w:rsidRDefault="0094148B" w:rsidP="0094148B">
            <w:pPr>
              <w:rPr>
                <w:color w:val="000000" w:themeColor="text1"/>
              </w:rPr>
            </w:pPr>
            <w:r w:rsidRPr="004E200C">
              <w:rPr>
                <w:color w:val="000000" w:themeColor="text1"/>
              </w:rPr>
              <w:t>9/12</w:t>
            </w:r>
          </w:p>
        </w:tc>
        <w:tc>
          <w:tcPr>
            <w:tcW w:w="8453" w:type="dxa"/>
          </w:tcPr>
          <w:p w14:paraId="1902B131" w14:textId="452623EC" w:rsidR="0094148B" w:rsidRPr="004E200C" w:rsidRDefault="0094148B" w:rsidP="0094148B">
            <w:pPr>
              <w:rPr>
                <w:b/>
                <w:bCs/>
                <w:color w:val="000000" w:themeColor="text1"/>
              </w:rPr>
            </w:pPr>
            <w:r w:rsidRPr="004E200C">
              <w:rPr>
                <w:b/>
                <w:bCs/>
                <w:color w:val="000000" w:themeColor="text1"/>
              </w:rPr>
              <w:t xml:space="preserve">High Frequency Trading </w:t>
            </w:r>
          </w:p>
          <w:p w14:paraId="1754574E" w14:textId="77777777" w:rsidR="0094148B" w:rsidRPr="004E200C" w:rsidRDefault="0094148B" w:rsidP="0094148B">
            <w:pPr>
              <w:rPr>
                <w:b/>
                <w:bCs/>
                <w:color w:val="000000" w:themeColor="text1"/>
              </w:rPr>
            </w:pPr>
          </w:p>
          <w:p w14:paraId="6ADA55D8" w14:textId="77777777" w:rsidR="00703258" w:rsidRDefault="0094148B" w:rsidP="000B0224">
            <w:pPr>
              <w:pStyle w:val="NormalWeb"/>
              <w:numPr>
                <w:ilvl w:val="0"/>
                <w:numId w:val="4"/>
              </w:numPr>
              <w:shd w:val="clear" w:color="auto" w:fill="FFFFFF"/>
              <w:spacing w:before="0" w:beforeAutospacing="0" w:after="0" w:afterAutospacing="0"/>
              <w:rPr>
                <w:color w:val="000000" w:themeColor="text1"/>
              </w:rPr>
            </w:pPr>
            <w:r w:rsidRPr="004E200C">
              <w:rPr>
                <w:color w:val="000000" w:themeColor="text1"/>
              </w:rPr>
              <w:t>High Frequency Trading</w:t>
            </w:r>
          </w:p>
          <w:p w14:paraId="19A60F26" w14:textId="44929D64" w:rsidR="0094148B" w:rsidRPr="004E200C" w:rsidRDefault="000B0224" w:rsidP="00703258">
            <w:pPr>
              <w:pStyle w:val="NormalWeb"/>
              <w:shd w:val="clear" w:color="auto" w:fill="FFFFFF"/>
              <w:spacing w:before="0" w:beforeAutospacing="0" w:after="0" w:afterAutospacing="0"/>
              <w:ind w:left="720"/>
              <w:rPr>
                <w:color w:val="000000" w:themeColor="text1"/>
              </w:rPr>
            </w:pPr>
            <w:hyperlink r:id="rId15" w:history="1">
              <w:r w:rsidR="00703258" w:rsidRPr="00721154">
                <w:rPr>
                  <w:rStyle w:val="Hyperlink"/>
                </w:rPr>
                <w:t>https://www.youtube.com/watch?v=z4nCTdQlH8w</w:t>
              </w:r>
              <w:r w:rsidR="00703258" w:rsidRPr="00721154">
                <w:rPr>
                  <w:rStyle w:val="Hyperlink"/>
                  <w:rFonts w:eastAsiaTheme="majorEastAsia"/>
                  <w:bdr w:val="none" w:sz="0" w:space="0" w:color="auto" w:frame="1"/>
                </w:rPr>
                <w:t>Links to an external site.</w:t>
              </w:r>
            </w:hyperlink>
            <w:r w:rsidR="0094148B" w:rsidRPr="004E200C">
              <w:rPr>
                <w:noProof/>
                <w:color w:val="000000" w:themeColor="text1"/>
              </w:rPr>
              <w:drawing>
                <wp:inline distT="0" distB="0" distL="0" distR="0" wp14:anchorId="23DB3551" wp14:editId="2B991F9F">
                  <wp:extent cx="1781810" cy="1266190"/>
                  <wp:effectExtent l="0" t="0" r="0" b="0"/>
                  <wp:docPr id="895312180"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810" cy="1266190"/>
                          </a:xfrm>
                          <a:prstGeom prst="rect">
                            <a:avLst/>
                          </a:prstGeom>
                          <a:noFill/>
                          <a:ln>
                            <a:noFill/>
                          </a:ln>
                        </pic:spPr>
                      </pic:pic>
                    </a:graphicData>
                  </a:graphic>
                </wp:inline>
              </w:drawing>
            </w:r>
            <w:r w:rsidR="0094148B" w:rsidRPr="004E200C">
              <w:rPr>
                <w:color w:val="000000" w:themeColor="text1"/>
              </w:rPr>
              <w:t> </w:t>
            </w:r>
          </w:p>
          <w:p w14:paraId="0397D9E1" w14:textId="77777777" w:rsidR="00703258" w:rsidRDefault="0094148B" w:rsidP="000B0224">
            <w:pPr>
              <w:pStyle w:val="NormalWeb"/>
              <w:numPr>
                <w:ilvl w:val="0"/>
                <w:numId w:val="4"/>
              </w:numPr>
              <w:shd w:val="clear" w:color="auto" w:fill="FFFFFF"/>
              <w:spacing w:before="0" w:beforeAutospacing="0" w:after="0" w:afterAutospacing="0"/>
              <w:rPr>
                <w:color w:val="000000" w:themeColor="text1"/>
              </w:rPr>
            </w:pPr>
            <w:r w:rsidRPr="004E200C">
              <w:rPr>
                <w:color w:val="000000" w:themeColor="text1"/>
              </w:rPr>
              <w:t>SEC Press Release </w:t>
            </w:r>
          </w:p>
          <w:p w14:paraId="129FE70B" w14:textId="6E31C01E" w:rsidR="0094148B" w:rsidRPr="004E200C" w:rsidRDefault="000B0224" w:rsidP="00703258">
            <w:pPr>
              <w:pStyle w:val="NormalWeb"/>
              <w:shd w:val="clear" w:color="auto" w:fill="FFFFFF"/>
              <w:spacing w:before="0" w:beforeAutospacing="0" w:after="0" w:afterAutospacing="0"/>
              <w:ind w:left="720"/>
              <w:rPr>
                <w:color w:val="000000" w:themeColor="text1"/>
              </w:rPr>
            </w:pPr>
            <w:hyperlink r:id="rId18" w:history="1">
              <w:r w:rsidR="00703258" w:rsidRPr="00721154">
                <w:rPr>
                  <w:rStyle w:val="Hyperlink"/>
                </w:rPr>
                <w:t>https://www.sec.gov/news/press-release/2014-229</w:t>
              </w:r>
              <w:r w:rsidR="00703258" w:rsidRPr="00721154">
                <w:rPr>
                  <w:rStyle w:val="Hyperlink"/>
                  <w:rFonts w:eastAsiaTheme="majorEastAsia"/>
                  <w:bdr w:val="none" w:sz="0" w:space="0" w:color="auto" w:frame="1"/>
                </w:rPr>
                <w:t>Links to an external site.</w:t>
              </w:r>
            </w:hyperlink>
            <w:r w:rsidR="0094148B" w:rsidRPr="004E200C">
              <w:rPr>
                <w:color w:val="000000" w:themeColor="text1"/>
              </w:rPr>
              <w:t> </w:t>
            </w:r>
          </w:p>
          <w:p w14:paraId="2F98BF5E" w14:textId="77777777" w:rsidR="00703258" w:rsidRDefault="0094148B" w:rsidP="000B0224">
            <w:pPr>
              <w:pStyle w:val="NormalWeb"/>
              <w:numPr>
                <w:ilvl w:val="0"/>
                <w:numId w:val="4"/>
              </w:numPr>
              <w:shd w:val="clear" w:color="auto" w:fill="FFFFFF"/>
              <w:spacing w:before="0" w:beforeAutospacing="0" w:after="0" w:afterAutospacing="0"/>
              <w:rPr>
                <w:color w:val="000000" w:themeColor="text1"/>
              </w:rPr>
            </w:pPr>
            <w:r w:rsidRPr="004E200C">
              <w:rPr>
                <w:color w:val="000000" w:themeColor="text1"/>
              </w:rPr>
              <w:t>Athena Capital Research, LLC- SEC.gov</w:t>
            </w:r>
          </w:p>
          <w:p w14:paraId="1B6F5A5A" w14:textId="737E8B21" w:rsidR="0094148B" w:rsidRPr="004E200C" w:rsidRDefault="000B0224" w:rsidP="00703258">
            <w:pPr>
              <w:pStyle w:val="NormalWeb"/>
              <w:shd w:val="clear" w:color="auto" w:fill="FFFFFF"/>
              <w:spacing w:before="0" w:beforeAutospacing="0" w:after="0" w:afterAutospacing="0"/>
              <w:ind w:left="720"/>
              <w:rPr>
                <w:color w:val="000000" w:themeColor="text1"/>
              </w:rPr>
            </w:pPr>
            <w:hyperlink r:id="rId19" w:history="1">
              <w:r w:rsidR="00703258" w:rsidRPr="00721154">
                <w:rPr>
                  <w:rStyle w:val="Hyperlink"/>
                </w:rPr>
                <w:t>https://www.sec.gov/litigation/admin/2014/34-73369.pdf</w:t>
              </w:r>
              <w:r w:rsidR="00703258" w:rsidRPr="00721154">
                <w:rPr>
                  <w:rStyle w:val="Hyperlink"/>
                  <w:rFonts w:eastAsiaTheme="majorEastAsia"/>
                  <w:bdr w:val="none" w:sz="0" w:space="0" w:color="auto" w:frame="1"/>
                </w:rPr>
                <w:t>Links to an external site.</w:t>
              </w:r>
            </w:hyperlink>
            <w:r w:rsidR="0094148B" w:rsidRPr="004E200C">
              <w:rPr>
                <w:color w:val="000000" w:themeColor="text1"/>
              </w:rPr>
              <w:t> </w:t>
            </w:r>
          </w:p>
          <w:p w14:paraId="487AE45E" w14:textId="77777777" w:rsidR="00703258" w:rsidRDefault="0094148B" w:rsidP="000B0224">
            <w:pPr>
              <w:pStyle w:val="NormalWeb"/>
              <w:numPr>
                <w:ilvl w:val="0"/>
                <w:numId w:val="4"/>
              </w:numPr>
              <w:shd w:val="clear" w:color="auto" w:fill="FFFFFF"/>
              <w:spacing w:before="0" w:beforeAutospacing="0" w:after="0" w:afterAutospacing="0"/>
              <w:rPr>
                <w:color w:val="000000" w:themeColor="text1"/>
              </w:rPr>
            </w:pPr>
            <w:r w:rsidRPr="004E200C">
              <w:rPr>
                <w:color w:val="000000" w:themeColor="text1"/>
              </w:rPr>
              <w:t>The Wall Street Journal, High-Frequency Trader Athena Capital Settles Stock-Manipulation Charges</w:t>
            </w:r>
          </w:p>
          <w:p w14:paraId="406F62D1" w14:textId="77777777" w:rsidR="00703258" w:rsidRDefault="000B0224" w:rsidP="00703258">
            <w:pPr>
              <w:pStyle w:val="NormalWeb"/>
              <w:shd w:val="clear" w:color="auto" w:fill="FFFFFF"/>
              <w:spacing w:before="0" w:beforeAutospacing="0" w:after="0" w:afterAutospacing="0"/>
              <w:ind w:left="720"/>
              <w:rPr>
                <w:color w:val="000000" w:themeColor="text1"/>
              </w:rPr>
            </w:pPr>
            <w:hyperlink r:id="rId20" w:history="1">
              <w:r w:rsidR="00703258" w:rsidRPr="00721154">
                <w:rPr>
                  <w:rStyle w:val="Hyperlink"/>
                </w:rPr>
                <w:t>https://www.wsj.com/articles/athena-capital-settles-stock-manipulation-charges-with-sec-1413486055</w:t>
              </w:r>
              <w:r w:rsidR="00703258" w:rsidRPr="00721154">
                <w:rPr>
                  <w:rStyle w:val="Hyperlink"/>
                  <w:rFonts w:eastAsiaTheme="majorEastAsia"/>
                  <w:bdr w:val="none" w:sz="0" w:space="0" w:color="auto" w:frame="1"/>
                </w:rPr>
                <w:t>Links to an external site.</w:t>
              </w:r>
            </w:hyperlink>
            <w:r w:rsidR="0094148B" w:rsidRPr="004E200C">
              <w:rPr>
                <w:color w:val="000000" w:themeColor="text1"/>
              </w:rPr>
              <w:t> </w:t>
            </w:r>
          </w:p>
          <w:p w14:paraId="0C77A187" w14:textId="77777777" w:rsidR="00703258" w:rsidRDefault="0094148B" w:rsidP="000B0224">
            <w:pPr>
              <w:pStyle w:val="NormalWeb"/>
              <w:numPr>
                <w:ilvl w:val="0"/>
                <w:numId w:val="4"/>
              </w:numPr>
              <w:shd w:val="clear" w:color="auto" w:fill="FFFFFF"/>
              <w:spacing w:before="0" w:beforeAutospacing="0" w:after="0" w:afterAutospacing="0"/>
              <w:rPr>
                <w:color w:val="000000" w:themeColor="text1"/>
              </w:rPr>
            </w:pPr>
            <w:r w:rsidRPr="004E200C">
              <w:rPr>
                <w:color w:val="000000" w:themeColor="text1"/>
              </w:rPr>
              <w:t>Fintech Law, the Case Studies</w:t>
            </w:r>
          </w:p>
          <w:p w14:paraId="271F8C17" w14:textId="69013C93" w:rsidR="00703258" w:rsidRDefault="0094148B" w:rsidP="000B0224">
            <w:pPr>
              <w:pStyle w:val="NormalWeb"/>
              <w:numPr>
                <w:ilvl w:val="1"/>
                <w:numId w:val="4"/>
              </w:numPr>
              <w:shd w:val="clear" w:color="auto" w:fill="FFFFFF"/>
              <w:spacing w:before="0" w:beforeAutospacing="0" w:after="0" w:afterAutospacing="0"/>
              <w:rPr>
                <w:color w:val="000000" w:themeColor="text1"/>
              </w:rPr>
            </w:pPr>
            <w:r w:rsidRPr="004E200C">
              <w:rPr>
                <w:color w:val="000000" w:themeColor="text1"/>
              </w:rPr>
              <w:t>Algorithmic Trading Strategies</w:t>
            </w:r>
          </w:p>
          <w:p w14:paraId="033D7D6C" w14:textId="77777777" w:rsidR="00703258" w:rsidRDefault="0094148B" w:rsidP="000B0224">
            <w:pPr>
              <w:pStyle w:val="NormalWeb"/>
              <w:numPr>
                <w:ilvl w:val="0"/>
                <w:numId w:val="4"/>
              </w:numPr>
              <w:shd w:val="clear" w:color="auto" w:fill="FFFFFF"/>
              <w:spacing w:before="0" w:beforeAutospacing="0" w:after="0" w:afterAutospacing="0"/>
              <w:rPr>
                <w:color w:val="000000" w:themeColor="text1"/>
              </w:rPr>
            </w:pPr>
            <w:r w:rsidRPr="00703258">
              <w:rPr>
                <w:color w:val="000000" w:themeColor="text1"/>
              </w:rPr>
              <w:t>Fintech Law in a Nutshell</w:t>
            </w:r>
          </w:p>
          <w:p w14:paraId="518985B4" w14:textId="3E9715A5" w:rsidR="0094148B" w:rsidRPr="00703258" w:rsidRDefault="0094148B" w:rsidP="000B0224">
            <w:pPr>
              <w:pStyle w:val="NormalWeb"/>
              <w:numPr>
                <w:ilvl w:val="1"/>
                <w:numId w:val="4"/>
              </w:numPr>
              <w:shd w:val="clear" w:color="auto" w:fill="FFFFFF"/>
              <w:spacing w:before="0" w:beforeAutospacing="0" w:after="0" w:afterAutospacing="0"/>
              <w:rPr>
                <w:color w:val="000000" w:themeColor="text1"/>
              </w:rPr>
            </w:pPr>
            <w:r w:rsidRPr="00703258">
              <w:rPr>
                <w:color w:val="000000" w:themeColor="text1"/>
              </w:rPr>
              <w:t>Chapter 4 High Frequency Trading</w:t>
            </w:r>
          </w:p>
          <w:p w14:paraId="42D9CCDC" w14:textId="77777777" w:rsidR="0094148B" w:rsidRPr="004E200C" w:rsidRDefault="0094148B" w:rsidP="0094148B">
            <w:pPr>
              <w:rPr>
                <w:b/>
                <w:bCs/>
                <w:color w:val="000000" w:themeColor="text1"/>
              </w:rPr>
            </w:pPr>
          </w:p>
        </w:tc>
      </w:tr>
      <w:tr w:rsidR="004E200C" w:rsidRPr="004E200C" w14:paraId="6AC43B3A" w14:textId="77777777" w:rsidTr="00D71CB4">
        <w:tc>
          <w:tcPr>
            <w:tcW w:w="895" w:type="dxa"/>
          </w:tcPr>
          <w:p w14:paraId="7D49B85B" w14:textId="77777777" w:rsidR="0094148B" w:rsidRPr="004E200C" w:rsidRDefault="0094148B" w:rsidP="0094148B">
            <w:pPr>
              <w:rPr>
                <w:color w:val="000000" w:themeColor="text1"/>
              </w:rPr>
            </w:pPr>
            <w:r w:rsidRPr="004E200C">
              <w:rPr>
                <w:color w:val="000000" w:themeColor="text1"/>
              </w:rPr>
              <w:lastRenderedPageBreak/>
              <w:t>5</w:t>
            </w:r>
          </w:p>
          <w:p w14:paraId="63A73A47" w14:textId="103288AD" w:rsidR="0094148B" w:rsidRPr="004E200C" w:rsidRDefault="0094148B" w:rsidP="0094148B">
            <w:pPr>
              <w:rPr>
                <w:color w:val="000000" w:themeColor="text1"/>
              </w:rPr>
            </w:pPr>
            <w:r w:rsidRPr="004E200C">
              <w:rPr>
                <w:color w:val="000000" w:themeColor="text1"/>
              </w:rPr>
              <w:t>9/19</w:t>
            </w:r>
          </w:p>
        </w:tc>
        <w:tc>
          <w:tcPr>
            <w:tcW w:w="8453" w:type="dxa"/>
          </w:tcPr>
          <w:p w14:paraId="4BAADEB2" w14:textId="77777777" w:rsidR="0094148B" w:rsidRPr="0065775E" w:rsidRDefault="00BE500D" w:rsidP="00BE500D">
            <w:pPr>
              <w:shd w:val="clear" w:color="auto" w:fill="FFFFFF"/>
              <w:spacing w:beforeAutospacing="1" w:afterAutospacing="1"/>
              <w:rPr>
                <w:b/>
                <w:bCs/>
                <w:color w:val="000000" w:themeColor="text1"/>
              </w:rPr>
            </w:pPr>
            <w:r w:rsidRPr="0065775E">
              <w:rPr>
                <w:b/>
                <w:bCs/>
                <w:color w:val="000000" w:themeColor="text1"/>
              </w:rPr>
              <w:t xml:space="preserve">Robo-advisors </w:t>
            </w:r>
          </w:p>
          <w:p w14:paraId="61E471C3" w14:textId="77777777" w:rsidR="0065775E" w:rsidRDefault="0044530D" w:rsidP="000B0224">
            <w:pPr>
              <w:pStyle w:val="NormalWeb"/>
              <w:numPr>
                <w:ilvl w:val="0"/>
                <w:numId w:val="11"/>
              </w:numPr>
              <w:shd w:val="clear" w:color="auto" w:fill="FFFFFF"/>
              <w:spacing w:before="0" w:beforeAutospacing="0" w:after="0" w:afterAutospacing="0"/>
              <w:rPr>
                <w:color w:val="000000" w:themeColor="text1"/>
                <w:lang w:eastAsia="en-US"/>
              </w:rPr>
            </w:pPr>
            <w:r w:rsidRPr="0065775E">
              <w:rPr>
                <w:color w:val="000000" w:themeColor="text1"/>
              </w:rPr>
              <w:t>Will Robots Replace Human Advisors?</w:t>
            </w:r>
          </w:p>
          <w:p w14:paraId="336E24A3" w14:textId="0CDA24F9" w:rsidR="00D81356" w:rsidRDefault="0044530D" w:rsidP="00D81356">
            <w:pPr>
              <w:pStyle w:val="NormalWeb"/>
              <w:shd w:val="clear" w:color="auto" w:fill="FFFFFF"/>
              <w:spacing w:before="0" w:beforeAutospacing="0" w:after="0" w:afterAutospacing="0"/>
              <w:ind w:left="720"/>
              <w:rPr>
                <w:color w:val="000000" w:themeColor="text1"/>
              </w:rPr>
            </w:pPr>
            <w:r w:rsidRPr="0065775E">
              <w:rPr>
                <w:color w:val="000000" w:themeColor="text1"/>
              </w:rPr>
              <w:t> </w:t>
            </w:r>
            <w:hyperlink r:id="rId21" w:history="1">
              <w:r w:rsidR="0049056D" w:rsidRPr="00721154">
                <w:rPr>
                  <w:rStyle w:val="Hyperlink"/>
                </w:rPr>
                <w:t>https://www.youtube.com/watch?v=suUVjOi5tHA</w:t>
              </w:r>
              <w:r w:rsidR="0049056D" w:rsidRPr="00721154">
                <w:rPr>
                  <w:rStyle w:val="Hyperlink"/>
                  <w:rFonts w:eastAsiaTheme="majorEastAsia"/>
                  <w:bdr w:val="none" w:sz="0" w:space="0" w:color="auto" w:frame="1"/>
                </w:rPr>
                <w:t>Links to an external site.</w:t>
              </w:r>
            </w:hyperlink>
            <w:r w:rsidRPr="0065775E">
              <w:rPr>
                <w:noProof/>
                <w:color w:val="000000" w:themeColor="text1"/>
              </w:rPr>
              <w:drawing>
                <wp:inline distT="0" distB="0" distL="0" distR="0" wp14:anchorId="28C33500" wp14:editId="50F6A48A">
                  <wp:extent cx="1777365" cy="1273175"/>
                  <wp:effectExtent l="0" t="0" r="0" b="0"/>
                  <wp:docPr id="947361135"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7365" cy="1273175"/>
                          </a:xfrm>
                          <a:prstGeom prst="rect">
                            <a:avLst/>
                          </a:prstGeom>
                          <a:noFill/>
                          <a:ln>
                            <a:noFill/>
                          </a:ln>
                        </pic:spPr>
                      </pic:pic>
                    </a:graphicData>
                  </a:graphic>
                </wp:inline>
              </w:drawing>
            </w:r>
            <w:r w:rsidRPr="0065775E">
              <w:rPr>
                <w:color w:val="000000" w:themeColor="text1"/>
              </w:rPr>
              <w:t> </w:t>
            </w:r>
          </w:p>
          <w:p w14:paraId="7A389205" w14:textId="77777777" w:rsidR="00D81356" w:rsidRDefault="00D81356" w:rsidP="000B0224">
            <w:pPr>
              <w:pStyle w:val="NormalWeb"/>
              <w:numPr>
                <w:ilvl w:val="0"/>
                <w:numId w:val="11"/>
              </w:numPr>
              <w:shd w:val="clear" w:color="auto" w:fill="FFFFFF"/>
              <w:spacing w:before="0" w:beforeAutospacing="0" w:after="0" w:afterAutospacing="0"/>
              <w:rPr>
                <w:color w:val="000000" w:themeColor="text1"/>
                <w:lang w:eastAsia="en-US"/>
              </w:rPr>
            </w:pPr>
            <w:r>
              <w:rPr>
                <w:color w:val="000000" w:themeColor="text1"/>
                <w:lang w:eastAsia="en-US"/>
              </w:rPr>
              <w:t xml:space="preserve">Robo-advisor Landscape 2022 </w:t>
            </w:r>
          </w:p>
          <w:p w14:paraId="05C7A3C9" w14:textId="05B63441" w:rsidR="00D81356" w:rsidRDefault="0044530D" w:rsidP="000B0224">
            <w:pPr>
              <w:pStyle w:val="NormalWeb"/>
              <w:numPr>
                <w:ilvl w:val="0"/>
                <w:numId w:val="11"/>
              </w:numPr>
              <w:shd w:val="clear" w:color="auto" w:fill="FFFFFF"/>
              <w:spacing w:before="0" w:beforeAutospacing="0" w:after="0" w:afterAutospacing="0"/>
              <w:rPr>
                <w:color w:val="000000" w:themeColor="text1"/>
                <w:lang w:eastAsia="en-US"/>
              </w:rPr>
            </w:pPr>
            <w:r w:rsidRPr="00D81356">
              <w:rPr>
                <w:color w:val="000000" w:themeColor="text1"/>
              </w:rPr>
              <w:t xml:space="preserve">Fintech Law in a </w:t>
            </w:r>
            <w:r w:rsidR="00D81356" w:rsidRPr="00D81356">
              <w:rPr>
                <w:color w:val="000000" w:themeColor="text1"/>
              </w:rPr>
              <w:t>Nutshell</w:t>
            </w:r>
          </w:p>
          <w:p w14:paraId="75CC29E0" w14:textId="39FF4CB3" w:rsidR="00D81356" w:rsidRDefault="0044530D" w:rsidP="000B0224">
            <w:pPr>
              <w:pStyle w:val="NormalWeb"/>
              <w:numPr>
                <w:ilvl w:val="1"/>
                <w:numId w:val="11"/>
              </w:numPr>
              <w:shd w:val="clear" w:color="auto" w:fill="FFFFFF"/>
              <w:spacing w:before="0" w:beforeAutospacing="0" w:after="0" w:afterAutospacing="0"/>
              <w:rPr>
                <w:color w:val="000000" w:themeColor="text1"/>
                <w:lang w:eastAsia="en-US"/>
              </w:rPr>
            </w:pPr>
            <w:r w:rsidRPr="00D81356">
              <w:rPr>
                <w:color w:val="000000" w:themeColor="text1"/>
              </w:rPr>
              <w:t xml:space="preserve">Chapter 3, Robo-Advisors </w:t>
            </w:r>
          </w:p>
          <w:p w14:paraId="117B032E" w14:textId="77777777" w:rsidR="00D81356" w:rsidRDefault="0044530D" w:rsidP="000B0224">
            <w:pPr>
              <w:pStyle w:val="NormalWeb"/>
              <w:numPr>
                <w:ilvl w:val="0"/>
                <w:numId w:val="11"/>
              </w:numPr>
              <w:shd w:val="clear" w:color="auto" w:fill="FFFFFF"/>
              <w:spacing w:before="0" w:beforeAutospacing="0" w:after="0" w:afterAutospacing="0"/>
              <w:rPr>
                <w:color w:val="000000" w:themeColor="text1"/>
                <w:lang w:eastAsia="en-US"/>
              </w:rPr>
            </w:pPr>
            <w:r w:rsidRPr="00D81356">
              <w:rPr>
                <w:color w:val="000000" w:themeColor="text1"/>
              </w:rPr>
              <w:t>In the Matter of Charles Schwab &amp; Co., INC., Charles Schwab Investment Advisory, Inc. and Schwab Wealth Investment Advisory, Inc.</w:t>
            </w:r>
          </w:p>
          <w:p w14:paraId="33B6A20A" w14:textId="1296E5D4" w:rsidR="00D81356" w:rsidRDefault="000B0224" w:rsidP="00D81356">
            <w:pPr>
              <w:pStyle w:val="NormalWeb"/>
              <w:shd w:val="clear" w:color="auto" w:fill="FFFFFF"/>
              <w:spacing w:before="0" w:beforeAutospacing="0" w:after="0" w:afterAutospacing="0"/>
              <w:ind w:left="720"/>
              <w:rPr>
                <w:color w:val="000000" w:themeColor="text1"/>
                <w:lang w:eastAsia="en-US"/>
              </w:rPr>
            </w:pPr>
            <w:hyperlink r:id="rId23" w:history="1">
              <w:r w:rsidR="0049056D" w:rsidRPr="00721154">
                <w:rPr>
                  <w:rStyle w:val="Hyperlink"/>
                </w:rPr>
                <w:t>https://www.sec.gov/litigation/admin/2022/34-95087.pdf</w:t>
              </w:r>
              <w:r w:rsidR="0049056D" w:rsidRPr="00721154">
                <w:rPr>
                  <w:rStyle w:val="Hyperlink"/>
                  <w:bdr w:val="none" w:sz="0" w:space="0" w:color="auto" w:frame="1"/>
                </w:rPr>
                <w:t>Links to an external site.</w:t>
              </w:r>
            </w:hyperlink>
          </w:p>
          <w:p w14:paraId="04C7157A" w14:textId="77777777" w:rsidR="0049056D" w:rsidRDefault="0065775E" w:rsidP="000B0224">
            <w:pPr>
              <w:pStyle w:val="NormalWeb"/>
              <w:numPr>
                <w:ilvl w:val="0"/>
                <w:numId w:val="11"/>
              </w:numPr>
              <w:shd w:val="clear" w:color="auto" w:fill="FFFFFF"/>
              <w:spacing w:before="0" w:beforeAutospacing="0" w:after="0" w:afterAutospacing="0"/>
              <w:rPr>
                <w:color w:val="000000" w:themeColor="text1"/>
                <w:lang w:eastAsia="en-US"/>
              </w:rPr>
            </w:pPr>
            <w:r w:rsidRPr="00D81356">
              <w:rPr>
                <w:color w:val="000000" w:themeColor="text1"/>
              </w:rPr>
              <w:t>SEC Adopts Modernized Marketing Rule for Investment Advisers</w:t>
            </w:r>
          </w:p>
          <w:p w14:paraId="1BE5F825" w14:textId="2C95871C" w:rsidR="00D81356" w:rsidRDefault="000B0224" w:rsidP="0049056D">
            <w:pPr>
              <w:pStyle w:val="NormalWeb"/>
              <w:shd w:val="clear" w:color="auto" w:fill="FFFFFF"/>
              <w:spacing w:before="0" w:beforeAutospacing="0" w:after="0" w:afterAutospacing="0"/>
              <w:ind w:left="720"/>
              <w:rPr>
                <w:color w:val="000000" w:themeColor="text1"/>
                <w:lang w:eastAsia="en-US"/>
              </w:rPr>
            </w:pPr>
            <w:hyperlink r:id="rId24" w:history="1">
              <w:r w:rsidR="0049056D" w:rsidRPr="00721154">
                <w:rPr>
                  <w:rStyle w:val="Hyperlink"/>
                </w:rPr>
                <w:t>https://www.sec.gov/news/press-release/2020-334</w:t>
              </w:r>
              <w:r w:rsidR="0049056D" w:rsidRPr="00721154">
                <w:rPr>
                  <w:rStyle w:val="Hyperlink"/>
                  <w:rFonts w:eastAsiaTheme="majorEastAsia"/>
                  <w:bdr w:val="none" w:sz="0" w:space="0" w:color="auto" w:frame="1"/>
                </w:rPr>
                <w:t>Links to an external site.</w:t>
              </w:r>
            </w:hyperlink>
            <w:r w:rsidR="0065775E" w:rsidRPr="00D81356">
              <w:rPr>
                <w:color w:val="000000" w:themeColor="text1"/>
              </w:rPr>
              <w:t> </w:t>
            </w:r>
          </w:p>
          <w:p w14:paraId="2803B474" w14:textId="77777777" w:rsidR="0049056D" w:rsidRDefault="0065775E" w:rsidP="000B0224">
            <w:pPr>
              <w:pStyle w:val="NormalWeb"/>
              <w:numPr>
                <w:ilvl w:val="0"/>
                <w:numId w:val="11"/>
              </w:numPr>
              <w:shd w:val="clear" w:color="auto" w:fill="FFFFFF"/>
              <w:spacing w:before="0" w:beforeAutospacing="0" w:after="0" w:afterAutospacing="0"/>
              <w:rPr>
                <w:color w:val="000000" w:themeColor="text1"/>
                <w:lang w:eastAsia="en-US"/>
              </w:rPr>
            </w:pPr>
            <w:r w:rsidRPr="00D81356">
              <w:rPr>
                <w:color w:val="000000" w:themeColor="text1"/>
              </w:rPr>
              <w:t>The SEC's New Marketing Rule: Key Takeaways for Advisers</w:t>
            </w:r>
          </w:p>
          <w:p w14:paraId="31FDEF7B" w14:textId="40E1A2EF" w:rsidR="0065775E" w:rsidRPr="00D81356" w:rsidRDefault="000B0224" w:rsidP="0049056D">
            <w:pPr>
              <w:pStyle w:val="NormalWeb"/>
              <w:shd w:val="clear" w:color="auto" w:fill="FFFFFF"/>
              <w:spacing w:before="0" w:beforeAutospacing="0" w:after="0" w:afterAutospacing="0"/>
              <w:ind w:left="720"/>
              <w:rPr>
                <w:color w:val="000000" w:themeColor="text1"/>
                <w:lang w:eastAsia="en-US"/>
              </w:rPr>
            </w:pPr>
            <w:hyperlink r:id="rId25" w:history="1">
              <w:r w:rsidR="0049056D" w:rsidRPr="00721154">
                <w:rPr>
                  <w:rStyle w:val="Hyperlink"/>
                </w:rPr>
                <w:t>https://www.morganlewis.com/-/media/files/publication/morgan-lewis-title/white-paper/2021/the-secs-new-marketing-rule-key-takeaways-for-advisers.pdf</w:t>
              </w:r>
              <w:r w:rsidR="0049056D" w:rsidRPr="00721154">
                <w:rPr>
                  <w:rStyle w:val="Hyperlink"/>
                  <w:rFonts w:eastAsiaTheme="majorEastAsia"/>
                  <w:bdr w:val="none" w:sz="0" w:space="0" w:color="auto" w:frame="1"/>
                </w:rPr>
                <w:t>Links to an external site.</w:t>
              </w:r>
            </w:hyperlink>
            <w:r w:rsidR="0065775E" w:rsidRPr="00D81356">
              <w:rPr>
                <w:color w:val="000000" w:themeColor="text1"/>
              </w:rPr>
              <w:t> </w:t>
            </w:r>
          </w:p>
          <w:p w14:paraId="21739913" w14:textId="63024340" w:rsidR="0044530D" w:rsidRPr="0065775E" w:rsidRDefault="0044530D" w:rsidP="0065775E">
            <w:pPr>
              <w:shd w:val="clear" w:color="auto" w:fill="FFFFFF"/>
              <w:spacing w:beforeAutospacing="1" w:afterAutospacing="1"/>
              <w:ind w:left="360"/>
              <w:rPr>
                <w:b/>
                <w:bCs/>
                <w:color w:val="000000" w:themeColor="text1"/>
              </w:rPr>
            </w:pPr>
          </w:p>
        </w:tc>
      </w:tr>
      <w:tr w:rsidR="004E200C" w:rsidRPr="004E200C" w14:paraId="26E3A052" w14:textId="77777777" w:rsidTr="00D71CB4">
        <w:tc>
          <w:tcPr>
            <w:tcW w:w="895" w:type="dxa"/>
          </w:tcPr>
          <w:p w14:paraId="1E671BFD" w14:textId="77777777" w:rsidR="0094148B" w:rsidRPr="004E200C" w:rsidRDefault="0094148B" w:rsidP="0094148B">
            <w:pPr>
              <w:rPr>
                <w:color w:val="000000" w:themeColor="text1"/>
              </w:rPr>
            </w:pPr>
            <w:r w:rsidRPr="004E200C">
              <w:rPr>
                <w:color w:val="000000" w:themeColor="text1"/>
              </w:rPr>
              <w:lastRenderedPageBreak/>
              <w:t>6</w:t>
            </w:r>
          </w:p>
          <w:p w14:paraId="05210B4C" w14:textId="7B737253" w:rsidR="0094148B" w:rsidRPr="004E200C" w:rsidRDefault="0094148B" w:rsidP="0094148B">
            <w:pPr>
              <w:rPr>
                <w:color w:val="000000" w:themeColor="text1"/>
              </w:rPr>
            </w:pPr>
            <w:r w:rsidRPr="004E200C">
              <w:rPr>
                <w:color w:val="000000" w:themeColor="text1"/>
              </w:rPr>
              <w:t>9/26</w:t>
            </w:r>
          </w:p>
        </w:tc>
        <w:tc>
          <w:tcPr>
            <w:tcW w:w="8453" w:type="dxa"/>
          </w:tcPr>
          <w:p w14:paraId="2311CCE5" w14:textId="0183C7E5" w:rsidR="005B79C9" w:rsidRDefault="005B79C9" w:rsidP="005B79C9">
            <w:pPr>
              <w:spacing w:before="120"/>
              <w:jc w:val="both"/>
            </w:pPr>
            <w:r w:rsidRPr="00BE500D">
              <w:rPr>
                <w:b/>
                <w:bCs/>
              </w:rPr>
              <w:t xml:space="preserve">Writing </w:t>
            </w:r>
            <w:r w:rsidR="007215D6" w:rsidRPr="00BE500D">
              <w:rPr>
                <w:b/>
                <w:bCs/>
              </w:rPr>
              <w:t>P</w:t>
            </w:r>
            <w:r w:rsidRPr="00BE500D">
              <w:rPr>
                <w:b/>
                <w:bCs/>
              </w:rPr>
              <w:t>eriod</w:t>
            </w:r>
            <w:r w:rsidR="007215D6" w:rsidRPr="00BE500D">
              <w:rPr>
                <w:b/>
                <w:bCs/>
              </w:rPr>
              <w:t xml:space="preserve"> and Individualized Feedback </w:t>
            </w:r>
            <w:r w:rsidRPr="00BE500D">
              <w:t xml:space="preserve"> </w:t>
            </w:r>
          </w:p>
          <w:p w14:paraId="02BB4CFA" w14:textId="24028CD4" w:rsidR="000314F8" w:rsidRPr="000314F8" w:rsidRDefault="000314F8" w:rsidP="005B79C9">
            <w:pPr>
              <w:spacing w:before="120"/>
              <w:jc w:val="both"/>
              <w:rPr>
                <w:b/>
                <w:bCs/>
              </w:rPr>
            </w:pPr>
            <w:r w:rsidRPr="000314F8">
              <w:rPr>
                <w:b/>
                <w:bCs/>
              </w:rPr>
              <w:t xml:space="preserve">Your outline due </w:t>
            </w:r>
          </w:p>
          <w:p w14:paraId="13E9C9FA" w14:textId="39B2FFF3" w:rsidR="0094148B" w:rsidRPr="00BE500D" w:rsidRDefault="005B79C9" w:rsidP="005B79C9">
            <w:pPr>
              <w:spacing w:before="120"/>
              <w:jc w:val="both"/>
            </w:pPr>
            <w:r w:rsidRPr="00BE500D">
              <w:t>Class does not meet. Please stop by my office during our regular class time, this week or next, to discuss progress on your paper. Bring an outline or draft.</w:t>
            </w:r>
          </w:p>
          <w:p w14:paraId="5FBB1363" w14:textId="286EA764" w:rsidR="0094148B" w:rsidRPr="00BE500D" w:rsidRDefault="0094148B" w:rsidP="0094148B">
            <w:pPr>
              <w:rPr>
                <w:b/>
                <w:bCs/>
                <w:color w:val="000000" w:themeColor="text1"/>
              </w:rPr>
            </w:pPr>
          </w:p>
        </w:tc>
      </w:tr>
      <w:tr w:rsidR="004E200C" w:rsidRPr="004E200C" w14:paraId="7D15E75F" w14:textId="77777777" w:rsidTr="00D71CB4">
        <w:tc>
          <w:tcPr>
            <w:tcW w:w="895" w:type="dxa"/>
          </w:tcPr>
          <w:p w14:paraId="115DA75F" w14:textId="77777777" w:rsidR="001B72C6" w:rsidRPr="004E200C" w:rsidRDefault="001B72C6" w:rsidP="001B72C6">
            <w:pPr>
              <w:rPr>
                <w:color w:val="000000" w:themeColor="text1"/>
              </w:rPr>
            </w:pPr>
            <w:r w:rsidRPr="004E200C">
              <w:rPr>
                <w:color w:val="000000" w:themeColor="text1"/>
              </w:rPr>
              <w:t>7</w:t>
            </w:r>
          </w:p>
          <w:p w14:paraId="058A3E16" w14:textId="745271D6" w:rsidR="001B72C6" w:rsidRPr="004E200C" w:rsidRDefault="001B72C6" w:rsidP="001B72C6">
            <w:pPr>
              <w:rPr>
                <w:color w:val="000000" w:themeColor="text1"/>
              </w:rPr>
            </w:pPr>
            <w:r w:rsidRPr="004E200C">
              <w:rPr>
                <w:color w:val="000000" w:themeColor="text1"/>
              </w:rPr>
              <w:t>10/3</w:t>
            </w:r>
          </w:p>
        </w:tc>
        <w:tc>
          <w:tcPr>
            <w:tcW w:w="8453" w:type="dxa"/>
          </w:tcPr>
          <w:p w14:paraId="339B5763" w14:textId="77777777" w:rsidR="001B72C6" w:rsidRPr="00BE500D" w:rsidRDefault="001B72C6" w:rsidP="001B72C6">
            <w:pPr>
              <w:rPr>
                <w:b/>
                <w:bCs/>
                <w:color w:val="000000" w:themeColor="text1"/>
              </w:rPr>
            </w:pPr>
          </w:p>
          <w:p w14:paraId="6F7FE1B3" w14:textId="69B39F1A" w:rsidR="005B79C9" w:rsidRDefault="005B79C9" w:rsidP="005B79C9">
            <w:pPr>
              <w:spacing w:before="120"/>
              <w:jc w:val="both"/>
            </w:pPr>
            <w:r w:rsidRPr="00BE500D">
              <w:rPr>
                <w:b/>
                <w:bCs/>
                <w:color w:val="000000" w:themeColor="text1"/>
              </w:rPr>
              <w:t xml:space="preserve">Writing </w:t>
            </w:r>
            <w:r w:rsidR="007215D6" w:rsidRPr="00BE500D">
              <w:rPr>
                <w:b/>
                <w:bCs/>
                <w:color w:val="000000" w:themeColor="text1"/>
              </w:rPr>
              <w:t>P</w:t>
            </w:r>
            <w:r w:rsidRPr="00BE500D">
              <w:rPr>
                <w:b/>
                <w:bCs/>
                <w:color w:val="000000" w:themeColor="text1"/>
              </w:rPr>
              <w:t>eriod</w:t>
            </w:r>
            <w:r w:rsidR="007215D6" w:rsidRPr="00BE500D">
              <w:rPr>
                <w:b/>
                <w:bCs/>
                <w:color w:val="000000" w:themeColor="text1"/>
              </w:rPr>
              <w:t xml:space="preserve"> and </w:t>
            </w:r>
            <w:r w:rsidR="007215D6" w:rsidRPr="00BE500D">
              <w:rPr>
                <w:b/>
                <w:bCs/>
              </w:rPr>
              <w:t xml:space="preserve">Individualized Feedback </w:t>
            </w:r>
            <w:r w:rsidR="007215D6" w:rsidRPr="00BE500D">
              <w:t xml:space="preserve"> </w:t>
            </w:r>
          </w:p>
          <w:p w14:paraId="76898397" w14:textId="7B64F7B0" w:rsidR="000314F8" w:rsidRPr="000314F8" w:rsidRDefault="000314F8" w:rsidP="005B79C9">
            <w:pPr>
              <w:spacing w:before="120"/>
              <w:jc w:val="both"/>
              <w:rPr>
                <w:b/>
                <w:bCs/>
                <w:color w:val="000000" w:themeColor="text1"/>
              </w:rPr>
            </w:pPr>
            <w:r w:rsidRPr="000314F8">
              <w:rPr>
                <w:b/>
                <w:bCs/>
              </w:rPr>
              <w:t xml:space="preserve">Your outline due </w:t>
            </w:r>
          </w:p>
          <w:p w14:paraId="7E8CCE03" w14:textId="10EAEB1D" w:rsidR="005B79C9" w:rsidRPr="00BE500D" w:rsidRDefault="005B79C9" w:rsidP="005B79C9">
            <w:pPr>
              <w:spacing w:before="120"/>
              <w:jc w:val="both"/>
            </w:pPr>
            <w:r w:rsidRPr="00BE500D">
              <w:t>Class does not meet. Please stop by my office during our regular class time</w:t>
            </w:r>
            <w:r w:rsidR="00F91B6A" w:rsidRPr="00BE500D">
              <w:t xml:space="preserve"> (if you did not stop by last week)</w:t>
            </w:r>
            <w:r w:rsidRPr="00BE500D">
              <w:t xml:space="preserve"> to discuss progress on your paper. Bring an outline or draft.</w:t>
            </w:r>
          </w:p>
          <w:p w14:paraId="237C92BB" w14:textId="51135BDE" w:rsidR="001B72C6" w:rsidRPr="00BE500D" w:rsidRDefault="001B72C6" w:rsidP="001B72C6">
            <w:pPr>
              <w:rPr>
                <w:b/>
                <w:bCs/>
                <w:color w:val="000000" w:themeColor="text1"/>
              </w:rPr>
            </w:pPr>
          </w:p>
        </w:tc>
      </w:tr>
      <w:tr w:rsidR="00EC6EE0" w:rsidRPr="004E200C" w14:paraId="63A03786" w14:textId="77777777" w:rsidTr="00D71CB4">
        <w:tc>
          <w:tcPr>
            <w:tcW w:w="895" w:type="dxa"/>
          </w:tcPr>
          <w:p w14:paraId="2B760308" w14:textId="77777777" w:rsidR="00EC6EE0" w:rsidRPr="004E200C" w:rsidRDefault="00EC6EE0" w:rsidP="00EC6EE0">
            <w:pPr>
              <w:rPr>
                <w:color w:val="000000" w:themeColor="text1"/>
              </w:rPr>
            </w:pPr>
            <w:r w:rsidRPr="004E200C">
              <w:rPr>
                <w:color w:val="000000" w:themeColor="text1"/>
              </w:rPr>
              <w:t>8</w:t>
            </w:r>
          </w:p>
          <w:p w14:paraId="5B725F00" w14:textId="42BB6DF4" w:rsidR="00EC6EE0" w:rsidRPr="004E200C" w:rsidRDefault="00EC6EE0" w:rsidP="00EC6EE0">
            <w:pPr>
              <w:rPr>
                <w:color w:val="000000" w:themeColor="text1"/>
              </w:rPr>
            </w:pPr>
            <w:r w:rsidRPr="004E200C">
              <w:rPr>
                <w:color w:val="000000" w:themeColor="text1"/>
              </w:rPr>
              <w:t>10/10</w:t>
            </w:r>
          </w:p>
        </w:tc>
        <w:tc>
          <w:tcPr>
            <w:tcW w:w="8453" w:type="dxa"/>
          </w:tcPr>
          <w:p w14:paraId="7ADAFF0C" w14:textId="0C36BC4D" w:rsidR="00EC6EE0" w:rsidRPr="004E200C" w:rsidRDefault="00EC6EE0" w:rsidP="00EC6EE0">
            <w:pPr>
              <w:rPr>
                <w:b/>
                <w:bCs/>
                <w:color w:val="000000" w:themeColor="text1"/>
              </w:rPr>
            </w:pPr>
            <w:r w:rsidRPr="004E200C">
              <w:rPr>
                <w:b/>
                <w:bCs/>
                <w:color w:val="000000" w:themeColor="text1"/>
              </w:rPr>
              <w:t xml:space="preserve">Marketplace Lending </w:t>
            </w:r>
          </w:p>
          <w:p w14:paraId="3E775AF5" w14:textId="3058796F" w:rsidR="00EC6EE0" w:rsidRPr="004E200C" w:rsidRDefault="00EC6EE0" w:rsidP="000B0224">
            <w:pPr>
              <w:pStyle w:val="ListParagraph"/>
              <w:numPr>
                <w:ilvl w:val="0"/>
                <w:numId w:val="10"/>
              </w:numPr>
              <w:shd w:val="clear" w:color="auto" w:fill="FFFFFF"/>
              <w:spacing w:beforeAutospacing="1" w:afterAutospacing="1"/>
              <w:rPr>
                <w:color w:val="000000" w:themeColor="text1"/>
              </w:rPr>
            </w:pPr>
            <w:r w:rsidRPr="004E200C">
              <w:rPr>
                <w:color w:val="000000" w:themeColor="text1"/>
              </w:rPr>
              <w:t>Fintech Credit, Bank for International Settlement</w:t>
            </w:r>
          </w:p>
          <w:p w14:paraId="03E93C8E" w14:textId="53A731E1" w:rsidR="00EC6EE0" w:rsidRPr="004E200C" w:rsidRDefault="000B0224" w:rsidP="00EC6EE0">
            <w:pPr>
              <w:pStyle w:val="ListParagraph"/>
              <w:shd w:val="clear" w:color="auto" w:fill="FFFFFF"/>
              <w:spacing w:beforeAutospacing="1" w:afterAutospacing="1"/>
              <w:rPr>
                <w:color w:val="000000" w:themeColor="text1"/>
              </w:rPr>
            </w:pPr>
            <w:hyperlink r:id="rId26" w:history="1">
              <w:r w:rsidR="0049056D" w:rsidRPr="00721154">
                <w:rPr>
                  <w:rStyle w:val="Hyperlink"/>
                </w:rPr>
                <w:t>https://www.bis.org/publ/cgfs_fsb1.pdf</w:t>
              </w:r>
              <w:r w:rsidR="0049056D" w:rsidRPr="00721154">
                <w:rPr>
                  <w:rStyle w:val="Hyperlink"/>
                  <w:bdr w:val="none" w:sz="0" w:space="0" w:color="auto" w:frame="1"/>
                </w:rPr>
                <w:t>Links to an external site.</w:t>
              </w:r>
            </w:hyperlink>
          </w:p>
          <w:p w14:paraId="25C4B502" w14:textId="77777777" w:rsidR="00EC6EE0" w:rsidRPr="004E200C" w:rsidRDefault="00EC6EE0" w:rsidP="000B0224">
            <w:pPr>
              <w:pStyle w:val="ListParagraph"/>
              <w:numPr>
                <w:ilvl w:val="0"/>
                <w:numId w:val="10"/>
              </w:numPr>
              <w:shd w:val="clear" w:color="auto" w:fill="FFFFFF"/>
              <w:spacing w:before="100" w:beforeAutospacing="1" w:after="100" w:afterAutospacing="1"/>
              <w:rPr>
                <w:color w:val="000000" w:themeColor="text1"/>
              </w:rPr>
            </w:pPr>
            <w:r w:rsidRPr="004E200C">
              <w:rPr>
                <w:color w:val="000000" w:themeColor="text1"/>
              </w:rPr>
              <w:t>Fintech Law in a Nutshell</w:t>
            </w:r>
          </w:p>
          <w:p w14:paraId="0660C1A8" w14:textId="4D377489" w:rsidR="00EC6EE0" w:rsidRPr="004E200C" w:rsidRDefault="00EC6EE0" w:rsidP="000B0224">
            <w:pPr>
              <w:pStyle w:val="ListParagraph"/>
              <w:numPr>
                <w:ilvl w:val="1"/>
                <w:numId w:val="10"/>
              </w:numPr>
              <w:shd w:val="clear" w:color="auto" w:fill="FFFFFF"/>
              <w:spacing w:before="100" w:beforeAutospacing="1" w:after="100" w:afterAutospacing="1"/>
              <w:rPr>
                <w:color w:val="000000" w:themeColor="text1"/>
              </w:rPr>
            </w:pPr>
            <w:r w:rsidRPr="004E200C">
              <w:rPr>
                <w:color w:val="000000" w:themeColor="text1"/>
              </w:rPr>
              <w:t>Chapter 5, Marketplace Lending</w:t>
            </w:r>
          </w:p>
          <w:p w14:paraId="48F1F8C9" w14:textId="31AA53C8" w:rsidR="00EC6EE0" w:rsidRPr="004E200C" w:rsidRDefault="00EC6EE0" w:rsidP="000B0224">
            <w:pPr>
              <w:pStyle w:val="ListParagraph"/>
              <w:numPr>
                <w:ilvl w:val="0"/>
                <w:numId w:val="10"/>
              </w:numPr>
              <w:shd w:val="clear" w:color="auto" w:fill="FFFFFF"/>
              <w:spacing w:before="100" w:beforeAutospacing="1" w:after="100" w:afterAutospacing="1"/>
              <w:rPr>
                <w:rStyle w:val="instructurefileholder"/>
                <w:color w:val="000000" w:themeColor="text1"/>
                <w:lang w:eastAsia="en-US"/>
              </w:rPr>
            </w:pPr>
            <w:r w:rsidRPr="0049056D">
              <w:rPr>
                <w:rStyle w:val="instructurefileholder"/>
                <w:color w:val="000000" w:themeColor="text1"/>
              </w:rPr>
              <w:t>Fintech Law and Policy</w:t>
            </w:r>
          </w:p>
          <w:p w14:paraId="01BD924B" w14:textId="77777777" w:rsidR="0049056D" w:rsidRDefault="00EC6EE0" w:rsidP="000B0224">
            <w:pPr>
              <w:pStyle w:val="ListParagraph"/>
              <w:numPr>
                <w:ilvl w:val="1"/>
                <w:numId w:val="10"/>
              </w:numPr>
              <w:shd w:val="clear" w:color="auto" w:fill="FFFFFF"/>
              <w:spacing w:before="100" w:beforeAutospacing="1" w:after="100" w:afterAutospacing="1"/>
              <w:rPr>
                <w:color w:val="000000" w:themeColor="text1"/>
                <w:lang w:eastAsia="en-US"/>
              </w:rPr>
            </w:pPr>
            <w:r w:rsidRPr="004E200C">
              <w:rPr>
                <w:color w:val="000000" w:themeColor="text1"/>
              </w:rPr>
              <w:t>Chapter 3, Banking Regulation in the United States</w:t>
            </w:r>
          </w:p>
          <w:p w14:paraId="42A62B2A" w14:textId="77777777" w:rsidR="0049056D" w:rsidRDefault="00EC6EE0" w:rsidP="000B0224">
            <w:pPr>
              <w:pStyle w:val="ListParagraph"/>
              <w:numPr>
                <w:ilvl w:val="0"/>
                <w:numId w:val="10"/>
              </w:numPr>
              <w:shd w:val="clear" w:color="auto" w:fill="FFFFFF"/>
              <w:spacing w:before="100" w:beforeAutospacing="1" w:after="100" w:afterAutospacing="1"/>
              <w:rPr>
                <w:color w:val="000000" w:themeColor="text1"/>
                <w:lang w:eastAsia="en-US"/>
              </w:rPr>
            </w:pPr>
            <w:r w:rsidRPr="0049056D">
              <w:rPr>
                <w:color w:val="000000" w:themeColor="text1"/>
              </w:rPr>
              <w:t>Case: Madden v. Midland Funding LLC</w:t>
            </w:r>
          </w:p>
          <w:p w14:paraId="4EA782D5" w14:textId="38676AF6" w:rsidR="00EC6EE0" w:rsidRPr="0049056D" w:rsidRDefault="000B0224" w:rsidP="000B0224">
            <w:pPr>
              <w:pStyle w:val="ListParagraph"/>
              <w:numPr>
                <w:ilvl w:val="0"/>
                <w:numId w:val="10"/>
              </w:numPr>
              <w:shd w:val="clear" w:color="auto" w:fill="FFFFFF"/>
              <w:spacing w:before="100" w:beforeAutospacing="1" w:after="100" w:afterAutospacing="1"/>
              <w:rPr>
                <w:color w:val="000000" w:themeColor="text1"/>
                <w:lang w:eastAsia="en-US"/>
              </w:rPr>
            </w:pPr>
            <w:hyperlink r:id="rId27" w:history="1">
              <w:r w:rsidR="0049056D" w:rsidRPr="00721154">
                <w:rPr>
                  <w:rStyle w:val="Hyperlink"/>
                </w:rPr>
                <w:t>https://caselaw.findlaw.com/us-2nd-circuit/1701613.html</w:t>
              </w:r>
              <w:r w:rsidR="0049056D" w:rsidRPr="00721154">
                <w:rPr>
                  <w:rStyle w:val="Hyperlink"/>
                  <w:bdr w:val="none" w:sz="0" w:space="0" w:color="auto" w:frame="1"/>
                </w:rPr>
                <w:t>Links to an external site.</w:t>
              </w:r>
            </w:hyperlink>
          </w:p>
          <w:p w14:paraId="0B53025E" w14:textId="7D07EF65" w:rsidR="00EC6EE0" w:rsidRPr="004E200C" w:rsidRDefault="00EC6EE0" w:rsidP="000B0224">
            <w:pPr>
              <w:pStyle w:val="ListParagraph"/>
              <w:numPr>
                <w:ilvl w:val="0"/>
                <w:numId w:val="5"/>
              </w:numPr>
              <w:shd w:val="clear" w:color="auto" w:fill="FFFFFF"/>
              <w:spacing w:before="100" w:beforeAutospacing="1" w:after="100" w:afterAutospacing="1"/>
              <w:rPr>
                <w:rStyle w:val="instructurefileholder"/>
                <w:color w:val="000000" w:themeColor="text1"/>
              </w:rPr>
            </w:pPr>
            <w:r w:rsidRPr="004E200C">
              <w:rPr>
                <w:color w:val="000000" w:themeColor="text1"/>
              </w:rPr>
              <w:t>Case: </w:t>
            </w:r>
            <w:r w:rsidRPr="0049056D">
              <w:rPr>
                <w:color w:val="000000" w:themeColor="text1"/>
              </w:rPr>
              <w:t>In the Matter of People v County of Rehoboth Beach, Del., 45 A.D.3d 1136 (2007)</w:t>
            </w:r>
          </w:p>
          <w:p w14:paraId="76156568" w14:textId="77777777" w:rsidR="0049056D" w:rsidRDefault="00EC6EE0" w:rsidP="000B0224">
            <w:pPr>
              <w:pStyle w:val="ListParagraph"/>
              <w:numPr>
                <w:ilvl w:val="0"/>
                <w:numId w:val="5"/>
              </w:numPr>
              <w:shd w:val="clear" w:color="auto" w:fill="FFFFFF"/>
              <w:spacing w:beforeAutospacing="1" w:afterAutospacing="1"/>
              <w:rPr>
                <w:color w:val="000000" w:themeColor="text1"/>
              </w:rPr>
            </w:pPr>
            <w:r w:rsidRPr="004E200C">
              <w:rPr>
                <w:color w:val="000000" w:themeColor="text1"/>
              </w:rPr>
              <w:t>Federal banking Regulators Can and Should Resolve Madden and True Lender Developments, Davis Polk </w:t>
            </w:r>
          </w:p>
          <w:p w14:paraId="0A8E9396" w14:textId="5C5CC8EB" w:rsidR="00EC6EE0" w:rsidRPr="004E200C" w:rsidRDefault="000B0224" w:rsidP="0049056D">
            <w:pPr>
              <w:pStyle w:val="ListParagraph"/>
              <w:shd w:val="clear" w:color="auto" w:fill="FFFFFF"/>
              <w:spacing w:beforeAutospacing="1" w:afterAutospacing="1"/>
              <w:rPr>
                <w:color w:val="000000" w:themeColor="text1"/>
              </w:rPr>
            </w:pPr>
            <w:hyperlink r:id="rId28" w:history="1">
              <w:r w:rsidR="0049056D" w:rsidRPr="00721154">
                <w:rPr>
                  <w:rStyle w:val="Hyperlink"/>
                </w:rPr>
                <w:t>https://www.davispolk.com/sites/default/files/madden-true-lender-federal-regulatory-fix-whitepaper_final.pdf</w:t>
              </w:r>
              <w:r w:rsidR="0049056D" w:rsidRPr="00721154">
                <w:rPr>
                  <w:rStyle w:val="Hyperlink"/>
                  <w:bdr w:val="none" w:sz="0" w:space="0" w:color="auto" w:frame="1"/>
                </w:rPr>
                <w:t>Links to an external site.</w:t>
              </w:r>
            </w:hyperlink>
          </w:p>
          <w:p w14:paraId="5EF682CB" w14:textId="77777777" w:rsidR="0049056D" w:rsidRDefault="00EC6EE0" w:rsidP="000B0224">
            <w:pPr>
              <w:pStyle w:val="ListParagraph"/>
              <w:numPr>
                <w:ilvl w:val="0"/>
                <w:numId w:val="5"/>
              </w:numPr>
              <w:shd w:val="clear" w:color="auto" w:fill="FFFFFF"/>
              <w:spacing w:beforeAutospacing="1" w:afterAutospacing="1"/>
              <w:rPr>
                <w:color w:val="000000" w:themeColor="text1"/>
              </w:rPr>
            </w:pPr>
            <w:r w:rsidRPr="004E200C">
              <w:rPr>
                <w:color w:val="000000" w:themeColor="text1"/>
              </w:rPr>
              <w:t>(</w:t>
            </w:r>
            <w:proofErr w:type="gramStart"/>
            <w:r w:rsidRPr="004E200C">
              <w:rPr>
                <w:color w:val="000000" w:themeColor="text1"/>
              </w:rPr>
              <w:t>Optional )</w:t>
            </w:r>
            <w:proofErr w:type="gramEnd"/>
            <w:r w:rsidRPr="004E200C">
              <w:rPr>
                <w:color w:val="000000" w:themeColor="text1"/>
              </w:rPr>
              <w:t xml:space="preserve"> District Court Upholds OCC and FDIC’s “Valid when Made” Rules, Skadden</w:t>
            </w:r>
          </w:p>
          <w:p w14:paraId="1AC0A741" w14:textId="73E7D73E" w:rsidR="00EC6EE0" w:rsidRPr="004E200C" w:rsidRDefault="000B0224" w:rsidP="0049056D">
            <w:pPr>
              <w:pStyle w:val="ListParagraph"/>
              <w:shd w:val="clear" w:color="auto" w:fill="FFFFFF"/>
              <w:spacing w:beforeAutospacing="1" w:afterAutospacing="1"/>
              <w:rPr>
                <w:color w:val="000000" w:themeColor="text1"/>
              </w:rPr>
            </w:pPr>
            <w:hyperlink r:id="rId29" w:history="1">
              <w:r w:rsidR="0049056D" w:rsidRPr="00721154">
                <w:rPr>
                  <w:rStyle w:val="Hyperlink"/>
                </w:rPr>
                <w:t>https://www.skadden.com/insights/publications/2022/02/district-court-upholds-occ-and-fdic-valid-when-made-rules</w:t>
              </w:r>
              <w:r w:rsidR="0049056D" w:rsidRPr="00721154">
                <w:rPr>
                  <w:rStyle w:val="Hyperlink"/>
                  <w:bdr w:val="none" w:sz="0" w:space="0" w:color="auto" w:frame="1"/>
                </w:rPr>
                <w:t>Links to an external site.</w:t>
              </w:r>
            </w:hyperlink>
          </w:p>
          <w:p w14:paraId="026E7C39" w14:textId="65E98CA1" w:rsidR="00EC6EE0" w:rsidRPr="004E200C" w:rsidRDefault="00EC6EE0" w:rsidP="00EC6EE0">
            <w:pPr>
              <w:rPr>
                <w:b/>
                <w:bCs/>
                <w:color w:val="000000" w:themeColor="text1"/>
              </w:rPr>
            </w:pPr>
          </w:p>
        </w:tc>
      </w:tr>
      <w:tr w:rsidR="00EC6EE0" w:rsidRPr="004E200C" w14:paraId="72EB35B8" w14:textId="77777777" w:rsidTr="00D71CB4">
        <w:tc>
          <w:tcPr>
            <w:tcW w:w="895" w:type="dxa"/>
          </w:tcPr>
          <w:p w14:paraId="40E02D73" w14:textId="002D9C1C" w:rsidR="00EC6EE0" w:rsidRPr="004E200C" w:rsidRDefault="00EC6EE0" w:rsidP="00EC6EE0">
            <w:pPr>
              <w:rPr>
                <w:color w:val="000000" w:themeColor="text1"/>
              </w:rPr>
            </w:pPr>
            <w:r w:rsidRPr="004E200C">
              <w:rPr>
                <w:color w:val="000000" w:themeColor="text1"/>
              </w:rPr>
              <w:t>9</w:t>
            </w:r>
          </w:p>
          <w:p w14:paraId="4C5A26BD" w14:textId="04138E4A" w:rsidR="00EC6EE0" w:rsidRPr="004E200C" w:rsidRDefault="00EC6EE0" w:rsidP="00EC6EE0">
            <w:pPr>
              <w:rPr>
                <w:color w:val="000000" w:themeColor="text1"/>
              </w:rPr>
            </w:pPr>
            <w:r w:rsidRPr="004E200C">
              <w:rPr>
                <w:color w:val="000000" w:themeColor="text1"/>
              </w:rPr>
              <w:t>10/17</w:t>
            </w:r>
          </w:p>
        </w:tc>
        <w:tc>
          <w:tcPr>
            <w:tcW w:w="8453" w:type="dxa"/>
          </w:tcPr>
          <w:p w14:paraId="773F9491" w14:textId="77777777" w:rsidR="00EC6EE0" w:rsidRPr="00FA6947" w:rsidRDefault="00EC6EE0" w:rsidP="00EC6EE0">
            <w:pPr>
              <w:rPr>
                <w:b/>
                <w:bCs/>
                <w:color w:val="000000" w:themeColor="text1"/>
              </w:rPr>
            </w:pPr>
            <w:r w:rsidRPr="00FA6947">
              <w:rPr>
                <w:b/>
                <w:bCs/>
                <w:color w:val="000000" w:themeColor="text1"/>
              </w:rPr>
              <w:t>Payment</w:t>
            </w:r>
          </w:p>
          <w:p w14:paraId="71CA2F12" w14:textId="77777777" w:rsidR="00FA6947" w:rsidRPr="00FA6947" w:rsidRDefault="005A22FB" w:rsidP="000B0224">
            <w:pPr>
              <w:pStyle w:val="ListParagraph"/>
              <w:numPr>
                <w:ilvl w:val="0"/>
                <w:numId w:val="11"/>
              </w:numPr>
              <w:rPr>
                <w:color w:val="000000" w:themeColor="text1"/>
                <w:lang w:eastAsia="en-US"/>
              </w:rPr>
            </w:pPr>
            <w:r w:rsidRPr="00FA6947">
              <w:t>Fintech Law and Policy </w:t>
            </w:r>
          </w:p>
          <w:p w14:paraId="3448ECFB" w14:textId="0A797D57" w:rsidR="00FA6947" w:rsidRPr="00FA6947" w:rsidRDefault="000B0224" w:rsidP="000B0224">
            <w:pPr>
              <w:pStyle w:val="ListParagraph"/>
              <w:numPr>
                <w:ilvl w:val="1"/>
                <w:numId w:val="11"/>
              </w:numPr>
              <w:rPr>
                <w:rStyle w:val="instructurefileholder"/>
                <w:color w:val="000000" w:themeColor="text1"/>
                <w:lang w:eastAsia="en-US"/>
              </w:rPr>
            </w:pPr>
            <w:hyperlink r:id="rId30" w:tgtFrame="_blank" w:tooltip="Chapter 5 payment .pdf" w:history="1">
              <w:r w:rsidR="005A22FB" w:rsidRPr="00FA6947">
                <w:rPr>
                  <w:rStyle w:val="Hyperlink"/>
                  <w:color w:val="000000" w:themeColor="text1"/>
                  <w:u w:val="none"/>
                </w:rPr>
                <w:t>Chapter 5 Payment </w:t>
              </w:r>
            </w:hyperlink>
          </w:p>
          <w:p w14:paraId="458FE963" w14:textId="77777777" w:rsidR="00FA6947" w:rsidRDefault="00B4241B" w:rsidP="000B0224">
            <w:pPr>
              <w:pStyle w:val="ListParagraph"/>
              <w:numPr>
                <w:ilvl w:val="0"/>
                <w:numId w:val="11"/>
              </w:numPr>
              <w:rPr>
                <w:lang w:eastAsia="en-US"/>
              </w:rPr>
            </w:pPr>
            <w:r w:rsidRPr="00FA6947">
              <w:t>Fintech Law in a Nutshell</w:t>
            </w:r>
            <w:r w:rsidR="00FA6947">
              <w:t xml:space="preserve"> </w:t>
            </w:r>
          </w:p>
          <w:p w14:paraId="031A9F39" w14:textId="77777777" w:rsidR="00FA6947" w:rsidRDefault="00FA6947" w:rsidP="000B0224">
            <w:pPr>
              <w:pStyle w:val="ListParagraph"/>
              <w:numPr>
                <w:ilvl w:val="1"/>
                <w:numId w:val="11"/>
              </w:numPr>
              <w:rPr>
                <w:lang w:eastAsia="en-US"/>
              </w:rPr>
            </w:pPr>
            <w:r>
              <w:t>Payment c</w:t>
            </w:r>
            <w:r w:rsidR="00B4241B" w:rsidRPr="00FA6947">
              <w:t xml:space="preserve">hapter </w:t>
            </w:r>
          </w:p>
          <w:p w14:paraId="467866BC" w14:textId="140A2406" w:rsidR="00FA6947" w:rsidRDefault="00FA6947" w:rsidP="000B0224">
            <w:pPr>
              <w:pStyle w:val="ListParagraph"/>
              <w:numPr>
                <w:ilvl w:val="1"/>
                <w:numId w:val="11"/>
              </w:numPr>
              <w:rPr>
                <w:lang w:eastAsia="en-US"/>
              </w:rPr>
            </w:pPr>
            <w:r w:rsidRPr="00FA6947">
              <w:t>Chapter 7, Anti-Money Laundering and Compliance </w:t>
            </w:r>
          </w:p>
          <w:p w14:paraId="5BFBF5A5" w14:textId="77777777" w:rsidR="00FA6947" w:rsidRDefault="00B4241B" w:rsidP="000B0224">
            <w:pPr>
              <w:pStyle w:val="ListParagraph"/>
              <w:numPr>
                <w:ilvl w:val="0"/>
                <w:numId w:val="11"/>
              </w:numPr>
              <w:rPr>
                <w:lang w:eastAsia="en-US"/>
              </w:rPr>
            </w:pPr>
            <w:r w:rsidRPr="00FA6947">
              <w:t>Barrer v. Chase Bank USA</w:t>
            </w:r>
          </w:p>
          <w:p w14:paraId="4254BD42" w14:textId="104D1159" w:rsidR="00FA6947" w:rsidRPr="00FA6947" w:rsidRDefault="000B0224" w:rsidP="00FA6947">
            <w:pPr>
              <w:pStyle w:val="ListParagraph"/>
              <w:rPr>
                <w:lang w:eastAsia="en-US"/>
              </w:rPr>
            </w:pPr>
            <w:hyperlink r:id="rId31" w:history="1">
              <w:r w:rsidR="00FA6947" w:rsidRPr="00721154">
                <w:rPr>
                  <w:rStyle w:val="Hyperlink"/>
                </w:rPr>
                <w:t>https://casetext.com/case/barrer-v-chase-bank</w:t>
              </w:r>
              <w:r w:rsidR="00FA6947" w:rsidRPr="00721154">
                <w:rPr>
                  <w:rStyle w:val="Hyperlink"/>
                  <w:rFonts w:eastAsiaTheme="majorEastAsia"/>
                  <w:bdr w:val="none" w:sz="0" w:space="0" w:color="auto" w:frame="1"/>
                </w:rPr>
                <w:t>Links to an external site.</w:t>
              </w:r>
            </w:hyperlink>
          </w:p>
          <w:p w14:paraId="686AC45E" w14:textId="77777777" w:rsidR="00FA6947" w:rsidRDefault="00B4241B" w:rsidP="000B0224">
            <w:pPr>
              <w:pStyle w:val="ListParagraph"/>
              <w:numPr>
                <w:ilvl w:val="0"/>
                <w:numId w:val="11"/>
              </w:numPr>
              <w:rPr>
                <w:lang w:eastAsia="en-US"/>
              </w:rPr>
            </w:pPr>
            <w:r w:rsidRPr="00FA6947">
              <w:t>FTC v. Capital City </w:t>
            </w:r>
          </w:p>
          <w:p w14:paraId="79DFF9C1" w14:textId="77777777" w:rsidR="00FA6947" w:rsidRDefault="000B0224" w:rsidP="00FA6947">
            <w:pPr>
              <w:pStyle w:val="ListParagraph"/>
            </w:pPr>
            <w:hyperlink r:id="rId32" w:history="1">
              <w:r w:rsidR="00FA6947" w:rsidRPr="00721154">
                <w:rPr>
                  <w:rStyle w:val="Hyperlink"/>
                </w:rPr>
                <w:t>https://www.ftc.gov/sites/default/files/documents/cases/1998/01/capitcmp.pdf</w:t>
              </w:r>
            </w:hyperlink>
          </w:p>
          <w:p w14:paraId="6B21043B" w14:textId="77777777" w:rsidR="00FA6947" w:rsidRDefault="00FA6947" w:rsidP="000B0224">
            <w:pPr>
              <w:pStyle w:val="ListParagraph"/>
              <w:numPr>
                <w:ilvl w:val="0"/>
                <w:numId w:val="11"/>
              </w:numPr>
              <w:rPr>
                <w:lang w:eastAsia="en-US"/>
              </w:rPr>
            </w:pPr>
            <w:r w:rsidRPr="00FA6947">
              <w:t>Criminal charges against U.S. Bancorp</w:t>
            </w:r>
          </w:p>
          <w:p w14:paraId="63D6F9FA" w14:textId="06B24B05" w:rsidR="00FA6947" w:rsidRPr="00FA6947" w:rsidRDefault="000B0224" w:rsidP="00FA6947">
            <w:pPr>
              <w:pStyle w:val="ListParagraph"/>
              <w:rPr>
                <w:lang w:eastAsia="en-US"/>
              </w:rPr>
            </w:pPr>
            <w:hyperlink r:id="rId33" w:history="1">
              <w:r w:rsidR="00FA6947" w:rsidRPr="00721154">
                <w:rPr>
                  <w:rStyle w:val="Hyperlink"/>
                </w:rPr>
                <w:t>https://www.justice.gov/usao-sdny/press-release/file/1035076/download</w:t>
              </w:r>
              <w:r w:rsidR="00FA6947" w:rsidRPr="00721154">
                <w:rPr>
                  <w:rStyle w:val="Hyperlink"/>
                  <w:rFonts w:eastAsiaTheme="majorEastAsia"/>
                  <w:bdr w:val="none" w:sz="0" w:space="0" w:color="auto" w:frame="1"/>
                </w:rPr>
                <w:t>Links to an external site.</w:t>
              </w:r>
            </w:hyperlink>
          </w:p>
          <w:p w14:paraId="398D0AFC" w14:textId="4BC4F6FF" w:rsidR="005A22FB" w:rsidRPr="00FA6947" w:rsidRDefault="005A22FB" w:rsidP="005A22FB">
            <w:pPr>
              <w:rPr>
                <w:b/>
                <w:bCs/>
                <w:color w:val="000000" w:themeColor="text1"/>
              </w:rPr>
            </w:pPr>
          </w:p>
        </w:tc>
      </w:tr>
      <w:tr w:rsidR="00D71CB4" w:rsidRPr="004E200C" w14:paraId="192C4ECE" w14:textId="77777777" w:rsidTr="00D71CB4">
        <w:tc>
          <w:tcPr>
            <w:tcW w:w="895" w:type="dxa"/>
          </w:tcPr>
          <w:p w14:paraId="3E8925D3" w14:textId="77777777" w:rsidR="00D71CB4" w:rsidRDefault="00D71CB4" w:rsidP="00EC6EE0">
            <w:pPr>
              <w:rPr>
                <w:color w:val="000000" w:themeColor="text1"/>
              </w:rPr>
            </w:pPr>
            <w:r>
              <w:rPr>
                <w:color w:val="000000" w:themeColor="text1"/>
              </w:rPr>
              <w:lastRenderedPageBreak/>
              <w:t>10/24</w:t>
            </w:r>
          </w:p>
          <w:p w14:paraId="67609469" w14:textId="05F73C67" w:rsidR="00D71CB4" w:rsidRPr="004E200C" w:rsidRDefault="00D71CB4" w:rsidP="00EC6EE0">
            <w:pPr>
              <w:rPr>
                <w:color w:val="000000" w:themeColor="text1"/>
              </w:rPr>
            </w:pPr>
            <w:r>
              <w:rPr>
                <w:color w:val="000000" w:themeColor="text1"/>
              </w:rPr>
              <w:t>or 10/31</w:t>
            </w:r>
          </w:p>
        </w:tc>
        <w:tc>
          <w:tcPr>
            <w:tcW w:w="8453" w:type="dxa"/>
          </w:tcPr>
          <w:p w14:paraId="7F2A69DD" w14:textId="520156A6" w:rsidR="00A11218" w:rsidRPr="004E200C" w:rsidRDefault="00D71CB4" w:rsidP="00EC6EE0">
            <w:pPr>
              <w:rPr>
                <w:b/>
                <w:bCs/>
                <w:color w:val="000000" w:themeColor="text1"/>
              </w:rPr>
            </w:pPr>
            <w:r>
              <w:rPr>
                <w:b/>
                <w:bCs/>
                <w:color w:val="000000" w:themeColor="text1"/>
              </w:rPr>
              <w:t>Your first draft due a week before your</w:t>
            </w:r>
            <w:r w:rsidR="00A11218">
              <w:rPr>
                <w:b/>
                <w:bCs/>
                <w:color w:val="000000" w:themeColor="text1"/>
              </w:rPr>
              <w:t xml:space="preserve"> scheduled</w:t>
            </w:r>
            <w:r>
              <w:rPr>
                <w:b/>
                <w:bCs/>
                <w:color w:val="000000" w:themeColor="text1"/>
              </w:rPr>
              <w:t xml:space="preserve"> presentation </w:t>
            </w:r>
          </w:p>
        </w:tc>
      </w:tr>
      <w:tr w:rsidR="00EC6EE0" w:rsidRPr="004E200C" w14:paraId="53689C2E" w14:textId="77777777" w:rsidTr="00D71CB4">
        <w:tc>
          <w:tcPr>
            <w:tcW w:w="895" w:type="dxa"/>
          </w:tcPr>
          <w:p w14:paraId="471D3F71" w14:textId="77777777" w:rsidR="00EC6EE0" w:rsidRPr="004E200C" w:rsidRDefault="00EC6EE0" w:rsidP="00EC6EE0">
            <w:pPr>
              <w:rPr>
                <w:color w:val="000000" w:themeColor="text1"/>
              </w:rPr>
            </w:pPr>
            <w:r w:rsidRPr="004E200C">
              <w:rPr>
                <w:color w:val="000000" w:themeColor="text1"/>
              </w:rPr>
              <w:t>10</w:t>
            </w:r>
          </w:p>
          <w:p w14:paraId="72743C17" w14:textId="57B5801E" w:rsidR="00EC6EE0" w:rsidRPr="004E200C" w:rsidRDefault="00EC6EE0" w:rsidP="00EC6EE0">
            <w:pPr>
              <w:rPr>
                <w:color w:val="000000" w:themeColor="text1"/>
              </w:rPr>
            </w:pPr>
            <w:r w:rsidRPr="004E200C">
              <w:rPr>
                <w:color w:val="000000" w:themeColor="text1"/>
              </w:rPr>
              <w:t xml:space="preserve">10/24 </w:t>
            </w:r>
          </w:p>
        </w:tc>
        <w:tc>
          <w:tcPr>
            <w:tcW w:w="8453" w:type="dxa"/>
          </w:tcPr>
          <w:p w14:paraId="4D3F0306" w14:textId="2320CEEE" w:rsidR="00EC6EE0" w:rsidRPr="004E200C" w:rsidRDefault="00EC6EE0" w:rsidP="00EC6EE0">
            <w:pPr>
              <w:rPr>
                <w:b/>
                <w:bCs/>
                <w:color w:val="000000" w:themeColor="text1"/>
              </w:rPr>
            </w:pPr>
            <w:r w:rsidRPr="004E200C">
              <w:rPr>
                <w:b/>
                <w:bCs/>
                <w:color w:val="000000" w:themeColor="text1"/>
              </w:rPr>
              <w:t xml:space="preserve">Fintech Startup from a Legal Perspective </w:t>
            </w:r>
          </w:p>
          <w:p w14:paraId="64507490" w14:textId="77777777" w:rsidR="00EC6EE0" w:rsidRPr="004E200C" w:rsidRDefault="00EC6EE0" w:rsidP="00EC6EE0">
            <w:pPr>
              <w:rPr>
                <w:b/>
                <w:bCs/>
                <w:color w:val="000000" w:themeColor="text1"/>
              </w:rPr>
            </w:pPr>
          </w:p>
          <w:p w14:paraId="0C6957E6" w14:textId="0563E4E2" w:rsidR="00EC6EE0" w:rsidRPr="004E200C" w:rsidRDefault="00EC6EE0" w:rsidP="00EC6EE0">
            <w:pPr>
              <w:rPr>
                <w:b/>
                <w:bCs/>
                <w:color w:val="000000" w:themeColor="text1"/>
              </w:rPr>
            </w:pPr>
            <w:r w:rsidRPr="004E200C">
              <w:rPr>
                <w:b/>
                <w:bCs/>
                <w:color w:val="000000" w:themeColor="text1"/>
              </w:rPr>
              <w:t>Guest speaker:  Kristina Subbotina Esq.</w:t>
            </w:r>
          </w:p>
          <w:p w14:paraId="79E467EF" w14:textId="0FD7F49E" w:rsidR="00EC6EE0" w:rsidRPr="004E200C" w:rsidRDefault="00EC6EE0" w:rsidP="00EC6EE0">
            <w:pPr>
              <w:rPr>
                <w:b/>
                <w:bCs/>
                <w:color w:val="000000" w:themeColor="text1"/>
              </w:rPr>
            </w:pPr>
            <w:r w:rsidRPr="004E200C">
              <w:rPr>
                <w:b/>
                <w:bCs/>
                <w:color w:val="000000" w:themeColor="text1"/>
              </w:rPr>
              <w:t xml:space="preserve">Former Cooley attorney, now startup founder </w:t>
            </w:r>
          </w:p>
          <w:p w14:paraId="70324406" w14:textId="644D4B5B" w:rsidR="00EC6EE0" w:rsidRPr="004E200C" w:rsidRDefault="00EC6EE0" w:rsidP="00EC6EE0">
            <w:pPr>
              <w:rPr>
                <w:b/>
                <w:bCs/>
                <w:color w:val="000000" w:themeColor="text1"/>
              </w:rPr>
            </w:pPr>
          </w:p>
        </w:tc>
      </w:tr>
      <w:tr w:rsidR="00EC6EE0" w:rsidRPr="004E200C" w14:paraId="4408BE6C" w14:textId="77777777" w:rsidTr="00D71CB4">
        <w:tc>
          <w:tcPr>
            <w:tcW w:w="895" w:type="dxa"/>
          </w:tcPr>
          <w:p w14:paraId="74692D3A" w14:textId="77777777" w:rsidR="00EC6EE0" w:rsidRPr="004E200C" w:rsidRDefault="00EC6EE0" w:rsidP="00EC6EE0">
            <w:pPr>
              <w:rPr>
                <w:color w:val="000000" w:themeColor="text1"/>
              </w:rPr>
            </w:pPr>
            <w:r w:rsidRPr="004E200C">
              <w:rPr>
                <w:color w:val="000000" w:themeColor="text1"/>
              </w:rPr>
              <w:t>11</w:t>
            </w:r>
          </w:p>
          <w:p w14:paraId="6F3C703E" w14:textId="1E866DF3" w:rsidR="00EC6EE0" w:rsidRPr="004E200C" w:rsidRDefault="00EC6EE0" w:rsidP="00EC6EE0">
            <w:pPr>
              <w:rPr>
                <w:color w:val="000000" w:themeColor="text1"/>
              </w:rPr>
            </w:pPr>
            <w:r w:rsidRPr="004E200C">
              <w:rPr>
                <w:color w:val="000000" w:themeColor="text1"/>
              </w:rPr>
              <w:t>10/31</w:t>
            </w:r>
          </w:p>
        </w:tc>
        <w:tc>
          <w:tcPr>
            <w:tcW w:w="8453" w:type="dxa"/>
          </w:tcPr>
          <w:p w14:paraId="7CAAEB10" w14:textId="0935C65D" w:rsidR="00EC6EE0" w:rsidRPr="004E200C" w:rsidRDefault="00EC6EE0" w:rsidP="00EC6EE0">
            <w:pPr>
              <w:rPr>
                <w:b/>
                <w:bCs/>
                <w:color w:val="000000" w:themeColor="text1"/>
              </w:rPr>
            </w:pPr>
            <w:r w:rsidRPr="004E200C">
              <w:rPr>
                <w:b/>
                <w:bCs/>
                <w:color w:val="000000" w:themeColor="text1"/>
              </w:rPr>
              <w:t xml:space="preserve">Student </w:t>
            </w:r>
            <w:r w:rsidR="00B80B03">
              <w:rPr>
                <w:b/>
                <w:bCs/>
                <w:color w:val="000000" w:themeColor="text1"/>
              </w:rPr>
              <w:t>P</w:t>
            </w:r>
            <w:r w:rsidRPr="004E200C">
              <w:rPr>
                <w:b/>
                <w:bCs/>
                <w:color w:val="000000" w:themeColor="text1"/>
              </w:rPr>
              <w:t>resentation</w:t>
            </w:r>
            <w:r>
              <w:rPr>
                <w:b/>
                <w:bCs/>
                <w:color w:val="000000" w:themeColor="text1"/>
              </w:rPr>
              <w:t>s</w:t>
            </w:r>
          </w:p>
        </w:tc>
      </w:tr>
      <w:tr w:rsidR="00EC6EE0" w:rsidRPr="004E200C" w14:paraId="629B0CB9" w14:textId="77777777" w:rsidTr="00D71CB4">
        <w:tc>
          <w:tcPr>
            <w:tcW w:w="895" w:type="dxa"/>
          </w:tcPr>
          <w:p w14:paraId="53B7C938" w14:textId="77777777" w:rsidR="00EC6EE0" w:rsidRPr="004E200C" w:rsidRDefault="00EC6EE0" w:rsidP="00EC6EE0">
            <w:pPr>
              <w:rPr>
                <w:color w:val="000000" w:themeColor="text1"/>
              </w:rPr>
            </w:pPr>
            <w:r w:rsidRPr="004E200C">
              <w:rPr>
                <w:color w:val="000000" w:themeColor="text1"/>
              </w:rPr>
              <w:t>12</w:t>
            </w:r>
          </w:p>
          <w:p w14:paraId="1E7E0795" w14:textId="3BD10617" w:rsidR="00EC6EE0" w:rsidRPr="004E200C" w:rsidRDefault="00EC6EE0" w:rsidP="00EC6EE0">
            <w:pPr>
              <w:rPr>
                <w:color w:val="000000" w:themeColor="text1"/>
              </w:rPr>
            </w:pPr>
            <w:r w:rsidRPr="004E200C">
              <w:rPr>
                <w:color w:val="000000" w:themeColor="text1"/>
              </w:rPr>
              <w:t>11/7</w:t>
            </w:r>
          </w:p>
        </w:tc>
        <w:tc>
          <w:tcPr>
            <w:tcW w:w="8453" w:type="dxa"/>
          </w:tcPr>
          <w:p w14:paraId="63F5AA81" w14:textId="10B884E0" w:rsidR="00EC6EE0" w:rsidRPr="004E200C" w:rsidRDefault="00EC6EE0" w:rsidP="00EC6EE0">
            <w:pPr>
              <w:rPr>
                <w:b/>
                <w:bCs/>
                <w:color w:val="000000" w:themeColor="text1"/>
              </w:rPr>
            </w:pPr>
            <w:r w:rsidRPr="004E200C">
              <w:rPr>
                <w:b/>
                <w:bCs/>
                <w:color w:val="000000" w:themeColor="text1"/>
              </w:rPr>
              <w:t xml:space="preserve">Student </w:t>
            </w:r>
            <w:r w:rsidR="00B80B03">
              <w:rPr>
                <w:b/>
                <w:bCs/>
                <w:color w:val="000000" w:themeColor="text1"/>
              </w:rPr>
              <w:t>P</w:t>
            </w:r>
            <w:r w:rsidRPr="004E200C">
              <w:rPr>
                <w:b/>
                <w:bCs/>
                <w:color w:val="000000" w:themeColor="text1"/>
              </w:rPr>
              <w:t>resentation</w:t>
            </w:r>
            <w:r>
              <w:rPr>
                <w:b/>
                <w:bCs/>
                <w:color w:val="000000" w:themeColor="text1"/>
              </w:rPr>
              <w:t>s</w:t>
            </w:r>
          </w:p>
        </w:tc>
      </w:tr>
      <w:tr w:rsidR="00EC6EE0" w:rsidRPr="004E200C" w14:paraId="7F27995A" w14:textId="77777777" w:rsidTr="00D71CB4">
        <w:tc>
          <w:tcPr>
            <w:tcW w:w="895" w:type="dxa"/>
          </w:tcPr>
          <w:p w14:paraId="4DE66847" w14:textId="77777777" w:rsidR="00EC6EE0" w:rsidRPr="004E200C" w:rsidRDefault="00EC6EE0" w:rsidP="00EC6EE0">
            <w:pPr>
              <w:rPr>
                <w:color w:val="000000" w:themeColor="text1"/>
              </w:rPr>
            </w:pPr>
            <w:r w:rsidRPr="004E200C">
              <w:rPr>
                <w:color w:val="000000" w:themeColor="text1"/>
              </w:rPr>
              <w:t>13</w:t>
            </w:r>
          </w:p>
          <w:p w14:paraId="1E158661" w14:textId="3A44102B" w:rsidR="00EC6EE0" w:rsidRPr="004E200C" w:rsidRDefault="00EC6EE0" w:rsidP="00EC6EE0">
            <w:pPr>
              <w:rPr>
                <w:color w:val="000000" w:themeColor="text1"/>
              </w:rPr>
            </w:pPr>
            <w:r w:rsidRPr="004E200C">
              <w:rPr>
                <w:color w:val="000000" w:themeColor="text1"/>
              </w:rPr>
              <w:t>11/14</w:t>
            </w:r>
          </w:p>
        </w:tc>
        <w:tc>
          <w:tcPr>
            <w:tcW w:w="8453" w:type="dxa"/>
          </w:tcPr>
          <w:p w14:paraId="1906574F" w14:textId="5CDF4383" w:rsidR="00EC6EE0" w:rsidRDefault="00EC6EE0" w:rsidP="00EC6EE0">
            <w:pPr>
              <w:rPr>
                <w:b/>
                <w:bCs/>
                <w:color w:val="000000" w:themeColor="text1"/>
              </w:rPr>
            </w:pPr>
            <w:r w:rsidRPr="004E200C">
              <w:rPr>
                <w:b/>
                <w:bCs/>
                <w:color w:val="000000" w:themeColor="text1"/>
              </w:rPr>
              <w:t xml:space="preserve">CBDC </w:t>
            </w:r>
            <w:r w:rsidR="00B80B03">
              <w:rPr>
                <w:b/>
                <w:bCs/>
                <w:color w:val="000000" w:themeColor="text1"/>
              </w:rPr>
              <w:t>W</w:t>
            </w:r>
            <w:r w:rsidRPr="004E200C">
              <w:rPr>
                <w:b/>
                <w:bCs/>
                <w:color w:val="000000" w:themeColor="text1"/>
              </w:rPr>
              <w:t xml:space="preserve">orkshop 8:00-10:30 am </w:t>
            </w:r>
          </w:p>
          <w:p w14:paraId="3AD10131" w14:textId="2C60C2F6" w:rsidR="00EB35C2" w:rsidRPr="004E200C" w:rsidRDefault="00EB35C2" w:rsidP="00EC6EE0">
            <w:pPr>
              <w:rPr>
                <w:b/>
                <w:bCs/>
                <w:color w:val="000000" w:themeColor="text1"/>
              </w:rPr>
            </w:pPr>
          </w:p>
        </w:tc>
      </w:tr>
      <w:tr w:rsidR="00B80B03" w:rsidRPr="004E200C" w14:paraId="2CBC72A8" w14:textId="77777777" w:rsidTr="00D71CB4">
        <w:tc>
          <w:tcPr>
            <w:tcW w:w="895" w:type="dxa"/>
          </w:tcPr>
          <w:p w14:paraId="2E7962A1" w14:textId="0B216B0E" w:rsidR="00B80B03" w:rsidRPr="004E200C" w:rsidRDefault="00B80B03" w:rsidP="00EC6EE0">
            <w:pPr>
              <w:rPr>
                <w:color w:val="000000" w:themeColor="text1"/>
              </w:rPr>
            </w:pPr>
            <w:r>
              <w:rPr>
                <w:color w:val="000000" w:themeColor="text1"/>
              </w:rPr>
              <w:t>12/14</w:t>
            </w:r>
          </w:p>
        </w:tc>
        <w:tc>
          <w:tcPr>
            <w:tcW w:w="8453" w:type="dxa"/>
          </w:tcPr>
          <w:p w14:paraId="01C99096" w14:textId="066CC69A" w:rsidR="00B80B03" w:rsidRPr="004E200C" w:rsidRDefault="00B80B03" w:rsidP="00EC6EE0">
            <w:pPr>
              <w:rPr>
                <w:b/>
                <w:bCs/>
                <w:color w:val="000000" w:themeColor="text1"/>
              </w:rPr>
            </w:pPr>
            <w:r>
              <w:rPr>
                <w:b/>
                <w:bCs/>
                <w:color w:val="000000" w:themeColor="text1"/>
              </w:rPr>
              <w:t xml:space="preserve">Final paper due </w:t>
            </w:r>
          </w:p>
        </w:tc>
      </w:tr>
    </w:tbl>
    <w:p w14:paraId="04CC5B85" w14:textId="77777777" w:rsidR="000A717E" w:rsidRPr="009D7405" w:rsidRDefault="000A717E" w:rsidP="000A717E"/>
    <w:sectPr w:rsidR="000A717E" w:rsidRPr="009D7405">
      <w:headerReference w:type="even" r:id="rId34"/>
      <w:headerReference w:type="default" r:id="rId35"/>
      <w:footerReference w:type="even" r:id="rId36"/>
      <w:footerReference w:type="default" r:id="rId37"/>
      <w:headerReference w:type="first" r:id="rId38"/>
      <w:footerReference w:type="first" r:id="rId39"/>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FDA4" w14:textId="77777777" w:rsidR="006B10BE" w:rsidRDefault="006B10BE">
      <w:r>
        <w:separator/>
      </w:r>
    </w:p>
  </w:endnote>
  <w:endnote w:type="continuationSeparator" w:id="0">
    <w:p w14:paraId="34648BAB" w14:textId="77777777" w:rsidR="006B10BE" w:rsidRDefault="006B10BE">
      <w:r>
        <w:continuationSeparator/>
      </w:r>
    </w:p>
  </w:endnote>
  <w:endnote w:type="continuationNotice" w:id="1">
    <w:p w14:paraId="3F0B3A0D" w14:textId="77777777" w:rsidR="006B10BE" w:rsidRDefault="006B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9F9A" w14:textId="77777777" w:rsidR="006B10BE" w:rsidRDefault="006B10BE">
      <w:r>
        <w:separator/>
      </w:r>
    </w:p>
  </w:footnote>
  <w:footnote w:type="continuationSeparator" w:id="0">
    <w:p w14:paraId="0A342F7F" w14:textId="77777777" w:rsidR="006B10BE" w:rsidRDefault="006B10BE">
      <w:r>
        <w:continuationSeparator/>
      </w:r>
    </w:p>
  </w:footnote>
  <w:footnote w:type="continuationNotice" w:id="1">
    <w:p w14:paraId="4461627E" w14:textId="77777777" w:rsidR="006B10BE" w:rsidRDefault="006B1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A5623F7"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11C"/>
    <w:multiLevelType w:val="hybridMultilevel"/>
    <w:tmpl w:val="1EB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0251"/>
    <w:multiLevelType w:val="multilevel"/>
    <w:tmpl w:val="4EF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A040A"/>
    <w:multiLevelType w:val="multilevel"/>
    <w:tmpl w:val="4EF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86AA0"/>
    <w:multiLevelType w:val="hybridMultilevel"/>
    <w:tmpl w:val="A6A4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0C2C"/>
    <w:multiLevelType w:val="multilevel"/>
    <w:tmpl w:val="2208EA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61319"/>
    <w:multiLevelType w:val="hybridMultilevel"/>
    <w:tmpl w:val="A8F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0532D"/>
    <w:multiLevelType w:val="multilevel"/>
    <w:tmpl w:val="4EF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E76B1"/>
    <w:multiLevelType w:val="multilevel"/>
    <w:tmpl w:val="4EF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26D0B"/>
    <w:multiLevelType w:val="hybridMultilevel"/>
    <w:tmpl w:val="70F8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B553E"/>
    <w:multiLevelType w:val="hybridMultilevel"/>
    <w:tmpl w:val="27EABE48"/>
    <w:lvl w:ilvl="0" w:tplc="D29E88EA">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012407">
    <w:abstractNumId w:val="8"/>
  </w:num>
  <w:num w:numId="2" w16cid:durableId="1388647274">
    <w:abstractNumId w:val="5"/>
  </w:num>
  <w:num w:numId="3" w16cid:durableId="326133601">
    <w:abstractNumId w:val="6"/>
  </w:num>
  <w:num w:numId="4" w16cid:durableId="1256134468">
    <w:abstractNumId w:val="7"/>
  </w:num>
  <w:num w:numId="5" w16cid:durableId="942608286">
    <w:abstractNumId w:val="4"/>
  </w:num>
  <w:num w:numId="6" w16cid:durableId="378094922">
    <w:abstractNumId w:val="10"/>
  </w:num>
  <w:num w:numId="7" w16cid:durableId="1001196784">
    <w:abstractNumId w:val="0"/>
  </w:num>
  <w:num w:numId="8" w16cid:durableId="2125152511">
    <w:abstractNumId w:val="3"/>
  </w:num>
  <w:num w:numId="9" w16cid:durableId="2085756600">
    <w:abstractNumId w:val="2"/>
  </w:num>
  <w:num w:numId="10" w16cid:durableId="2146583498">
    <w:abstractNumId w:val="9"/>
  </w:num>
  <w:num w:numId="11" w16cid:durableId="69458208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1291"/>
    <w:rsid w:val="000065D4"/>
    <w:rsid w:val="00007C76"/>
    <w:rsid w:val="00007C84"/>
    <w:rsid w:val="00007CBA"/>
    <w:rsid w:val="00011AF6"/>
    <w:rsid w:val="00012276"/>
    <w:rsid w:val="00012699"/>
    <w:rsid w:val="00012816"/>
    <w:rsid w:val="00015FB7"/>
    <w:rsid w:val="00016E26"/>
    <w:rsid w:val="00017585"/>
    <w:rsid w:val="00020101"/>
    <w:rsid w:val="000215C7"/>
    <w:rsid w:val="000223B5"/>
    <w:rsid w:val="000258F9"/>
    <w:rsid w:val="000314F8"/>
    <w:rsid w:val="00040457"/>
    <w:rsid w:val="00040B0A"/>
    <w:rsid w:val="000463EC"/>
    <w:rsid w:val="00054F25"/>
    <w:rsid w:val="000613F1"/>
    <w:rsid w:val="00062264"/>
    <w:rsid w:val="0006289B"/>
    <w:rsid w:val="00063D2F"/>
    <w:rsid w:val="000656B1"/>
    <w:rsid w:val="000671F6"/>
    <w:rsid w:val="000702D2"/>
    <w:rsid w:val="00071128"/>
    <w:rsid w:val="000729C8"/>
    <w:rsid w:val="00073671"/>
    <w:rsid w:val="0007578F"/>
    <w:rsid w:val="000772ED"/>
    <w:rsid w:val="00080707"/>
    <w:rsid w:val="00080FC1"/>
    <w:rsid w:val="000838FA"/>
    <w:rsid w:val="000859CF"/>
    <w:rsid w:val="000867AB"/>
    <w:rsid w:val="00091930"/>
    <w:rsid w:val="000935FE"/>
    <w:rsid w:val="00097473"/>
    <w:rsid w:val="000A037C"/>
    <w:rsid w:val="000A1985"/>
    <w:rsid w:val="000A323B"/>
    <w:rsid w:val="000A37DB"/>
    <w:rsid w:val="000A3CF0"/>
    <w:rsid w:val="000A5242"/>
    <w:rsid w:val="000A6F11"/>
    <w:rsid w:val="000A717E"/>
    <w:rsid w:val="000B0224"/>
    <w:rsid w:val="000B1E3C"/>
    <w:rsid w:val="000B2830"/>
    <w:rsid w:val="000B3436"/>
    <w:rsid w:val="000B360F"/>
    <w:rsid w:val="000B768D"/>
    <w:rsid w:val="000C2723"/>
    <w:rsid w:val="000C2E14"/>
    <w:rsid w:val="000C45FC"/>
    <w:rsid w:val="000C5A95"/>
    <w:rsid w:val="000D1562"/>
    <w:rsid w:val="000D1D55"/>
    <w:rsid w:val="000D2CDE"/>
    <w:rsid w:val="000D58D9"/>
    <w:rsid w:val="000D5A73"/>
    <w:rsid w:val="000D6AE5"/>
    <w:rsid w:val="000E014F"/>
    <w:rsid w:val="000E03D1"/>
    <w:rsid w:val="000E2791"/>
    <w:rsid w:val="000E4DD1"/>
    <w:rsid w:val="000F23A7"/>
    <w:rsid w:val="000F3B96"/>
    <w:rsid w:val="000F6D98"/>
    <w:rsid w:val="001003BA"/>
    <w:rsid w:val="0010127E"/>
    <w:rsid w:val="0010285B"/>
    <w:rsid w:val="00104CEB"/>
    <w:rsid w:val="00106F56"/>
    <w:rsid w:val="00107AED"/>
    <w:rsid w:val="00111AC4"/>
    <w:rsid w:val="00116056"/>
    <w:rsid w:val="00117C31"/>
    <w:rsid w:val="001200C0"/>
    <w:rsid w:val="0012227E"/>
    <w:rsid w:val="0012289D"/>
    <w:rsid w:val="00122D01"/>
    <w:rsid w:val="0012350D"/>
    <w:rsid w:val="001238B2"/>
    <w:rsid w:val="00127E07"/>
    <w:rsid w:val="00133B43"/>
    <w:rsid w:val="0013463C"/>
    <w:rsid w:val="0013473A"/>
    <w:rsid w:val="00135C3B"/>
    <w:rsid w:val="001366FF"/>
    <w:rsid w:val="00136EAE"/>
    <w:rsid w:val="00141227"/>
    <w:rsid w:val="0014224E"/>
    <w:rsid w:val="0014281D"/>
    <w:rsid w:val="001431FA"/>
    <w:rsid w:val="00143D86"/>
    <w:rsid w:val="00143E24"/>
    <w:rsid w:val="00144780"/>
    <w:rsid w:val="00145737"/>
    <w:rsid w:val="00153606"/>
    <w:rsid w:val="00155A54"/>
    <w:rsid w:val="0016211E"/>
    <w:rsid w:val="00162522"/>
    <w:rsid w:val="0016319D"/>
    <w:rsid w:val="00165EC7"/>
    <w:rsid w:val="00166F9C"/>
    <w:rsid w:val="00167840"/>
    <w:rsid w:val="001704DC"/>
    <w:rsid w:val="001705E0"/>
    <w:rsid w:val="00174281"/>
    <w:rsid w:val="001772F6"/>
    <w:rsid w:val="00180A9B"/>
    <w:rsid w:val="0018240B"/>
    <w:rsid w:val="0018278C"/>
    <w:rsid w:val="0018459A"/>
    <w:rsid w:val="00185A47"/>
    <w:rsid w:val="001866DE"/>
    <w:rsid w:val="00187A1C"/>
    <w:rsid w:val="0019030B"/>
    <w:rsid w:val="001925EA"/>
    <w:rsid w:val="0019279A"/>
    <w:rsid w:val="0019375B"/>
    <w:rsid w:val="001937F5"/>
    <w:rsid w:val="00195EED"/>
    <w:rsid w:val="001A5766"/>
    <w:rsid w:val="001A7349"/>
    <w:rsid w:val="001B31BE"/>
    <w:rsid w:val="001B379B"/>
    <w:rsid w:val="001B3BEE"/>
    <w:rsid w:val="001B4333"/>
    <w:rsid w:val="001B5E91"/>
    <w:rsid w:val="001B72C6"/>
    <w:rsid w:val="001C0055"/>
    <w:rsid w:val="001C196B"/>
    <w:rsid w:val="001C4C96"/>
    <w:rsid w:val="001C52AB"/>
    <w:rsid w:val="001C643B"/>
    <w:rsid w:val="001C69C6"/>
    <w:rsid w:val="001D21F8"/>
    <w:rsid w:val="001D24E1"/>
    <w:rsid w:val="001D333D"/>
    <w:rsid w:val="001E2603"/>
    <w:rsid w:val="001E2A97"/>
    <w:rsid w:val="001E2FD6"/>
    <w:rsid w:val="001E49AA"/>
    <w:rsid w:val="001E6E88"/>
    <w:rsid w:val="001E75AB"/>
    <w:rsid w:val="00202F74"/>
    <w:rsid w:val="002059F0"/>
    <w:rsid w:val="00207A47"/>
    <w:rsid w:val="0021022A"/>
    <w:rsid w:val="00211B13"/>
    <w:rsid w:val="00221198"/>
    <w:rsid w:val="00223A11"/>
    <w:rsid w:val="002356F4"/>
    <w:rsid w:val="00236F33"/>
    <w:rsid w:val="00236FA1"/>
    <w:rsid w:val="00237589"/>
    <w:rsid w:val="00241107"/>
    <w:rsid w:val="00245B76"/>
    <w:rsid w:val="00270EB8"/>
    <w:rsid w:val="00272347"/>
    <w:rsid w:val="00274A6E"/>
    <w:rsid w:val="002750B3"/>
    <w:rsid w:val="0027516D"/>
    <w:rsid w:val="002765D0"/>
    <w:rsid w:val="00276AFF"/>
    <w:rsid w:val="002813DA"/>
    <w:rsid w:val="0028149B"/>
    <w:rsid w:val="002816C3"/>
    <w:rsid w:val="00282D04"/>
    <w:rsid w:val="00282D94"/>
    <w:rsid w:val="002838C0"/>
    <w:rsid w:val="0028652C"/>
    <w:rsid w:val="00286E8C"/>
    <w:rsid w:val="002921EC"/>
    <w:rsid w:val="00292AAA"/>
    <w:rsid w:val="00292B18"/>
    <w:rsid w:val="00293952"/>
    <w:rsid w:val="00297456"/>
    <w:rsid w:val="002A2451"/>
    <w:rsid w:val="002A2D89"/>
    <w:rsid w:val="002A69F5"/>
    <w:rsid w:val="002A6EA4"/>
    <w:rsid w:val="002B2DBD"/>
    <w:rsid w:val="002B591D"/>
    <w:rsid w:val="002C0562"/>
    <w:rsid w:val="002C11F0"/>
    <w:rsid w:val="002C17A4"/>
    <w:rsid w:val="002C3412"/>
    <w:rsid w:val="002C3B4F"/>
    <w:rsid w:val="002C5848"/>
    <w:rsid w:val="002C5934"/>
    <w:rsid w:val="002C7116"/>
    <w:rsid w:val="002C7486"/>
    <w:rsid w:val="002D0916"/>
    <w:rsid w:val="002D2176"/>
    <w:rsid w:val="002D52ED"/>
    <w:rsid w:val="002D625C"/>
    <w:rsid w:val="002E1E93"/>
    <w:rsid w:val="002E26F8"/>
    <w:rsid w:val="002E69A3"/>
    <w:rsid w:val="002F2B55"/>
    <w:rsid w:val="002F408B"/>
    <w:rsid w:val="002F4921"/>
    <w:rsid w:val="002F568D"/>
    <w:rsid w:val="002F5D7C"/>
    <w:rsid w:val="00303A6E"/>
    <w:rsid w:val="0030769D"/>
    <w:rsid w:val="003116F2"/>
    <w:rsid w:val="0031469E"/>
    <w:rsid w:val="00316431"/>
    <w:rsid w:val="00317E71"/>
    <w:rsid w:val="003263DA"/>
    <w:rsid w:val="00327217"/>
    <w:rsid w:val="003328A2"/>
    <w:rsid w:val="00333588"/>
    <w:rsid w:val="0033440D"/>
    <w:rsid w:val="003416A0"/>
    <w:rsid w:val="0034371F"/>
    <w:rsid w:val="00343725"/>
    <w:rsid w:val="00345FCA"/>
    <w:rsid w:val="00345FFA"/>
    <w:rsid w:val="00346BBE"/>
    <w:rsid w:val="0035048D"/>
    <w:rsid w:val="003527BA"/>
    <w:rsid w:val="00352EED"/>
    <w:rsid w:val="00353336"/>
    <w:rsid w:val="00353AFE"/>
    <w:rsid w:val="003562D0"/>
    <w:rsid w:val="003569D3"/>
    <w:rsid w:val="003625D6"/>
    <w:rsid w:val="00363F84"/>
    <w:rsid w:val="00370AAD"/>
    <w:rsid w:val="003724A7"/>
    <w:rsid w:val="00375FFD"/>
    <w:rsid w:val="00382C95"/>
    <w:rsid w:val="00394311"/>
    <w:rsid w:val="003956F1"/>
    <w:rsid w:val="00395F77"/>
    <w:rsid w:val="00396A08"/>
    <w:rsid w:val="003A214B"/>
    <w:rsid w:val="003A2265"/>
    <w:rsid w:val="003A2549"/>
    <w:rsid w:val="003A3C1C"/>
    <w:rsid w:val="003A449F"/>
    <w:rsid w:val="003A4F3A"/>
    <w:rsid w:val="003A6625"/>
    <w:rsid w:val="003B1B94"/>
    <w:rsid w:val="003B72A8"/>
    <w:rsid w:val="003C0560"/>
    <w:rsid w:val="003C22F9"/>
    <w:rsid w:val="003C2668"/>
    <w:rsid w:val="003C4710"/>
    <w:rsid w:val="003D664C"/>
    <w:rsid w:val="003D6B2F"/>
    <w:rsid w:val="003D7E7D"/>
    <w:rsid w:val="003E518C"/>
    <w:rsid w:val="003E51DC"/>
    <w:rsid w:val="003E58DB"/>
    <w:rsid w:val="003F10BE"/>
    <w:rsid w:val="003F1D05"/>
    <w:rsid w:val="003F1D07"/>
    <w:rsid w:val="003F5250"/>
    <w:rsid w:val="003F5418"/>
    <w:rsid w:val="003F59C1"/>
    <w:rsid w:val="003F5E61"/>
    <w:rsid w:val="00405A14"/>
    <w:rsid w:val="00406487"/>
    <w:rsid w:val="0040771A"/>
    <w:rsid w:val="00413EF9"/>
    <w:rsid w:val="00414D6D"/>
    <w:rsid w:val="00415418"/>
    <w:rsid w:val="00417215"/>
    <w:rsid w:val="0041721E"/>
    <w:rsid w:val="00420CD2"/>
    <w:rsid w:val="004213D5"/>
    <w:rsid w:val="004221C7"/>
    <w:rsid w:val="004227BF"/>
    <w:rsid w:val="0042398F"/>
    <w:rsid w:val="004276CA"/>
    <w:rsid w:val="00430700"/>
    <w:rsid w:val="00430E8A"/>
    <w:rsid w:val="004411F9"/>
    <w:rsid w:val="00444249"/>
    <w:rsid w:val="00444D51"/>
    <w:rsid w:val="0044530D"/>
    <w:rsid w:val="0044543F"/>
    <w:rsid w:val="0045139E"/>
    <w:rsid w:val="004600ED"/>
    <w:rsid w:val="004619F0"/>
    <w:rsid w:val="004631FF"/>
    <w:rsid w:val="004632E7"/>
    <w:rsid w:val="00467F37"/>
    <w:rsid w:val="00475E03"/>
    <w:rsid w:val="0048369F"/>
    <w:rsid w:val="004850FF"/>
    <w:rsid w:val="0048551D"/>
    <w:rsid w:val="00486D86"/>
    <w:rsid w:val="004876D5"/>
    <w:rsid w:val="00490395"/>
    <w:rsid w:val="0049056D"/>
    <w:rsid w:val="00491DE6"/>
    <w:rsid w:val="00492042"/>
    <w:rsid w:val="00494685"/>
    <w:rsid w:val="004A0380"/>
    <w:rsid w:val="004A16D7"/>
    <w:rsid w:val="004A18FD"/>
    <w:rsid w:val="004A1C88"/>
    <w:rsid w:val="004A54E4"/>
    <w:rsid w:val="004A6C08"/>
    <w:rsid w:val="004B4178"/>
    <w:rsid w:val="004B7A87"/>
    <w:rsid w:val="004C207E"/>
    <w:rsid w:val="004C284F"/>
    <w:rsid w:val="004C303A"/>
    <w:rsid w:val="004C78AF"/>
    <w:rsid w:val="004D0796"/>
    <w:rsid w:val="004D2F19"/>
    <w:rsid w:val="004D33D4"/>
    <w:rsid w:val="004D36AF"/>
    <w:rsid w:val="004D5316"/>
    <w:rsid w:val="004D5AF4"/>
    <w:rsid w:val="004D7877"/>
    <w:rsid w:val="004E0D1E"/>
    <w:rsid w:val="004E13DA"/>
    <w:rsid w:val="004E200C"/>
    <w:rsid w:val="004F0085"/>
    <w:rsid w:val="004F0D93"/>
    <w:rsid w:val="004F22B4"/>
    <w:rsid w:val="004F3898"/>
    <w:rsid w:val="004F4319"/>
    <w:rsid w:val="004F5278"/>
    <w:rsid w:val="004F56C7"/>
    <w:rsid w:val="004F63A7"/>
    <w:rsid w:val="005000A4"/>
    <w:rsid w:val="005000D5"/>
    <w:rsid w:val="0050584B"/>
    <w:rsid w:val="00506DD8"/>
    <w:rsid w:val="00511B22"/>
    <w:rsid w:val="005125FE"/>
    <w:rsid w:val="00512912"/>
    <w:rsid w:val="00514193"/>
    <w:rsid w:val="00515C5C"/>
    <w:rsid w:val="00515D10"/>
    <w:rsid w:val="00516E82"/>
    <w:rsid w:val="0052043A"/>
    <w:rsid w:val="00521EED"/>
    <w:rsid w:val="00523E74"/>
    <w:rsid w:val="00524428"/>
    <w:rsid w:val="00525F6F"/>
    <w:rsid w:val="00534F43"/>
    <w:rsid w:val="005356CE"/>
    <w:rsid w:val="005365A8"/>
    <w:rsid w:val="00540339"/>
    <w:rsid w:val="00542B95"/>
    <w:rsid w:val="005435FC"/>
    <w:rsid w:val="00543714"/>
    <w:rsid w:val="00546231"/>
    <w:rsid w:val="00546B6D"/>
    <w:rsid w:val="00553F4F"/>
    <w:rsid w:val="00554F4B"/>
    <w:rsid w:val="00557CE8"/>
    <w:rsid w:val="00562151"/>
    <w:rsid w:val="00562845"/>
    <w:rsid w:val="00564AC6"/>
    <w:rsid w:val="00564E25"/>
    <w:rsid w:val="005705FE"/>
    <w:rsid w:val="00571291"/>
    <w:rsid w:val="00571440"/>
    <w:rsid w:val="00572717"/>
    <w:rsid w:val="0057605D"/>
    <w:rsid w:val="00580982"/>
    <w:rsid w:val="00584C4C"/>
    <w:rsid w:val="00585D57"/>
    <w:rsid w:val="00586C29"/>
    <w:rsid w:val="005911BF"/>
    <w:rsid w:val="005961A5"/>
    <w:rsid w:val="00596A96"/>
    <w:rsid w:val="00597B6D"/>
    <w:rsid w:val="005A22FB"/>
    <w:rsid w:val="005A4950"/>
    <w:rsid w:val="005A4A86"/>
    <w:rsid w:val="005A4D57"/>
    <w:rsid w:val="005A60C8"/>
    <w:rsid w:val="005B79C9"/>
    <w:rsid w:val="005C2251"/>
    <w:rsid w:val="005C273F"/>
    <w:rsid w:val="005C33D5"/>
    <w:rsid w:val="005D5C30"/>
    <w:rsid w:val="005D7242"/>
    <w:rsid w:val="005E067E"/>
    <w:rsid w:val="005E1F1F"/>
    <w:rsid w:val="005E27F2"/>
    <w:rsid w:val="005E2F90"/>
    <w:rsid w:val="005E311E"/>
    <w:rsid w:val="005E510E"/>
    <w:rsid w:val="005F38BC"/>
    <w:rsid w:val="005F4609"/>
    <w:rsid w:val="00603815"/>
    <w:rsid w:val="00603F9D"/>
    <w:rsid w:val="00607D68"/>
    <w:rsid w:val="0061239E"/>
    <w:rsid w:val="00612F44"/>
    <w:rsid w:val="00613374"/>
    <w:rsid w:val="00614985"/>
    <w:rsid w:val="00615540"/>
    <w:rsid w:val="006219CC"/>
    <w:rsid w:val="00622DD3"/>
    <w:rsid w:val="0062555D"/>
    <w:rsid w:val="006314BA"/>
    <w:rsid w:val="0063248E"/>
    <w:rsid w:val="006348BC"/>
    <w:rsid w:val="00634C31"/>
    <w:rsid w:val="006355D6"/>
    <w:rsid w:val="00636677"/>
    <w:rsid w:val="006372C4"/>
    <w:rsid w:val="0064398F"/>
    <w:rsid w:val="0064429F"/>
    <w:rsid w:val="0064556C"/>
    <w:rsid w:val="00646313"/>
    <w:rsid w:val="006468B2"/>
    <w:rsid w:val="006555BF"/>
    <w:rsid w:val="0065775E"/>
    <w:rsid w:val="0066150A"/>
    <w:rsid w:val="006616E4"/>
    <w:rsid w:val="00666AA7"/>
    <w:rsid w:val="00666B09"/>
    <w:rsid w:val="00672D43"/>
    <w:rsid w:val="00675B3D"/>
    <w:rsid w:val="00685AC3"/>
    <w:rsid w:val="00687CB2"/>
    <w:rsid w:val="00692158"/>
    <w:rsid w:val="0069293F"/>
    <w:rsid w:val="0069536D"/>
    <w:rsid w:val="00695E3D"/>
    <w:rsid w:val="006968CD"/>
    <w:rsid w:val="00697839"/>
    <w:rsid w:val="006A1C8B"/>
    <w:rsid w:val="006A4050"/>
    <w:rsid w:val="006A5D34"/>
    <w:rsid w:val="006A7AB9"/>
    <w:rsid w:val="006B0C34"/>
    <w:rsid w:val="006B10BE"/>
    <w:rsid w:val="006B21B3"/>
    <w:rsid w:val="006B27E9"/>
    <w:rsid w:val="006B489E"/>
    <w:rsid w:val="006B4A37"/>
    <w:rsid w:val="006B4C61"/>
    <w:rsid w:val="006B54DC"/>
    <w:rsid w:val="006C03AC"/>
    <w:rsid w:val="006C6197"/>
    <w:rsid w:val="006C66D6"/>
    <w:rsid w:val="006C6779"/>
    <w:rsid w:val="006C73FD"/>
    <w:rsid w:val="006C78A2"/>
    <w:rsid w:val="006C7C5E"/>
    <w:rsid w:val="006C7C6E"/>
    <w:rsid w:val="006D34D9"/>
    <w:rsid w:val="006D69C4"/>
    <w:rsid w:val="006E076C"/>
    <w:rsid w:val="006E643C"/>
    <w:rsid w:val="006E6695"/>
    <w:rsid w:val="006F1828"/>
    <w:rsid w:val="006F2D56"/>
    <w:rsid w:val="006F3655"/>
    <w:rsid w:val="006F3E5A"/>
    <w:rsid w:val="006F5998"/>
    <w:rsid w:val="007013B9"/>
    <w:rsid w:val="00702B42"/>
    <w:rsid w:val="00703258"/>
    <w:rsid w:val="00706E33"/>
    <w:rsid w:val="00707F7B"/>
    <w:rsid w:val="007120E1"/>
    <w:rsid w:val="007121F2"/>
    <w:rsid w:val="0071282E"/>
    <w:rsid w:val="007129F6"/>
    <w:rsid w:val="00713481"/>
    <w:rsid w:val="00715423"/>
    <w:rsid w:val="007215D6"/>
    <w:rsid w:val="00723A71"/>
    <w:rsid w:val="00725157"/>
    <w:rsid w:val="007253E4"/>
    <w:rsid w:val="00733459"/>
    <w:rsid w:val="00734427"/>
    <w:rsid w:val="00736A7C"/>
    <w:rsid w:val="007379D0"/>
    <w:rsid w:val="00740EF5"/>
    <w:rsid w:val="0074137D"/>
    <w:rsid w:val="00741F36"/>
    <w:rsid w:val="007429EE"/>
    <w:rsid w:val="00750BDF"/>
    <w:rsid w:val="00751A08"/>
    <w:rsid w:val="0075212D"/>
    <w:rsid w:val="00752713"/>
    <w:rsid w:val="00753954"/>
    <w:rsid w:val="00754B8A"/>
    <w:rsid w:val="007565D2"/>
    <w:rsid w:val="0076196C"/>
    <w:rsid w:val="0076367E"/>
    <w:rsid w:val="0076385D"/>
    <w:rsid w:val="007640E0"/>
    <w:rsid w:val="007648FE"/>
    <w:rsid w:val="0076587B"/>
    <w:rsid w:val="0076632A"/>
    <w:rsid w:val="00767483"/>
    <w:rsid w:val="00771401"/>
    <w:rsid w:val="0077318F"/>
    <w:rsid w:val="00775D24"/>
    <w:rsid w:val="007801F4"/>
    <w:rsid w:val="0078253A"/>
    <w:rsid w:val="00785CA8"/>
    <w:rsid w:val="00786049"/>
    <w:rsid w:val="00786A20"/>
    <w:rsid w:val="007903A0"/>
    <w:rsid w:val="00790557"/>
    <w:rsid w:val="007905DF"/>
    <w:rsid w:val="00793717"/>
    <w:rsid w:val="0079526E"/>
    <w:rsid w:val="00795DAF"/>
    <w:rsid w:val="00796671"/>
    <w:rsid w:val="007A0317"/>
    <w:rsid w:val="007A1643"/>
    <w:rsid w:val="007A70AC"/>
    <w:rsid w:val="007A7332"/>
    <w:rsid w:val="007B01B0"/>
    <w:rsid w:val="007B10BC"/>
    <w:rsid w:val="007B2390"/>
    <w:rsid w:val="007B5C81"/>
    <w:rsid w:val="007B5ECF"/>
    <w:rsid w:val="007B65AF"/>
    <w:rsid w:val="007B70C9"/>
    <w:rsid w:val="007C0F74"/>
    <w:rsid w:val="007C271E"/>
    <w:rsid w:val="007C5DEC"/>
    <w:rsid w:val="007D0553"/>
    <w:rsid w:val="007D19F1"/>
    <w:rsid w:val="007D306A"/>
    <w:rsid w:val="007D4865"/>
    <w:rsid w:val="007D48C0"/>
    <w:rsid w:val="007D5ADF"/>
    <w:rsid w:val="007D62C4"/>
    <w:rsid w:val="007D6940"/>
    <w:rsid w:val="007E25A9"/>
    <w:rsid w:val="007E2DAE"/>
    <w:rsid w:val="007E7CBA"/>
    <w:rsid w:val="007F2EC3"/>
    <w:rsid w:val="007F3BD4"/>
    <w:rsid w:val="007F3E78"/>
    <w:rsid w:val="007F41FE"/>
    <w:rsid w:val="007F4EA1"/>
    <w:rsid w:val="007FC820"/>
    <w:rsid w:val="00803581"/>
    <w:rsid w:val="008057C9"/>
    <w:rsid w:val="00807331"/>
    <w:rsid w:val="00821C9C"/>
    <w:rsid w:val="00822245"/>
    <w:rsid w:val="00825D2B"/>
    <w:rsid w:val="00826452"/>
    <w:rsid w:val="00827C15"/>
    <w:rsid w:val="008318AE"/>
    <w:rsid w:val="0083266E"/>
    <w:rsid w:val="00832D06"/>
    <w:rsid w:val="00833273"/>
    <w:rsid w:val="008339EB"/>
    <w:rsid w:val="00834482"/>
    <w:rsid w:val="0083607B"/>
    <w:rsid w:val="00840D7B"/>
    <w:rsid w:val="00841F16"/>
    <w:rsid w:val="008470B0"/>
    <w:rsid w:val="00851B4A"/>
    <w:rsid w:val="00853E30"/>
    <w:rsid w:val="0085464A"/>
    <w:rsid w:val="008567FD"/>
    <w:rsid w:val="008605EC"/>
    <w:rsid w:val="008611F8"/>
    <w:rsid w:val="00862206"/>
    <w:rsid w:val="0086460A"/>
    <w:rsid w:val="0086640E"/>
    <w:rsid w:val="0087051E"/>
    <w:rsid w:val="00870666"/>
    <w:rsid w:val="008727B8"/>
    <w:rsid w:val="0087295E"/>
    <w:rsid w:val="00872F96"/>
    <w:rsid w:val="00876D4F"/>
    <w:rsid w:val="00881220"/>
    <w:rsid w:val="00881F95"/>
    <w:rsid w:val="00884BA4"/>
    <w:rsid w:val="008863A8"/>
    <w:rsid w:val="008864BB"/>
    <w:rsid w:val="00890B2C"/>
    <w:rsid w:val="008954A6"/>
    <w:rsid w:val="008A4D54"/>
    <w:rsid w:val="008A6CFC"/>
    <w:rsid w:val="008A6D94"/>
    <w:rsid w:val="008B129C"/>
    <w:rsid w:val="008B1E99"/>
    <w:rsid w:val="008B227A"/>
    <w:rsid w:val="008B2603"/>
    <w:rsid w:val="008B2A9F"/>
    <w:rsid w:val="008B4053"/>
    <w:rsid w:val="008B5EA8"/>
    <w:rsid w:val="008C073E"/>
    <w:rsid w:val="008C2A75"/>
    <w:rsid w:val="008C678A"/>
    <w:rsid w:val="008C6D77"/>
    <w:rsid w:val="008D1DD2"/>
    <w:rsid w:val="008D4056"/>
    <w:rsid w:val="008D6396"/>
    <w:rsid w:val="008D77A5"/>
    <w:rsid w:val="008E2FEE"/>
    <w:rsid w:val="008E3B19"/>
    <w:rsid w:val="008E4299"/>
    <w:rsid w:val="008E6DB7"/>
    <w:rsid w:val="008E7639"/>
    <w:rsid w:val="008E766E"/>
    <w:rsid w:val="008F01F5"/>
    <w:rsid w:val="008F32E4"/>
    <w:rsid w:val="008F387F"/>
    <w:rsid w:val="008F4E37"/>
    <w:rsid w:val="00903AF8"/>
    <w:rsid w:val="00904D0B"/>
    <w:rsid w:val="009067CE"/>
    <w:rsid w:val="00907E91"/>
    <w:rsid w:val="00913EBF"/>
    <w:rsid w:val="00915234"/>
    <w:rsid w:val="0091536A"/>
    <w:rsid w:val="00920696"/>
    <w:rsid w:val="0092217C"/>
    <w:rsid w:val="009307B6"/>
    <w:rsid w:val="009310DE"/>
    <w:rsid w:val="009315DF"/>
    <w:rsid w:val="0093497B"/>
    <w:rsid w:val="009360C3"/>
    <w:rsid w:val="00937444"/>
    <w:rsid w:val="00937C68"/>
    <w:rsid w:val="0094148B"/>
    <w:rsid w:val="0094573D"/>
    <w:rsid w:val="00946F8F"/>
    <w:rsid w:val="009513E3"/>
    <w:rsid w:val="009524FB"/>
    <w:rsid w:val="00955A6B"/>
    <w:rsid w:val="00955FD4"/>
    <w:rsid w:val="00956C98"/>
    <w:rsid w:val="009571E9"/>
    <w:rsid w:val="00961BFA"/>
    <w:rsid w:val="0096338F"/>
    <w:rsid w:val="00963992"/>
    <w:rsid w:val="0096538B"/>
    <w:rsid w:val="009667C7"/>
    <w:rsid w:val="00972486"/>
    <w:rsid w:val="009726D1"/>
    <w:rsid w:val="00980442"/>
    <w:rsid w:val="009809DB"/>
    <w:rsid w:val="00981762"/>
    <w:rsid w:val="00982BFF"/>
    <w:rsid w:val="00983532"/>
    <w:rsid w:val="0098498E"/>
    <w:rsid w:val="00985345"/>
    <w:rsid w:val="00985813"/>
    <w:rsid w:val="00993A07"/>
    <w:rsid w:val="00995453"/>
    <w:rsid w:val="0099720E"/>
    <w:rsid w:val="00997BE6"/>
    <w:rsid w:val="009A2F5F"/>
    <w:rsid w:val="009A4269"/>
    <w:rsid w:val="009B013B"/>
    <w:rsid w:val="009B0AB1"/>
    <w:rsid w:val="009B2029"/>
    <w:rsid w:val="009B52BB"/>
    <w:rsid w:val="009B79C1"/>
    <w:rsid w:val="009C0765"/>
    <w:rsid w:val="009C19E5"/>
    <w:rsid w:val="009C40C0"/>
    <w:rsid w:val="009D40F0"/>
    <w:rsid w:val="009D7405"/>
    <w:rsid w:val="009D7446"/>
    <w:rsid w:val="009D758B"/>
    <w:rsid w:val="009E1C23"/>
    <w:rsid w:val="009E5757"/>
    <w:rsid w:val="009E59E8"/>
    <w:rsid w:val="009E5C62"/>
    <w:rsid w:val="009E5E5A"/>
    <w:rsid w:val="009F0BE8"/>
    <w:rsid w:val="009F173B"/>
    <w:rsid w:val="009F4C02"/>
    <w:rsid w:val="00A001B5"/>
    <w:rsid w:val="00A007B9"/>
    <w:rsid w:val="00A023FB"/>
    <w:rsid w:val="00A02F3C"/>
    <w:rsid w:val="00A03486"/>
    <w:rsid w:val="00A05D21"/>
    <w:rsid w:val="00A06C34"/>
    <w:rsid w:val="00A111F6"/>
    <w:rsid w:val="00A11218"/>
    <w:rsid w:val="00A142F9"/>
    <w:rsid w:val="00A16B1D"/>
    <w:rsid w:val="00A17F0F"/>
    <w:rsid w:val="00A250AF"/>
    <w:rsid w:val="00A26361"/>
    <w:rsid w:val="00A30400"/>
    <w:rsid w:val="00A33C45"/>
    <w:rsid w:val="00A3431C"/>
    <w:rsid w:val="00A34A69"/>
    <w:rsid w:val="00A431A8"/>
    <w:rsid w:val="00A4321C"/>
    <w:rsid w:val="00A44B7B"/>
    <w:rsid w:val="00A454A5"/>
    <w:rsid w:val="00A45A4E"/>
    <w:rsid w:val="00A46359"/>
    <w:rsid w:val="00A470FA"/>
    <w:rsid w:val="00A47F11"/>
    <w:rsid w:val="00A55CEE"/>
    <w:rsid w:val="00A56727"/>
    <w:rsid w:val="00A60C99"/>
    <w:rsid w:val="00A62023"/>
    <w:rsid w:val="00A62D04"/>
    <w:rsid w:val="00A64ECE"/>
    <w:rsid w:val="00A73CA2"/>
    <w:rsid w:val="00A73E45"/>
    <w:rsid w:val="00A7712C"/>
    <w:rsid w:val="00A85271"/>
    <w:rsid w:val="00A86FA4"/>
    <w:rsid w:val="00A9588F"/>
    <w:rsid w:val="00AA1813"/>
    <w:rsid w:val="00AA3CF7"/>
    <w:rsid w:val="00AA46F9"/>
    <w:rsid w:val="00AA5067"/>
    <w:rsid w:val="00AA797F"/>
    <w:rsid w:val="00AB16B1"/>
    <w:rsid w:val="00AB32F9"/>
    <w:rsid w:val="00AB6A2B"/>
    <w:rsid w:val="00AB6A67"/>
    <w:rsid w:val="00AC0C22"/>
    <w:rsid w:val="00AC0CA2"/>
    <w:rsid w:val="00AC6F64"/>
    <w:rsid w:val="00AD0A6C"/>
    <w:rsid w:val="00AD1D12"/>
    <w:rsid w:val="00AD1F7F"/>
    <w:rsid w:val="00AD397E"/>
    <w:rsid w:val="00AD420D"/>
    <w:rsid w:val="00AD451C"/>
    <w:rsid w:val="00AD7289"/>
    <w:rsid w:val="00AE3D09"/>
    <w:rsid w:val="00AF0E29"/>
    <w:rsid w:val="00AF4056"/>
    <w:rsid w:val="00AF4D53"/>
    <w:rsid w:val="00AF67E3"/>
    <w:rsid w:val="00AF72CF"/>
    <w:rsid w:val="00B01D25"/>
    <w:rsid w:val="00B02A80"/>
    <w:rsid w:val="00B06841"/>
    <w:rsid w:val="00B1507D"/>
    <w:rsid w:val="00B20978"/>
    <w:rsid w:val="00B215F8"/>
    <w:rsid w:val="00B252B4"/>
    <w:rsid w:val="00B27266"/>
    <w:rsid w:val="00B27A05"/>
    <w:rsid w:val="00B35FED"/>
    <w:rsid w:val="00B37FDE"/>
    <w:rsid w:val="00B40DA1"/>
    <w:rsid w:val="00B41CF2"/>
    <w:rsid w:val="00B41DB7"/>
    <w:rsid w:val="00B4241B"/>
    <w:rsid w:val="00B47272"/>
    <w:rsid w:val="00B475BD"/>
    <w:rsid w:val="00B52F22"/>
    <w:rsid w:val="00B538B1"/>
    <w:rsid w:val="00B53FBF"/>
    <w:rsid w:val="00B559EA"/>
    <w:rsid w:val="00B5638B"/>
    <w:rsid w:val="00B663E9"/>
    <w:rsid w:val="00B71F9B"/>
    <w:rsid w:val="00B76357"/>
    <w:rsid w:val="00B768C7"/>
    <w:rsid w:val="00B76E4F"/>
    <w:rsid w:val="00B80B03"/>
    <w:rsid w:val="00B81B0E"/>
    <w:rsid w:val="00B85C61"/>
    <w:rsid w:val="00B90C6E"/>
    <w:rsid w:val="00B93E1E"/>
    <w:rsid w:val="00B94D06"/>
    <w:rsid w:val="00BA3979"/>
    <w:rsid w:val="00BA6742"/>
    <w:rsid w:val="00BA6894"/>
    <w:rsid w:val="00BA7DA3"/>
    <w:rsid w:val="00BB3473"/>
    <w:rsid w:val="00BB42FA"/>
    <w:rsid w:val="00BB46D1"/>
    <w:rsid w:val="00BB64DC"/>
    <w:rsid w:val="00BB76AD"/>
    <w:rsid w:val="00BC014F"/>
    <w:rsid w:val="00BC07A9"/>
    <w:rsid w:val="00BC3100"/>
    <w:rsid w:val="00BC3E7A"/>
    <w:rsid w:val="00BC6DCA"/>
    <w:rsid w:val="00BD042A"/>
    <w:rsid w:val="00BD172C"/>
    <w:rsid w:val="00BD2894"/>
    <w:rsid w:val="00BD5838"/>
    <w:rsid w:val="00BE11E3"/>
    <w:rsid w:val="00BE374B"/>
    <w:rsid w:val="00BE4CC3"/>
    <w:rsid w:val="00BE500D"/>
    <w:rsid w:val="00BE58A2"/>
    <w:rsid w:val="00BE7BC9"/>
    <w:rsid w:val="00C0018F"/>
    <w:rsid w:val="00C0048A"/>
    <w:rsid w:val="00C02E97"/>
    <w:rsid w:val="00C03190"/>
    <w:rsid w:val="00C031B8"/>
    <w:rsid w:val="00C05ACC"/>
    <w:rsid w:val="00C074C6"/>
    <w:rsid w:val="00C1004A"/>
    <w:rsid w:val="00C110E2"/>
    <w:rsid w:val="00C12C9B"/>
    <w:rsid w:val="00C140AB"/>
    <w:rsid w:val="00C14F42"/>
    <w:rsid w:val="00C15068"/>
    <w:rsid w:val="00C16D46"/>
    <w:rsid w:val="00C201C0"/>
    <w:rsid w:val="00C202A2"/>
    <w:rsid w:val="00C2238A"/>
    <w:rsid w:val="00C225BA"/>
    <w:rsid w:val="00C236E1"/>
    <w:rsid w:val="00C24F37"/>
    <w:rsid w:val="00C2715A"/>
    <w:rsid w:val="00C27F37"/>
    <w:rsid w:val="00C307CB"/>
    <w:rsid w:val="00C30F37"/>
    <w:rsid w:val="00C33DB2"/>
    <w:rsid w:val="00C37D08"/>
    <w:rsid w:val="00C41B11"/>
    <w:rsid w:val="00C44268"/>
    <w:rsid w:val="00C44A12"/>
    <w:rsid w:val="00C47631"/>
    <w:rsid w:val="00C47DEC"/>
    <w:rsid w:val="00C50C4B"/>
    <w:rsid w:val="00C50E02"/>
    <w:rsid w:val="00C50E26"/>
    <w:rsid w:val="00C6017D"/>
    <w:rsid w:val="00C64C03"/>
    <w:rsid w:val="00C65BD1"/>
    <w:rsid w:val="00C668F7"/>
    <w:rsid w:val="00C66A9B"/>
    <w:rsid w:val="00C70CBB"/>
    <w:rsid w:val="00C811F9"/>
    <w:rsid w:val="00C8265B"/>
    <w:rsid w:val="00C82F21"/>
    <w:rsid w:val="00C830FF"/>
    <w:rsid w:val="00C87A2B"/>
    <w:rsid w:val="00C9001B"/>
    <w:rsid w:val="00C926AE"/>
    <w:rsid w:val="00C929A5"/>
    <w:rsid w:val="00C93291"/>
    <w:rsid w:val="00C9409F"/>
    <w:rsid w:val="00C95A51"/>
    <w:rsid w:val="00CA2753"/>
    <w:rsid w:val="00CA3C42"/>
    <w:rsid w:val="00CA482A"/>
    <w:rsid w:val="00CA6EC6"/>
    <w:rsid w:val="00CB3AC7"/>
    <w:rsid w:val="00CB6708"/>
    <w:rsid w:val="00CB7B52"/>
    <w:rsid w:val="00CC1BD2"/>
    <w:rsid w:val="00CC33B6"/>
    <w:rsid w:val="00CC5ABB"/>
    <w:rsid w:val="00CC6399"/>
    <w:rsid w:val="00CC7472"/>
    <w:rsid w:val="00CC796D"/>
    <w:rsid w:val="00CD0D47"/>
    <w:rsid w:val="00CE1242"/>
    <w:rsid w:val="00CE2B8B"/>
    <w:rsid w:val="00CE3149"/>
    <w:rsid w:val="00CF04AD"/>
    <w:rsid w:val="00CF06A3"/>
    <w:rsid w:val="00CF2748"/>
    <w:rsid w:val="00CF2C3D"/>
    <w:rsid w:val="00CF39D3"/>
    <w:rsid w:val="00CF3B55"/>
    <w:rsid w:val="00CF5C05"/>
    <w:rsid w:val="00D03289"/>
    <w:rsid w:val="00D05FD8"/>
    <w:rsid w:val="00D10A20"/>
    <w:rsid w:val="00D1196A"/>
    <w:rsid w:val="00D11D0A"/>
    <w:rsid w:val="00D165D4"/>
    <w:rsid w:val="00D16FA1"/>
    <w:rsid w:val="00D20593"/>
    <w:rsid w:val="00D255AF"/>
    <w:rsid w:val="00D27A20"/>
    <w:rsid w:val="00D342A9"/>
    <w:rsid w:val="00D3566F"/>
    <w:rsid w:val="00D36015"/>
    <w:rsid w:val="00D36D0E"/>
    <w:rsid w:val="00D402CE"/>
    <w:rsid w:val="00D466A2"/>
    <w:rsid w:val="00D47EC4"/>
    <w:rsid w:val="00D563FC"/>
    <w:rsid w:val="00D56BE2"/>
    <w:rsid w:val="00D5785C"/>
    <w:rsid w:val="00D63750"/>
    <w:rsid w:val="00D64074"/>
    <w:rsid w:val="00D65805"/>
    <w:rsid w:val="00D65E6B"/>
    <w:rsid w:val="00D71CB4"/>
    <w:rsid w:val="00D74ABD"/>
    <w:rsid w:val="00D74EBB"/>
    <w:rsid w:val="00D81356"/>
    <w:rsid w:val="00D8152D"/>
    <w:rsid w:val="00D8222E"/>
    <w:rsid w:val="00D8665F"/>
    <w:rsid w:val="00D9003D"/>
    <w:rsid w:val="00D94898"/>
    <w:rsid w:val="00D96F79"/>
    <w:rsid w:val="00DA0E64"/>
    <w:rsid w:val="00DA41D2"/>
    <w:rsid w:val="00DA68FE"/>
    <w:rsid w:val="00DB041C"/>
    <w:rsid w:val="00DB178C"/>
    <w:rsid w:val="00DB18D3"/>
    <w:rsid w:val="00DB2253"/>
    <w:rsid w:val="00DB2CD7"/>
    <w:rsid w:val="00DB562E"/>
    <w:rsid w:val="00DB7EDC"/>
    <w:rsid w:val="00DC0D81"/>
    <w:rsid w:val="00DC23B1"/>
    <w:rsid w:val="00DC571D"/>
    <w:rsid w:val="00DC69A1"/>
    <w:rsid w:val="00DD00D1"/>
    <w:rsid w:val="00DD4181"/>
    <w:rsid w:val="00DD428F"/>
    <w:rsid w:val="00DE18CD"/>
    <w:rsid w:val="00DE382A"/>
    <w:rsid w:val="00DE4499"/>
    <w:rsid w:val="00DE6F74"/>
    <w:rsid w:val="00DE7A92"/>
    <w:rsid w:val="00DF3D4D"/>
    <w:rsid w:val="00DF5770"/>
    <w:rsid w:val="00DF777F"/>
    <w:rsid w:val="00E02F11"/>
    <w:rsid w:val="00E039BB"/>
    <w:rsid w:val="00E047EC"/>
    <w:rsid w:val="00E0654D"/>
    <w:rsid w:val="00E06E76"/>
    <w:rsid w:val="00E07CEA"/>
    <w:rsid w:val="00E15A20"/>
    <w:rsid w:val="00E23EC7"/>
    <w:rsid w:val="00E242C2"/>
    <w:rsid w:val="00E35213"/>
    <w:rsid w:val="00E36BDD"/>
    <w:rsid w:val="00E455FF"/>
    <w:rsid w:val="00E46D1B"/>
    <w:rsid w:val="00E51398"/>
    <w:rsid w:val="00E533DD"/>
    <w:rsid w:val="00E53D5A"/>
    <w:rsid w:val="00E5426A"/>
    <w:rsid w:val="00E66A2A"/>
    <w:rsid w:val="00E7112A"/>
    <w:rsid w:val="00E759A1"/>
    <w:rsid w:val="00E75A3D"/>
    <w:rsid w:val="00E77E91"/>
    <w:rsid w:val="00E8041E"/>
    <w:rsid w:val="00E83044"/>
    <w:rsid w:val="00E83693"/>
    <w:rsid w:val="00E844E6"/>
    <w:rsid w:val="00E92E80"/>
    <w:rsid w:val="00EA15FD"/>
    <w:rsid w:val="00EA21EB"/>
    <w:rsid w:val="00EB0987"/>
    <w:rsid w:val="00EB22AE"/>
    <w:rsid w:val="00EB35C2"/>
    <w:rsid w:val="00EB44BB"/>
    <w:rsid w:val="00EB556E"/>
    <w:rsid w:val="00EC1D7A"/>
    <w:rsid w:val="00EC230A"/>
    <w:rsid w:val="00EC428F"/>
    <w:rsid w:val="00EC6EE0"/>
    <w:rsid w:val="00EC73C6"/>
    <w:rsid w:val="00ED1599"/>
    <w:rsid w:val="00ED1CCA"/>
    <w:rsid w:val="00ED3C56"/>
    <w:rsid w:val="00ED4D28"/>
    <w:rsid w:val="00ED5A2B"/>
    <w:rsid w:val="00EE6B7E"/>
    <w:rsid w:val="00EE7821"/>
    <w:rsid w:val="00EF3EE1"/>
    <w:rsid w:val="00EF4349"/>
    <w:rsid w:val="00EF5824"/>
    <w:rsid w:val="00F01119"/>
    <w:rsid w:val="00F01CFB"/>
    <w:rsid w:val="00F02EEE"/>
    <w:rsid w:val="00F031AE"/>
    <w:rsid w:val="00F05AF4"/>
    <w:rsid w:val="00F07E2C"/>
    <w:rsid w:val="00F11A7C"/>
    <w:rsid w:val="00F1627B"/>
    <w:rsid w:val="00F262D2"/>
    <w:rsid w:val="00F26E54"/>
    <w:rsid w:val="00F30EE1"/>
    <w:rsid w:val="00F32651"/>
    <w:rsid w:val="00F44F23"/>
    <w:rsid w:val="00F50F9F"/>
    <w:rsid w:val="00F51D08"/>
    <w:rsid w:val="00F5359F"/>
    <w:rsid w:val="00F604E3"/>
    <w:rsid w:val="00F6288E"/>
    <w:rsid w:val="00F64A28"/>
    <w:rsid w:val="00F71B1A"/>
    <w:rsid w:val="00F747F2"/>
    <w:rsid w:val="00F84457"/>
    <w:rsid w:val="00F861BF"/>
    <w:rsid w:val="00F91B6A"/>
    <w:rsid w:val="00F91C4B"/>
    <w:rsid w:val="00F92D91"/>
    <w:rsid w:val="00F96CFA"/>
    <w:rsid w:val="00FA15DE"/>
    <w:rsid w:val="00FA42A0"/>
    <w:rsid w:val="00FA6947"/>
    <w:rsid w:val="00FB0EA9"/>
    <w:rsid w:val="00FB2B8A"/>
    <w:rsid w:val="00FB569D"/>
    <w:rsid w:val="00FC0BBC"/>
    <w:rsid w:val="00FC1A71"/>
    <w:rsid w:val="00FC2464"/>
    <w:rsid w:val="00FC2736"/>
    <w:rsid w:val="00FC4C5B"/>
    <w:rsid w:val="00FD060E"/>
    <w:rsid w:val="00FD08F7"/>
    <w:rsid w:val="00FD1AB5"/>
    <w:rsid w:val="00FD1DEA"/>
    <w:rsid w:val="00FD2671"/>
    <w:rsid w:val="00FD381E"/>
    <w:rsid w:val="00FE08F1"/>
    <w:rsid w:val="00FE0A00"/>
    <w:rsid w:val="00FE3873"/>
    <w:rsid w:val="00FE3E89"/>
    <w:rsid w:val="00FE42C8"/>
    <w:rsid w:val="00FE4A3F"/>
    <w:rsid w:val="00FE4CA2"/>
    <w:rsid w:val="00FE7CB8"/>
    <w:rsid w:val="00FF418B"/>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table" w:styleId="TableGrid">
    <w:name w:val="Table Grid"/>
    <w:basedOn w:val="TableNormal"/>
    <w:uiPriority w:val="39"/>
    <w:rsid w:val="000A717E"/>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FB2B8A"/>
  </w:style>
  <w:style w:type="character" w:customStyle="1" w:styleId="module-sequence-footer-button--previous">
    <w:name w:val="module-sequence-footer-button--previous"/>
    <w:basedOn w:val="DefaultParagraphFont"/>
    <w:rsid w:val="00B53FBF"/>
  </w:style>
  <w:style w:type="character" w:customStyle="1" w:styleId="module-sequence-footer-button--next">
    <w:name w:val="module-sequence-footer-button--next"/>
    <w:basedOn w:val="DefaultParagraphFont"/>
    <w:rsid w:val="00B5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41">
      <w:bodyDiv w:val="1"/>
      <w:marLeft w:val="0"/>
      <w:marRight w:val="0"/>
      <w:marTop w:val="0"/>
      <w:marBottom w:val="0"/>
      <w:divBdr>
        <w:top w:val="none" w:sz="0" w:space="0" w:color="auto"/>
        <w:left w:val="none" w:sz="0" w:space="0" w:color="auto"/>
        <w:bottom w:val="none" w:sz="0" w:space="0" w:color="auto"/>
        <w:right w:val="none" w:sz="0" w:space="0" w:color="auto"/>
      </w:divBdr>
    </w:div>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1493">
      <w:bodyDiv w:val="1"/>
      <w:marLeft w:val="0"/>
      <w:marRight w:val="0"/>
      <w:marTop w:val="0"/>
      <w:marBottom w:val="0"/>
      <w:divBdr>
        <w:top w:val="none" w:sz="0" w:space="0" w:color="auto"/>
        <w:left w:val="none" w:sz="0" w:space="0" w:color="auto"/>
        <w:bottom w:val="none" w:sz="0" w:space="0" w:color="auto"/>
        <w:right w:val="none" w:sz="0" w:space="0" w:color="auto"/>
      </w:divBdr>
    </w:div>
    <w:div w:id="249892926">
      <w:bodyDiv w:val="1"/>
      <w:marLeft w:val="0"/>
      <w:marRight w:val="0"/>
      <w:marTop w:val="0"/>
      <w:marBottom w:val="0"/>
      <w:divBdr>
        <w:top w:val="none" w:sz="0" w:space="0" w:color="auto"/>
        <w:left w:val="none" w:sz="0" w:space="0" w:color="auto"/>
        <w:bottom w:val="none" w:sz="0" w:space="0" w:color="auto"/>
        <w:right w:val="none" w:sz="0" w:space="0" w:color="auto"/>
      </w:divBdr>
      <w:divsChild>
        <w:div w:id="1720015695">
          <w:marLeft w:val="0"/>
          <w:marRight w:val="0"/>
          <w:marTop w:val="0"/>
          <w:marBottom w:val="0"/>
          <w:divBdr>
            <w:top w:val="none" w:sz="0" w:space="0" w:color="auto"/>
            <w:left w:val="none" w:sz="0" w:space="0" w:color="auto"/>
            <w:bottom w:val="none" w:sz="0" w:space="0" w:color="auto"/>
            <w:right w:val="none" w:sz="0" w:space="0" w:color="auto"/>
          </w:divBdr>
        </w:div>
      </w:divsChild>
    </w:div>
    <w:div w:id="293096938">
      <w:bodyDiv w:val="1"/>
      <w:marLeft w:val="0"/>
      <w:marRight w:val="0"/>
      <w:marTop w:val="0"/>
      <w:marBottom w:val="0"/>
      <w:divBdr>
        <w:top w:val="none" w:sz="0" w:space="0" w:color="auto"/>
        <w:left w:val="none" w:sz="0" w:space="0" w:color="auto"/>
        <w:bottom w:val="none" w:sz="0" w:space="0" w:color="auto"/>
        <w:right w:val="none" w:sz="0" w:space="0" w:color="auto"/>
      </w:divBdr>
      <w:divsChild>
        <w:div w:id="757142869">
          <w:marLeft w:val="0"/>
          <w:marRight w:val="0"/>
          <w:marTop w:val="0"/>
          <w:marBottom w:val="0"/>
          <w:divBdr>
            <w:top w:val="none" w:sz="0" w:space="0" w:color="auto"/>
            <w:left w:val="none" w:sz="0" w:space="0" w:color="auto"/>
            <w:bottom w:val="none" w:sz="0" w:space="0" w:color="auto"/>
            <w:right w:val="none" w:sz="0" w:space="0" w:color="auto"/>
          </w:divBdr>
        </w:div>
        <w:div w:id="1162547012">
          <w:marLeft w:val="0"/>
          <w:marRight w:val="0"/>
          <w:marTop w:val="0"/>
          <w:marBottom w:val="0"/>
          <w:divBdr>
            <w:top w:val="none" w:sz="0" w:space="0" w:color="auto"/>
            <w:left w:val="none" w:sz="0" w:space="0" w:color="auto"/>
            <w:bottom w:val="none" w:sz="0" w:space="0" w:color="auto"/>
            <w:right w:val="none" w:sz="0" w:space="0" w:color="auto"/>
          </w:divBdr>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9353">
      <w:bodyDiv w:val="1"/>
      <w:marLeft w:val="0"/>
      <w:marRight w:val="0"/>
      <w:marTop w:val="0"/>
      <w:marBottom w:val="0"/>
      <w:divBdr>
        <w:top w:val="none" w:sz="0" w:space="0" w:color="auto"/>
        <w:left w:val="none" w:sz="0" w:space="0" w:color="auto"/>
        <w:bottom w:val="none" w:sz="0" w:space="0" w:color="auto"/>
        <w:right w:val="none" w:sz="0" w:space="0" w:color="auto"/>
      </w:divBdr>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05857163">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8224">
      <w:bodyDiv w:val="1"/>
      <w:marLeft w:val="0"/>
      <w:marRight w:val="0"/>
      <w:marTop w:val="0"/>
      <w:marBottom w:val="0"/>
      <w:divBdr>
        <w:top w:val="none" w:sz="0" w:space="0" w:color="auto"/>
        <w:left w:val="none" w:sz="0" w:space="0" w:color="auto"/>
        <w:bottom w:val="none" w:sz="0" w:space="0" w:color="auto"/>
        <w:right w:val="none" w:sz="0" w:space="0" w:color="auto"/>
      </w:divBdr>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7518">
      <w:bodyDiv w:val="1"/>
      <w:marLeft w:val="0"/>
      <w:marRight w:val="0"/>
      <w:marTop w:val="0"/>
      <w:marBottom w:val="0"/>
      <w:divBdr>
        <w:top w:val="none" w:sz="0" w:space="0" w:color="auto"/>
        <w:left w:val="none" w:sz="0" w:space="0" w:color="auto"/>
        <w:bottom w:val="none" w:sz="0" w:space="0" w:color="auto"/>
        <w:right w:val="none" w:sz="0" w:space="0" w:color="auto"/>
      </w:divBdr>
      <w:divsChild>
        <w:div w:id="915552338">
          <w:marLeft w:val="0"/>
          <w:marRight w:val="0"/>
          <w:marTop w:val="0"/>
          <w:marBottom w:val="0"/>
          <w:divBdr>
            <w:top w:val="none" w:sz="0" w:space="0" w:color="auto"/>
            <w:left w:val="none" w:sz="0" w:space="0" w:color="auto"/>
            <w:bottom w:val="none" w:sz="0" w:space="0" w:color="auto"/>
            <w:right w:val="none" w:sz="0" w:space="0" w:color="auto"/>
          </w:divBdr>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058476807">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134102462">
      <w:bodyDiv w:val="1"/>
      <w:marLeft w:val="0"/>
      <w:marRight w:val="0"/>
      <w:marTop w:val="0"/>
      <w:marBottom w:val="0"/>
      <w:divBdr>
        <w:top w:val="none" w:sz="0" w:space="0" w:color="auto"/>
        <w:left w:val="none" w:sz="0" w:space="0" w:color="auto"/>
        <w:bottom w:val="none" w:sz="0" w:space="0" w:color="auto"/>
        <w:right w:val="none" w:sz="0" w:space="0" w:color="auto"/>
      </w:divBdr>
    </w:div>
    <w:div w:id="1151482303">
      <w:bodyDiv w:val="1"/>
      <w:marLeft w:val="0"/>
      <w:marRight w:val="0"/>
      <w:marTop w:val="0"/>
      <w:marBottom w:val="0"/>
      <w:divBdr>
        <w:top w:val="none" w:sz="0" w:space="0" w:color="auto"/>
        <w:left w:val="none" w:sz="0" w:space="0" w:color="auto"/>
        <w:bottom w:val="none" w:sz="0" w:space="0" w:color="auto"/>
        <w:right w:val="none" w:sz="0" w:space="0" w:color="auto"/>
      </w:divBdr>
    </w:div>
    <w:div w:id="1192112821">
      <w:bodyDiv w:val="1"/>
      <w:marLeft w:val="0"/>
      <w:marRight w:val="0"/>
      <w:marTop w:val="0"/>
      <w:marBottom w:val="0"/>
      <w:divBdr>
        <w:top w:val="none" w:sz="0" w:space="0" w:color="auto"/>
        <w:left w:val="none" w:sz="0" w:space="0" w:color="auto"/>
        <w:bottom w:val="none" w:sz="0" w:space="0" w:color="auto"/>
        <w:right w:val="none" w:sz="0" w:space="0" w:color="auto"/>
      </w:divBdr>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12499245">
      <w:bodyDiv w:val="1"/>
      <w:marLeft w:val="0"/>
      <w:marRight w:val="0"/>
      <w:marTop w:val="0"/>
      <w:marBottom w:val="0"/>
      <w:divBdr>
        <w:top w:val="none" w:sz="0" w:space="0" w:color="auto"/>
        <w:left w:val="none" w:sz="0" w:space="0" w:color="auto"/>
        <w:bottom w:val="none" w:sz="0" w:space="0" w:color="auto"/>
        <w:right w:val="none" w:sz="0" w:space="0" w:color="auto"/>
      </w:divBdr>
      <w:divsChild>
        <w:div w:id="1360280245">
          <w:marLeft w:val="0"/>
          <w:marRight w:val="0"/>
          <w:marTop w:val="0"/>
          <w:marBottom w:val="0"/>
          <w:divBdr>
            <w:top w:val="none" w:sz="0" w:space="0" w:color="auto"/>
            <w:left w:val="none" w:sz="0" w:space="0" w:color="auto"/>
            <w:bottom w:val="none" w:sz="0" w:space="0" w:color="auto"/>
            <w:right w:val="none" w:sz="0" w:space="0" w:color="auto"/>
          </w:divBdr>
          <w:divsChild>
            <w:div w:id="310867668">
              <w:marLeft w:val="810"/>
              <w:marRight w:val="0"/>
              <w:marTop w:val="0"/>
              <w:marBottom w:val="0"/>
              <w:divBdr>
                <w:top w:val="none" w:sz="0" w:space="0" w:color="auto"/>
                <w:left w:val="none" w:sz="0" w:space="0" w:color="auto"/>
                <w:bottom w:val="none" w:sz="0" w:space="0" w:color="auto"/>
                <w:right w:val="none" w:sz="0" w:space="0" w:color="auto"/>
              </w:divBdr>
              <w:divsChild>
                <w:div w:id="997152958">
                  <w:marLeft w:val="2880"/>
                  <w:marRight w:val="0"/>
                  <w:marTop w:val="0"/>
                  <w:marBottom w:val="0"/>
                  <w:divBdr>
                    <w:top w:val="none" w:sz="0" w:space="0" w:color="auto"/>
                    <w:left w:val="none" w:sz="0" w:space="0" w:color="auto"/>
                    <w:bottom w:val="none" w:sz="0" w:space="0" w:color="auto"/>
                    <w:right w:val="none" w:sz="0" w:space="0" w:color="auto"/>
                  </w:divBdr>
                  <w:divsChild>
                    <w:div w:id="1987589102">
                      <w:marLeft w:val="0"/>
                      <w:marRight w:val="0"/>
                      <w:marTop w:val="0"/>
                      <w:marBottom w:val="0"/>
                      <w:divBdr>
                        <w:top w:val="none" w:sz="0" w:space="0" w:color="auto"/>
                        <w:left w:val="none" w:sz="0" w:space="0" w:color="auto"/>
                        <w:bottom w:val="none" w:sz="0" w:space="0" w:color="auto"/>
                        <w:right w:val="none" w:sz="0" w:space="0" w:color="auto"/>
                      </w:divBdr>
                      <w:divsChild>
                        <w:div w:id="1146311949">
                          <w:marLeft w:val="0"/>
                          <w:marRight w:val="0"/>
                          <w:marTop w:val="0"/>
                          <w:marBottom w:val="0"/>
                          <w:divBdr>
                            <w:top w:val="none" w:sz="0" w:space="0" w:color="auto"/>
                            <w:left w:val="none" w:sz="0" w:space="0" w:color="auto"/>
                            <w:bottom w:val="none" w:sz="0" w:space="0" w:color="auto"/>
                            <w:right w:val="none" w:sz="0" w:space="0" w:color="auto"/>
                          </w:divBdr>
                          <w:divsChild>
                            <w:div w:id="739713155">
                              <w:marLeft w:val="0"/>
                              <w:marRight w:val="0"/>
                              <w:marTop w:val="0"/>
                              <w:marBottom w:val="0"/>
                              <w:divBdr>
                                <w:top w:val="none" w:sz="0" w:space="0" w:color="auto"/>
                                <w:left w:val="none" w:sz="0" w:space="0" w:color="auto"/>
                                <w:bottom w:val="none" w:sz="0" w:space="0" w:color="auto"/>
                                <w:right w:val="none" w:sz="0" w:space="0" w:color="auto"/>
                              </w:divBdr>
                              <w:divsChild>
                                <w:div w:id="1584995098">
                                  <w:marLeft w:val="0"/>
                                  <w:marRight w:val="0"/>
                                  <w:marTop w:val="0"/>
                                  <w:marBottom w:val="0"/>
                                  <w:divBdr>
                                    <w:top w:val="none" w:sz="0" w:space="0" w:color="auto"/>
                                    <w:left w:val="none" w:sz="0" w:space="0" w:color="auto"/>
                                    <w:bottom w:val="none" w:sz="0" w:space="0" w:color="auto"/>
                                    <w:right w:val="none" w:sz="0" w:space="0" w:color="auto"/>
                                  </w:divBdr>
                                  <w:divsChild>
                                    <w:div w:id="1040665120">
                                      <w:marLeft w:val="0"/>
                                      <w:marRight w:val="0"/>
                                      <w:marTop w:val="0"/>
                                      <w:marBottom w:val="0"/>
                                      <w:divBdr>
                                        <w:top w:val="none" w:sz="0" w:space="0" w:color="auto"/>
                                        <w:left w:val="none" w:sz="0" w:space="0" w:color="auto"/>
                                        <w:bottom w:val="none" w:sz="0" w:space="0" w:color="auto"/>
                                        <w:right w:val="none" w:sz="0" w:space="0" w:color="auto"/>
                                      </w:divBdr>
                                    </w:div>
                                  </w:divsChild>
                                </w:div>
                                <w:div w:id="1833372063">
                                  <w:marLeft w:val="0"/>
                                  <w:marRight w:val="0"/>
                                  <w:marTop w:val="0"/>
                                  <w:marBottom w:val="0"/>
                                  <w:divBdr>
                                    <w:top w:val="none" w:sz="0" w:space="0" w:color="auto"/>
                                    <w:left w:val="none" w:sz="0" w:space="0" w:color="auto"/>
                                    <w:bottom w:val="none" w:sz="0" w:space="0" w:color="auto"/>
                                    <w:right w:val="none" w:sz="0" w:space="0" w:color="auto"/>
                                  </w:divBdr>
                                  <w:divsChild>
                                    <w:div w:id="1277983735">
                                      <w:marLeft w:val="0"/>
                                      <w:marRight w:val="0"/>
                                      <w:marTop w:val="0"/>
                                      <w:marBottom w:val="0"/>
                                      <w:divBdr>
                                        <w:top w:val="none" w:sz="0" w:space="0" w:color="auto"/>
                                        <w:left w:val="none" w:sz="0" w:space="0" w:color="auto"/>
                                        <w:bottom w:val="none" w:sz="0" w:space="0" w:color="auto"/>
                                        <w:right w:val="none" w:sz="0" w:space="0" w:color="auto"/>
                                      </w:divBdr>
                                      <w:divsChild>
                                        <w:div w:id="1500803666">
                                          <w:marLeft w:val="0"/>
                                          <w:marRight w:val="0"/>
                                          <w:marTop w:val="0"/>
                                          <w:marBottom w:val="0"/>
                                          <w:divBdr>
                                            <w:top w:val="none" w:sz="0" w:space="0" w:color="auto"/>
                                            <w:left w:val="none" w:sz="0" w:space="0" w:color="auto"/>
                                            <w:bottom w:val="none" w:sz="0" w:space="0" w:color="auto"/>
                                            <w:right w:val="none" w:sz="0" w:space="0" w:color="auto"/>
                                          </w:divBdr>
                                          <w:divsChild>
                                            <w:div w:id="143682796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57396287">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08977582">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54056042">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08329627">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560244849">
      <w:bodyDiv w:val="1"/>
      <w:marLeft w:val="0"/>
      <w:marRight w:val="0"/>
      <w:marTop w:val="0"/>
      <w:marBottom w:val="0"/>
      <w:divBdr>
        <w:top w:val="none" w:sz="0" w:space="0" w:color="auto"/>
        <w:left w:val="none" w:sz="0" w:space="0" w:color="auto"/>
        <w:bottom w:val="none" w:sz="0" w:space="0" w:color="auto"/>
        <w:right w:val="none" w:sz="0" w:space="0" w:color="auto"/>
      </w:divBdr>
    </w:div>
    <w:div w:id="1584870066">
      <w:bodyDiv w:val="1"/>
      <w:marLeft w:val="0"/>
      <w:marRight w:val="0"/>
      <w:marTop w:val="0"/>
      <w:marBottom w:val="0"/>
      <w:divBdr>
        <w:top w:val="none" w:sz="0" w:space="0" w:color="auto"/>
        <w:left w:val="none" w:sz="0" w:space="0" w:color="auto"/>
        <w:bottom w:val="none" w:sz="0" w:space="0" w:color="auto"/>
        <w:right w:val="none" w:sz="0" w:space="0" w:color="auto"/>
      </w:divBdr>
      <w:divsChild>
        <w:div w:id="877007232">
          <w:marLeft w:val="0"/>
          <w:marRight w:val="0"/>
          <w:marTop w:val="0"/>
          <w:marBottom w:val="0"/>
          <w:divBdr>
            <w:top w:val="none" w:sz="0" w:space="0" w:color="auto"/>
            <w:left w:val="none" w:sz="0" w:space="0" w:color="auto"/>
            <w:bottom w:val="none" w:sz="0" w:space="0" w:color="auto"/>
            <w:right w:val="none" w:sz="0" w:space="0" w:color="auto"/>
          </w:divBdr>
        </w:div>
      </w:divsChild>
    </w:div>
    <w:div w:id="1602369744">
      <w:bodyDiv w:val="1"/>
      <w:marLeft w:val="0"/>
      <w:marRight w:val="0"/>
      <w:marTop w:val="0"/>
      <w:marBottom w:val="0"/>
      <w:divBdr>
        <w:top w:val="none" w:sz="0" w:space="0" w:color="auto"/>
        <w:left w:val="none" w:sz="0" w:space="0" w:color="auto"/>
        <w:bottom w:val="none" w:sz="0" w:space="0" w:color="auto"/>
        <w:right w:val="none" w:sz="0" w:space="0" w:color="auto"/>
      </w:divBdr>
      <w:divsChild>
        <w:div w:id="1428967776">
          <w:marLeft w:val="0"/>
          <w:marRight w:val="0"/>
          <w:marTop w:val="0"/>
          <w:marBottom w:val="0"/>
          <w:divBdr>
            <w:top w:val="none" w:sz="0" w:space="0" w:color="auto"/>
            <w:left w:val="none" w:sz="0" w:space="0" w:color="auto"/>
            <w:bottom w:val="none" w:sz="0" w:space="0" w:color="auto"/>
            <w:right w:val="none" w:sz="0" w:space="0" w:color="auto"/>
          </w:divBdr>
        </w:div>
      </w:divsChild>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53485490">
      <w:bodyDiv w:val="1"/>
      <w:marLeft w:val="0"/>
      <w:marRight w:val="0"/>
      <w:marTop w:val="0"/>
      <w:marBottom w:val="0"/>
      <w:divBdr>
        <w:top w:val="none" w:sz="0" w:space="0" w:color="auto"/>
        <w:left w:val="none" w:sz="0" w:space="0" w:color="auto"/>
        <w:bottom w:val="none" w:sz="0" w:space="0" w:color="auto"/>
        <w:right w:val="none" w:sz="0" w:space="0" w:color="auto"/>
      </w:divBdr>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1938320748">
      <w:bodyDiv w:val="1"/>
      <w:marLeft w:val="0"/>
      <w:marRight w:val="0"/>
      <w:marTop w:val="0"/>
      <w:marBottom w:val="0"/>
      <w:divBdr>
        <w:top w:val="none" w:sz="0" w:space="0" w:color="auto"/>
        <w:left w:val="none" w:sz="0" w:space="0" w:color="auto"/>
        <w:bottom w:val="none" w:sz="0" w:space="0" w:color="auto"/>
        <w:right w:val="none" w:sz="0" w:space="0" w:color="auto"/>
      </w:divBdr>
    </w:div>
    <w:div w:id="1947810700">
      <w:bodyDiv w:val="1"/>
      <w:marLeft w:val="0"/>
      <w:marRight w:val="0"/>
      <w:marTop w:val="0"/>
      <w:marBottom w:val="0"/>
      <w:divBdr>
        <w:top w:val="none" w:sz="0" w:space="0" w:color="auto"/>
        <w:left w:val="none" w:sz="0" w:space="0" w:color="auto"/>
        <w:bottom w:val="none" w:sz="0" w:space="0" w:color="auto"/>
        <w:right w:val="none" w:sz="0" w:space="0" w:color="auto"/>
      </w:divBdr>
      <w:divsChild>
        <w:div w:id="707800277">
          <w:marLeft w:val="0"/>
          <w:marRight w:val="0"/>
          <w:marTop w:val="0"/>
          <w:marBottom w:val="0"/>
          <w:divBdr>
            <w:top w:val="none" w:sz="0" w:space="0" w:color="auto"/>
            <w:left w:val="none" w:sz="0" w:space="0" w:color="auto"/>
            <w:bottom w:val="none" w:sz="0" w:space="0" w:color="auto"/>
            <w:right w:val="none" w:sz="0" w:space="0" w:color="auto"/>
          </w:divBdr>
        </w:div>
      </w:divsChild>
    </w:div>
    <w:div w:id="2006127053">
      <w:bodyDiv w:val="1"/>
      <w:marLeft w:val="0"/>
      <w:marRight w:val="0"/>
      <w:marTop w:val="0"/>
      <w:marBottom w:val="0"/>
      <w:divBdr>
        <w:top w:val="none" w:sz="0" w:space="0" w:color="auto"/>
        <w:left w:val="none" w:sz="0" w:space="0" w:color="auto"/>
        <w:bottom w:val="none" w:sz="0" w:space="0" w:color="auto"/>
        <w:right w:val="none" w:sz="0" w:space="0" w:color="auto"/>
      </w:divBdr>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13279157">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law.utk.edu/cgi/viewcontent.cgi?article=1870&amp;context=utklaw_facpubs" TargetMode="External"/><Relationship Id="rId18" Type="http://schemas.openxmlformats.org/officeDocument/2006/relationships/hyperlink" Target="https://www.sec.gov/news/press-release/2014-229Links%20to%20an%20external%20site." TargetMode="External"/><Relationship Id="rId26" Type="http://schemas.openxmlformats.org/officeDocument/2006/relationships/hyperlink" Target="https://www.bis.org/publ/cgfs_fsb1.pdfLinks%20to%20an%20external%20site." TargetMode="External"/><Relationship Id="rId39" Type="http://schemas.openxmlformats.org/officeDocument/2006/relationships/footer" Target="footer3.xml"/><Relationship Id="rId21" Type="http://schemas.openxmlformats.org/officeDocument/2006/relationships/hyperlink" Target="https://www.youtube.com/watch?v=suUVjOi5tHALinks%20to%20an%20external%20sit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4nCTdQlH8w" TargetMode="External"/><Relationship Id="rId20" Type="http://schemas.openxmlformats.org/officeDocument/2006/relationships/hyperlink" Target="https://www.wsj.com/articles/athena-capital-settles-stock-manipulation-charges-with-sec-1413486055Links%20to%20an%20external%20site." TargetMode="External"/><Relationship Id="rId29" Type="http://schemas.openxmlformats.org/officeDocument/2006/relationships/hyperlink" Target="https://www.skadden.com/insights/publications/2022/02/district-court-upholds-occ-and-fdic-valid-when-made-rulesLinks%20to%20an%20external%20si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sreports.congress.gov/product/pdf/R/R46333Links%20to%20an%20external%20site." TargetMode="External"/><Relationship Id="rId24" Type="http://schemas.openxmlformats.org/officeDocument/2006/relationships/hyperlink" Target="https://www.sec.gov/news/press-release/2020-334Links%20to%20an%20external%20site." TargetMode="External"/><Relationship Id="rId32" Type="http://schemas.openxmlformats.org/officeDocument/2006/relationships/hyperlink" Target="https://www.ftc.gov/sites/default/files/documents/cases/1998/01/capitcmp.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4nCTdQlH8wLinks%20to%20an%20external%20site." TargetMode="External"/><Relationship Id="rId23" Type="http://schemas.openxmlformats.org/officeDocument/2006/relationships/hyperlink" Target="https://www.sec.gov/litigation/admin/2022/34-95087.pdfLinks%20to%20an%20external%20site." TargetMode="External"/><Relationship Id="rId28" Type="http://schemas.openxmlformats.org/officeDocument/2006/relationships/hyperlink" Target="https://www.davispolk.com/sites/default/files/madden-true-lender-federal-regulatory-fix-whitepaper_final.pdfLinks%20to%20an%20external%20site." TargetMode="External"/><Relationship Id="rId36" Type="http://schemas.openxmlformats.org/officeDocument/2006/relationships/footer" Target="footer1.xml"/><Relationship Id="rId10" Type="http://schemas.openxmlformats.org/officeDocument/2006/relationships/hyperlink" Target="https://www3.weforum.org/docs/IP/2015/FS/GAC15_The_Future_of_FinTech_Paradigm_Shift_Small_Business_Finance_report_2015.pdf" TargetMode="External"/><Relationship Id="rId19" Type="http://schemas.openxmlformats.org/officeDocument/2006/relationships/hyperlink" Target="https://www.sec.gov/litigation/admin/2014/34-73369.pdfLinks%20to%20an%20external%20site." TargetMode="External"/><Relationship Id="rId31" Type="http://schemas.openxmlformats.org/officeDocument/2006/relationships/hyperlink" Target="https://casetext.com/case/barrer-v-chase-bankLinks%20to%20an%20external%20site." TargetMode="Externa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yperlink" Target="https://www.sec.gov/info/smallbus/secg/rccomplianceguide-051316&#160;Links%20to%20an%20external%20site." TargetMode="External"/><Relationship Id="rId22" Type="http://schemas.openxmlformats.org/officeDocument/2006/relationships/hyperlink" Target="https://www.youtube.com/watch?v=suUVjOi5tHA" TargetMode="External"/><Relationship Id="rId27" Type="http://schemas.openxmlformats.org/officeDocument/2006/relationships/hyperlink" Target="https://caselaw.findlaw.com/us-2nd-circuit/1701613.htmlLinks%20to%20an%20external%20site." TargetMode="External"/><Relationship Id="rId30" Type="http://schemas.openxmlformats.org/officeDocument/2006/relationships/hyperlink" Target="https://ufl.instructure.com/courses/471649/files/76824441?wrap=1" TargetMode="External"/><Relationship Id="rId35" Type="http://schemas.openxmlformats.org/officeDocument/2006/relationships/header" Target="header2.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12" Type="http://schemas.openxmlformats.org/officeDocument/2006/relationships/hyperlink" Target="https://single-market-economy.ec.europa.eu/access-finance/guide-crowdfunding/what-crowdfunding/crowdfunding-explained_enLinks%20to%20an%20external%20site." TargetMode="External"/><Relationship Id="rId17" Type="http://schemas.openxmlformats.org/officeDocument/2006/relationships/image" Target="media/image1.png"/><Relationship Id="rId25" Type="http://schemas.openxmlformats.org/officeDocument/2006/relationships/hyperlink" Target="https://www.morganlewis.com/-/media/files/publication/morgan-lewis-title/white-paper/2021/the-secs-new-marketing-rule-key-takeaways-for-advisers.pdfLinks%20to%20an%20external%20site." TargetMode="External"/><Relationship Id="rId33" Type="http://schemas.openxmlformats.org/officeDocument/2006/relationships/hyperlink" Target="https://www.justice.gov/usao-sdny/press-release/file/1035076/downloadLinks%20to%20an%20external%20site."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2271</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2023-08-08T18:47:00Z</dcterms:created>
  <dcterms:modified xsi:type="dcterms:W3CDTF">2023-08-08T18:47:00Z</dcterms:modified>
</cp:coreProperties>
</file>