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7A73B54A" w:rsidR="00DC571D" w:rsidRPr="0050426F" w:rsidRDefault="0050426F" w:rsidP="0050426F">
      <w:pPr>
        <w:spacing w:line="259" w:lineRule="auto"/>
        <w:jc w:val="center"/>
        <w:rPr>
          <w:b/>
          <w:bCs/>
        </w:rPr>
      </w:pPr>
      <w:r w:rsidRPr="0050426F">
        <w:rPr>
          <w:b/>
          <w:bCs/>
        </w:rPr>
        <w:t>LAND USE LAW</w:t>
      </w:r>
    </w:p>
    <w:p w14:paraId="5352C854" w14:textId="11942FBF" w:rsidR="00DC571D" w:rsidRPr="0050426F" w:rsidRDefault="00DC571D" w:rsidP="0050426F">
      <w:pPr>
        <w:spacing w:after="8" w:line="265" w:lineRule="auto"/>
        <w:ind w:right="-2"/>
        <w:jc w:val="center"/>
        <w:rPr>
          <w:b/>
        </w:rPr>
      </w:pPr>
      <w:r w:rsidRPr="0050426F">
        <w:rPr>
          <w:b/>
        </w:rPr>
        <w:t>UNIVERSITY OF FLORIDA LEVIN COLLEGE OF LAW</w:t>
      </w:r>
    </w:p>
    <w:p w14:paraId="3511090B" w14:textId="45783FB0" w:rsidR="0050426F" w:rsidRDefault="0050426F" w:rsidP="0050426F">
      <w:pPr>
        <w:spacing w:after="8" w:line="265" w:lineRule="auto"/>
        <w:ind w:right="-2"/>
        <w:jc w:val="center"/>
        <w:rPr>
          <w:b/>
          <w:smallCaps/>
        </w:rPr>
      </w:pPr>
      <w:r w:rsidRPr="0050426F">
        <w:rPr>
          <w:b/>
          <w:smallCaps/>
        </w:rPr>
        <w:t>SPRING 2023</w:t>
      </w:r>
      <w:r w:rsidR="00AA2DEF" w:rsidRPr="0050426F">
        <w:rPr>
          <w:b/>
          <w:smallCaps/>
        </w:rPr>
        <w:t xml:space="preserve"> </w:t>
      </w:r>
      <w:r w:rsidR="00DC571D" w:rsidRPr="0050426F">
        <w:rPr>
          <w:b/>
          <w:smallCaps/>
        </w:rPr>
        <w:t>– LAW</w:t>
      </w:r>
      <w:r w:rsidR="00C50C4B" w:rsidRPr="0050426F">
        <w:rPr>
          <w:b/>
          <w:smallCaps/>
        </w:rPr>
        <w:t xml:space="preserve"> </w:t>
      </w:r>
      <w:r w:rsidRPr="0050426F">
        <w:rPr>
          <w:b/>
          <w:smallCaps/>
        </w:rPr>
        <w:t>6460</w:t>
      </w:r>
      <w:r w:rsidR="00DC571D" w:rsidRPr="0050426F">
        <w:rPr>
          <w:b/>
          <w:smallCaps/>
        </w:rPr>
        <w:t xml:space="preserve"> </w:t>
      </w:r>
      <w:r w:rsidRPr="0050426F">
        <w:rPr>
          <w:b/>
          <w:smallCaps/>
        </w:rPr>
        <w:t>(#27358)</w:t>
      </w:r>
      <w:r>
        <w:rPr>
          <w:b/>
          <w:smallCaps/>
        </w:rPr>
        <w:t xml:space="preserve"> </w:t>
      </w:r>
      <w:r w:rsidR="00DC571D" w:rsidRPr="0050426F">
        <w:rPr>
          <w:b/>
          <w:smallCaps/>
        </w:rPr>
        <w:t xml:space="preserve">– </w:t>
      </w:r>
      <w:r w:rsidRPr="0050426F">
        <w:rPr>
          <w:b/>
          <w:smallCaps/>
        </w:rPr>
        <w:t>3</w:t>
      </w:r>
      <w:r w:rsidR="00DC571D" w:rsidRPr="0050426F">
        <w:rPr>
          <w:b/>
          <w:smallCaps/>
        </w:rPr>
        <w:t xml:space="preserve"> CREDITS</w:t>
      </w:r>
    </w:p>
    <w:p w14:paraId="1C42F52C" w14:textId="7CF8725F" w:rsidR="001E2603" w:rsidRPr="0050426F" w:rsidRDefault="0050426F" w:rsidP="0050426F">
      <w:pPr>
        <w:spacing w:after="8" w:line="265" w:lineRule="auto"/>
        <w:ind w:right="-2"/>
        <w:jc w:val="center"/>
        <w:rPr>
          <w:b/>
          <w:i/>
          <w:smallCaps/>
        </w:rPr>
      </w:pPr>
      <w:r w:rsidRPr="0050426F">
        <w:rPr>
          <w:b/>
          <w:i/>
        </w:rPr>
        <w:t>SYLLABUS AND CLASS PROCEDURES</w:t>
      </w:r>
    </w:p>
    <w:p w14:paraId="6A1B78BB" w14:textId="77777777" w:rsidR="0044543F" w:rsidRPr="00F335E2" w:rsidRDefault="0044543F" w:rsidP="0044543F">
      <w:pPr>
        <w:spacing w:after="8" w:line="265" w:lineRule="auto"/>
        <w:ind w:left="1791" w:right="1718"/>
        <w:jc w:val="center"/>
        <w:rPr>
          <w:b/>
          <w:sz w:val="22"/>
          <w:szCs w:val="22"/>
        </w:rPr>
      </w:pPr>
    </w:p>
    <w:p w14:paraId="47E47726" w14:textId="637BBADE" w:rsidR="006A5D34" w:rsidRPr="0050426F" w:rsidRDefault="006A5D34" w:rsidP="006A5D34">
      <w:r w:rsidRPr="0050426F">
        <w:t xml:space="preserve">Professor </w:t>
      </w:r>
      <w:r w:rsidR="0050426F" w:rsidRPr="0050426F">
        <w:rPr>
          <w:lang w:eastAsia="zh-CN"/>
        </w:rPr>
        <w:t>Michael Allan Wolf</w:t>
      </w:r>
    </w:p>
    <w:p w14:paraId="22BBBF3A" w14:textId="42D40342" w:rsidR="006A5D34" w:rsidRPr="0050426F" w:rsidRDefault="00500A1B" w:rsidP="006A5D34">
      <w:r>
        <w:t>Holland 3</w:t>
      </w:r>
      <w:r w:rsidR="0050426F" w:rsidRPr="0050426F">
        <w:t>07</w:t>
      </w:r>
    </w:p>
    <w:p w14:paraId="42D0C8C7" w14:textId="1DEA6E2A" w:rsidR="0050426F" w:rsidRPr="0050426F" w:rsidRDefault="006A5D34" w:rsidP="006A5D34">
      <w:r w:rsidRPr="0050426F">
        <w:t xml:space="preserve">Office Phone: </w:t>
      </w:r>
      <w:r w:rsidR="0050426F" w:rsidRPr="0050426F">
        <w:t>352-359-2497</w:t>
      </w:r>
    </w:p>
    <w:p w14:paraId="05CB6241" w14:textId="1E22D524" w:rsidR="006A5D34" w:rsidRPr="0050426F" w:rsidRDefault="006A5D34" w:rsidP="006A5D34">
      <w:r w:rsidRPr="0050426F">
        <w:t xml:space="preserve">Email: </w:t>
      </w:r>
      <w:r w:rsidR="0050426F">
        <w:t>wolfm@law.ufl.edu</w:t>
      </w:r>
    </w:p>
    <w:p w14:paraId="668500BF" w14:textId="394449F9" w:rsidR="006A5D34" w:rsidRPr="00D553B6" w:rsidRDefault="006A5D34" w:rsidP="00561911">
      <w:pPr>
        <w:rPr>
          <w:i/>
          <w:lang w:eastAsia="zh-CN"/>
        </w:rPr>
      </w:pPr>
      <w:r w:rsidRPr="0050426F">
        <w:t xml:space="preserve">Office Hours: </w:t>
      </w:r>
      <w:r w:rsidR="0050426F" w:rsidRPr="00D553B6">
        <w:rPr>
          <w:rStyle w:val="ItemDescription"/>
          <w:rFonts w:ascii="Times New Roman" w:hAnsi="Times New Roman" w:cs="Times New Roman"/>
          <w:i w:val="0"/>
        </w:rPr>
        <w:t>I am typically in my office Monday through Friday. I do not restrict my contact with students to a few hours per week. If I am not in the office when you want to meet, and you would like to set up an appointment, please send me an email message.</w:t>
      </w:r>
    </w:p>
    <w:p w14:paraId="177A94E1" w14:textId="77777777" w:rsidR="006A5D34" w:rsidRPr="0050426F" w:rsidRDefault="006A5D34" w:rsidP="006A5D34"/>
    <w:p w14:paraId="329582A2" w14:textId="7C4B3F45" w:rsidR="00242088" w:rsidRPr="0050426F" w:rsidRDefault="006A5D34" w:rsidP="00242088">
      <w:pPr>
        <w:shd w:val="clear" w:color="auto" w:fill="FFFFFF"/>
        <w:rPr>
          <w:color w:val="C00000"/>
          <w:lang w:eastAsia="zh-CN"/>
        </w:rPr>
      </w:pPr>
      <w:r w:rsidRPr="0050426F">
        <w:rPr>
          <w:b/>
          <w:u w:val="single"/>
        </w:rPr>
        <w:t>MEETING TIME</w:t>
      </w:r>
      <w:r w:rsidR="0050426F">
        <w:rPr>
          <w:b/>
          <w:u w:val="single"/>
        </w:rPr>
        <w:t>:</w:t>
      </w:r>
      <w:r w:rsidR="0050426F">
        <w:t xml:space="preserve"> Tuesdays and Thursdays, 10:35 am to 12 noon</w:t>
      </w:r>
    </w:p>
    <w:p w14:paraId="38422F12" w14:textId="3BA05114" w:rsidR="006A5D34" w:rsidRPr="0050426F" w:rsidRDefault="006A5D34" w:rsidP="00242088">
      <w:pPr>
        <w:rPr>
          <w:u w:val="single"/>
        </w:rPr>
      </w:pPr>
      <w:r w:rsidRPr="0050426F">
        <w:rPr>
          <w:b/>
          <w:u w:val="single"/>
        </w:rPr>
        <w:t>LOCATION</w:t>
      </w:r>
      <w:r w:rsidR="00242088" w:rsidRPr="0050426F">
        <w:rPr>
          <w:b/>
          <w:u w:val="single"/>
        </w:rPr>
        <w:t>:</w:t>
      </w:r>
      <w:r w:rsidRPr="0050426F">
        <w:rPr>
          <w:u w:val="single"/>
        </w:rPr>
        <w:t xml:space="preserve"> </w:t>
      </w:r>
      <w:r w:rsidR="0050426F" w:rsidRPr="0050426F">
        <w:rPr>
          <w:lang w:eastAsia="zh-CN"/>
        </w:rPr>
        <w:t>Holland 382</w:t>
      </w:r>
    </w:p>
    <w:p w14:paraId="154C7CCF" w14:textId="77777777" w:rsidR="006A5D34" w:rsidRPr="0050426F" w:rsidRDefault="006A5D34" w:rsidP="006A5D34"/>
    <w:p w14:paraId="5373273B" w14:textId="5D669376" w:rsidR="00B47272" w:rsidRPr="0050426F" w:rsidRDefault="006A5D34" w:rsidP="00B47272">
      <w:pPr>
        <w:rPr>
          <w:b/>
          <w:u w:val="single"/>
        </w:rPr>
      </w:pPr>
      <w:r w:rsidRPr="0050426F">
        <w:rPr>
          <w:b/>
          <w:u w:val="single"/>
        </w:rPr>
        <w:t>COURSE DESCRIPTION</w:t>
      </w:r>
      <w:r w:rsidR="004A4C6F" w:rsidRPr="0050426F">
        <w:rPr>
          <w:b/>
          <w:u w:val="single"/>
        </w:rPr>
        <w:t xml:space="preserve"> AND OBJECTIVES</w:t>
      </w:r>
      <w:r w:rsidR="00242088" w:rsidRPr="0050426F">
        <w:rPr>
          <w:b/>
          <w:u w:val="single"/>
        </w:rPr>
        <w:t>:</w:t>
      </w:r>
    </w:p>
    <w:p w14:paraId="7593FA54" w14:textId="77777777" w:rsidR="0050426F" w:rsidRPr="00D553B6" w:rsidRDefault="0050426F" w:rsidP="0050426F">
      <w:pPr>
        <w:rPr>
          <w:rStyle w:val="ItemDescription"/>
          <w:rFonts w:ascii="Times New Roman" w:hAnsi="Times New Roman" w:cs="Times New Roman"/>
          <w:i w:val="0"/>
        </w:rPr>
      </w:pPr>
      <w:r w:rsidRPr="00D553B6">
        <w:rPr>
          <w:rStyle w:val="ItemDescription"/>
          <w:rFonts w:ascii="Times New Roman" w:hAnsi="Times New Roman" w:cs="Times New Roman"/>
          <w:i w:val="0"/>
        </w:rPr>
        <w:t xml:space="preserve">A study of the legal aspects of the allocation and development of land resources; private controls through covenants and easements; public regulation and control through zoning and subdivision regulation; social, </w:t>
      </w:r>
      <w:proofErr w:type="gramStart"/>
      <w:r w:rsidRPr="00D553B6">
        <w:rPr>
          <w:rStyle w:val="ItemDescription"/>
          <w:rFonts w:ascii="Times New Roman" w:hAnsi="Times New Roman" w:cs="Times New Roman"/>
          <w:i w:val="0"/>
        </w:rPr>
        <w:t>economic</w:t>
      </w:r>
      <w:proofErr w:type="gramEnd"/>
      <w:r w:rsidRPr="00D553B6">
        <w:rPr>
          <w:rStyle w:val="ItemDescription"/>
          <w:rFonts w:ascii="Times New Roman" w:hAnsi="Times New Roman" w:cs="Times New Roman"/>
          <w:i w:val="0"/>
        </w:rPr>
        <w:t xml:space="preserve"> and political implications of land regulations; eminent domain; selected current problems such as growth management, historic preservation, environmental regulations, and urban development.</w:t>
      </w:r>
    </w:p>
    <w:p w14:paraId="61212C92" w14:textId="77777777" w:rsidR="00561911" w:rsidRPr="0050426F" w:rsidRDefault="00561911" w:rsidP="006A5D34">
      <w:pPr>
        <w:rPr>
          <w:b/>
          <w:u w:val="single"/>
        </w:rPr>
      </w:pPr>
    </w:p>
    <w:p w14:paraId="69B96114" w14:textId="433406A2" w:rsidR="006A5D34" w:rsidRPr="0050426F" w:rsidRDefault="006A5D34" w:rsidP="006A5D34">
      <w:pPr>
        <w:rPr>
          <w:b/>
          <w:u w:val="single"/>
        </w:rPr>
      </w:pPr>
      <w:r w:rsidRPr="0050426F">
        <w:rPr>
          <w:b/>
          <w:u w:val="single"/>
        </w:rPr>
        <w:t>STUDENT LEARNING OUTCOMES</w:t>
      </w:r>
      <w:r w:rsidR="00242088" w:rsidRPr="0050426F">
        <w:rPr>
          <w:b/>
          <w:u w:val="single"/>
        </w:rPr>
        <w:t>:</w:t>
      </w:r>
    </w:p>
    <w:p w14:paraId="553DD2E3" w14:textId="77777777" w:rsidR="0050426F" w:rsidRPr="00D553B6" w:rsidRDefault="0050426F" w:rsidP="0050426F">
      <w:r w:rsidRPr="00D553B6">
        <w:rPr>
          <w:rStyle w:val="ItemDescription"/>
          <w:rFonts w:ascii="Times New Roman" w:hAnsi="Times New Roman" w:cs="Times New Roman"/>
          <w:i w:val="0"/>
        </w:rPr>
        <w:t xml:space="preserve">By the end of this course, it is my hope that students will: </w:t>
      </w:r>
      <w:r w:rsidRPr="00D553B6">
        <w:t xml:space="preserve"> </w:t>
      </w:r>
    </w:p>
    <w:p w14:paraId="7359B3FB" w14:textId="77777777" w:rsidR="0050426F" w:rsidRPr="00D553B6" w:rsidRDefault="0050426F" w:rsidP="0050426F"/>
    <w:p w14:paraId="3FD02C5A" w14:textId="77777777" w:rsidR="0050426F" w:rsidRPr="00D553B6" w:rsidRDefault="0050426F" w:rsidP="0050426F">
      <w:pPr>
        <w:pStyle w:val="Default"/>
        <w:numPr>
          <w:ilvl w:val="0"/>
          <w:numId w:val="3"/>
        </w:numPr>
        <w:spacing w:after="289"/>
        <w:rPr>
          <w:sz w:val="23"/>
          <w:szCs w:val="23"/>
        </w:rPr>
      </w:pPr>
      <w:r w:rsidRPr="00D553B6">
        <w:rPr>
          <w:iCs/>
          <w:sz w:val="23"/>
          <w:szCs w:val="23"/>
        </w:rPr>
        <w:t xml:space="preserve">gain an understanding of the interplay between government regulation of land use and the rights and responsibilities of property owners, </w:t>
      </w:r>
    </w:p>
    <w:p w14:paraId="30424307" w14:textId="77777777" w:rsidR="0050426F" w:rsidRPr="00D553B6" w:rsidRDefault="0050426F" w:rsidP="0050426F">
      <w:pPr>
        <w:pStyle w:val="Default"/>
        <w:numPr>
          <w:ilvl w:val="0"/>
          <w:numId w:val="3"/>
        </w:numPr>
        <w:spacing w:after="289"/>
        <w:rPr>
          <w:sz w:val="23"/>
          <w:szCs w:val="23"/>
        </w:rPr>
      </w:pPr>
      <w:r w:rsidRPr="00D553B6">
        <w:rPr>
          <w:iCs/>
          <w:sz w:val="23"/>
          <w:szCs w:val="23"/>
        </w:rPr>
        <w:t xml:space="preserve">be experienced in using cases as tools for advancing a client's interests, </w:t>
      </w:r>
    </w:p>
    <w:p w14:paraId="79121E35" w14:textId="77777777" w:rsidR="0050426F" w:rsidRPr="00D553B6" w:rsidRDefault="0050426F" w:rsidP="0050426F">
      <w:pPr>
        <w:pStyle w:val="Default"/>
        <w:numPr>
          <w:ilvl w:val="0"/>
          <w:numId w:val="3"/>
        </w:numPr>
        <w:spacing w:after="289"/>
        <w:rPr>
          <w:sz w:val="23"/>
          <w:szCs w:val="23"/>
        </w:rPr>
      </w:pPr>
      <w:r w:rsidRPr="00D553B6">
        <w:rPr>
          <w:iCs/>
          <w:sz w:val="23"/>
          <w:szCs w:val="23"/>
        </w:rPr>
        <w:t xml:space="preserve">appreciate the many intersections between modern American land use regulation and environmental and sustainability law, </w:t>
      </w:r>
    </w:p>
    <w:p w14:paraId="300E9D98" w14:textId="77777777" w:rsidR="00D553B6" w:rsidRPr="00D553B6" w:rsidRDefault="0050426F" w:rsidP="00D553B6">
      <w:pPr>
        <w:pStyle w:val="Default"/>
        <w:numPr>
          <w:ilvl w:val="0"/>
          <w:numId w:val="3"/>
        </w:numPr>
        <w:rPr>
          <w:sz w:val="23"/>
          <w:szCs w:val="23"/>
        </w:rPr>
      </w:pPr>
      <w:r w:rsidRPr="00D553B6">
        <w:rPr>
          <w:iCs/>
          <w:sz w:val="23"/>
          <w:szCs w:val="23"/>
        </w:rPr>
        <w:t xml:space="preserve">write well-organized answers to essay questions that spot issues, relate the relevant law to the pertinent facts, and resolve those issues, </w:t>
      </w:r>
    </w:p>
    <w:p w14:paraId="64804A36" w14:textId="77777777" w:rsidR="00D553B6" w:rsidRPr="00D553B6" w:rsidRDefault="00D553B6" w:rsidP="00D553B6">
      <w:pPr>
        <w:pStyle w:val="Default"/>
        <w:ind w:left="720"/>
        <w:rPr>
          <w:sz w:val="23"/>
          <w:szCs w:val="23"/>
        </w:rPr>
      </w:pPr>
    </w:p>
    <w:p w14:paraId="13FACB3B" w14:textId="3BC08A24" w:rsidR="00B47272" w:rsidRPr="00D553B6" w:rsidRDefault="0050426F" w:rsidP="00D553B6">
      <w:pPr>
        <w:pStyle w:val="Default"/>
        <w:numPr>
          <w:ilvl w:val="0"/>
          <w:numId w:val="3"/>
        </w:numPr>
        <w:rPr>
          <w:sz w:val="23"/>
          <w:szCs w:val="23"/>
        </w:rPr>
      </w:pPr>
      <w:r w:rsidRPr="00D553B6">
        <w:rPr>
          <w:iCs/>
          <w:sz w:val="23"/>
          <w:szCs w:val="23"/>
        </w:rPr>
        <w:t>understand the diverse and evolving local government toolbox for regulating land use</w:t>
      </w:r>
      <w:r w:rsidRPr="00D553B6">
        <w:rPr>
          <w:i/>
          <w:iCs/>
          <w:sz w:val="23"/>
          <w:szCs w:val="23"/>
        </w:rPr>
        <w:t>.</w:t>
      </w:r>
      <w:r w:rsidR="00B47272" w:rsidRPr="00D553B6">
        <w:rPr>
          <w:color w:val="C00000"/>
        </w:rPr>
        <w:t xml:space="preserve"> </w:t>
      </w:r>
    </w:p>
    <w:p w14:paraId="3109D29E" w14:textId="77777777" w:rsidR="006A5D34" w:rsidRPr="0050426F" w:rsidRDefault="006A5D34" w:rsidP="006A5D34">
      <w:pPr>
        <w:rPr>
          <w:b/>
          <w:u w:val="single"/>
        </w:rPr>
      </w:pPr>
    </w:p>
    <w:p w14:paraId="0212562F" w14:textId="7F9E8AD0" w:rsidR="00DA68FE" w:rsidRPr="0050426F" w:rsidRDefault="00DA68FE" w:rsidP="00DA68FE">
      <w:r w:rsidRPr="0050426F">
        <w:rPr>
          <w:b/>
          <w:u w:val="single"/>
        </w:rPr>
        <w:t xml:space="preserve">REQUIRED </w:t>
      </w:r>
      <w:r w:rsidR="00242088" w:rsidRPr="0050426F">
        <w:rPr>
          <w:b/>
          <w:u w:val="single"/>
        </w:rPr>
        <w:t>READING MATERIALS:</w:t>
      </w:r>
    </w:p>
    <w:p w14:paraId="63B3FA3F" w14:textId="52E30F3C" w:rsidR="0050426F" w:rsidRDefault="0050426F" w:rsidP="00B942A3">
      <w:pPr>
        <w:autoSpaceDE w:val="0"/>
        <w:autoSpaceDN w:val="0"/>
        <w:adjustRightInd w:val="0"/>
      </w:pPr>
      <w:r w:rsidRPr="0050426F">
        <w:t xml:space="preserve">THERE IS ONE REQUIRED TEXT FOR THIS CLASS: </w:t>
      </w:r>
      <w:r w:rsidRPr="0050426F">
        <w:rPr>
          <w:smallCaps/>
        </w:rPr>
        <w:t xml:space="preserve">Charles M. </w:t>
      </w:r>
      <w:proofErr w:type="spellStart"/>
      <w:r w:rsidRPr="0050426F">
        <w:rPr>
          <w:smallCaps/>
        </w:rPr>
        <w:t>Haar</w:t>
      </w:r>
      <w:proofErr w:type="spellEnd"/>
      <w:r w:rsidRPr="0050426F">
        <w:rPr>
          <w:smallCaps/>
        </w:rPr>
        <w:t xml:space="preserve"> &amp; Michael Allan Wolf, Land Use Planning and the Environment: A Casebook</w:t>
      </w:r>
      <w:r>
        <w:t xml:space="preserve"> </w:t>
      </w:r>
      <w:r w:rsidRPr="0050426F">
        <w:t>(2010).</w:t>
      </w:r>
    </w:p>
    <w:p w14:paraId="3328DA38" w14:textId="77777777" w:rsidR="00D553B6" w:rsidRDefault="00D553B6" w:rsidP="00B942A3">
      <w:pPr>
        <w:autoSpaceDE w:val="0"/>
        <w:autoSpaceDN w:val="0"/>
        <w:adjustRightInd w:val="0"/>
      </w:pPr>
    </w:p>
    <w:p w14:paraId="41486A1D" w14:textId="175DFDC1" w:rsidR="00D553B6" w:rsidRPr="0050426F" w:rsidRDefault="00D553B6" w:rsidP="00B942A3">
      <w:pPr>
        <w:autoSpaceDE w:val="0"/>
        <w:autoSpaceDN w:val="0"/>
        <w:adjustRightInd w:val="0"/>
      </w:pPr>
      <w:r w:rsidRPr="00D553B6">
        <w:t>ADDITIONAL ASSIGNMENTS (INCLUDING NEW CASES) WILL BE POSTED ON THE CANVAS SITE FOR THIS COURSE OR DISTRIBUTED BY EMAIL.</w:t>
      </w:r>
    </w:p>
    <w:p w14:paraId="0A942379" w14:textId="77777777" w:rsidR="0050426F" w:rsidRDefault="0050426F" w:rsidP="00B942A3">
      <w:pPr>
        <w:autoSpaceDE w:val="0"/>
        <w:autoSpaceDN w:val="0"/>
        <w:adjustRightInd w:val="0"/>
        <w:rPr>
          <w:color w:val="C00000"/>
        </w:rPr>
      </w:pPr>
    </w:p>
    <w:p w14:paraId="27D29B67" w14:textId="23DC92C6" w:rsidR="00B47272" w:rsidRPr="0050426F" w:rsidRDefault="00B942A3" w:rsidP="00B942A3">
      <w:pPr>
        <w:autoSpaceDE w:val="0"/>
        <w:autoSpaceDN w:val="0"/>
        <w:adjustRightInd w:val="0"/>
      </w:pPr>
      <w:r w:rsidRPr="0050426F">
        <w:lastRenderedPageBreak/>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50426F">
        <w:rPr>
          <w:rFonts w:eastAsia="Baskerville Old Face"/>
        </w:rPr>
        <w:t xml:space="preserve"> </w:t>
      </w:r>
    </w:p>
    <w:p w14:paraId="031B2321" w14:textId="32660670" w:rsidR="00561911" w:rsidRPr="0050426F" w:rsidRDefault="00561911" w:rsidP="00B47272"/>
    <w:p w14:paraId="2795A657" w14:textId="38F67FCB" w:rsidR="00242088" w:rsidRPr="0050426F" w:rsidRDefault="00242088" w:rsidP="006A5D34">
      <w:pPr>
        <w:rPr>
          <w:b/>
          <w:u w:val="single"/>
        </w:rPr>
      </w:pPr>
      <w:r w:rsidRPr="0050426F">
        <w:rPr>
          <w:b/>
          <w:u w:val="single"/>
        </w:rPr>
        <w:t>COURSE EXPECTATIONS</w:t>
      </w:r>
      <w:r w:rsidR="005B79B1" w:rsidRPr="0050426F">
        <w:rPr>
          <w:b/>
          <w:u w:val="single"/>
        </w:rPr>
        <w:t xml:space="preserve"> AND GRADING EVALUATION</w:t>
      </w:r>
      <w:r w:rsidRPr="0050426F">
        <w:rPr>
          <w:b/>
          <w:u w:val="single"/>
        </w:rPr>
        <w:t>:</w:t>
      </w:r>
    </w:p>
    <w:p w14:paraId="3AB9E50C" w14:textId="0894C106" w:rsidR="00D553B6" w:rsidRPr="00D553B6" w:rsidRDefault="00D553B6" w:rsidP="006A5D34">
      <w:pPr>
        <w:rPr>
          <w:rStyle w:val="ItemDescription"/>
          <w:rFonts w:ascii="Times New Roman" w:hAnsi="Times New Roman" w:cs="Times New Roman"/>
          <w:i w:val="0"/>
        </w:rPr>
      </w:pPr>
      <w:r w:rsidRPr="00D553B6">
        <w:rPr>
          <w:rStyle w:val="ItemDescription"/>
          <w:rFonts w:ascii="Times New Roman" w:hAnsi="Times New Roman" w:cs="Times New Roman"/>
          <w:i w:val="0"/>
        </w:rPr>
        <w:t>I expect that students will have done the assigned readings for each class. I will rely on student participation to facilitate the learning of challenging concepts. Students who participate at a consistently high level may be rewarded by a one-half grade bump (e.g., from B+ to A-). I reserve the right to lower the grades of students who disrupt the learning environment by a one-half grade bump.</w:t>
      </w:r>
    </w:p>
    <w:p w14:paraId="4DBDB77B" w14:textId="77777777" w:rsidR="00D553B6" w:rsidRDefault="00D553B6" w:rsidP="006A5D34"/>
    <w:p w14:paraId="2ABAE920" w14:textId="29F32A79" w:rsidR="00D553B6" w:rsidRDefault="00D553B6" w:rsidP="006A5D34">
      <w:r w:rsidRPr="00D553B6">
        <w:t>THERE WILL BE TWO GRADED TESTS DURING THE SEMESTER: The first test will be a multiple-choice, closed-book test in which you will asked to identify cases we have covered to that point in the semester. The score on the first test will range from 0 to 20 points. The second test will be a</w:t>
      </w:r>
      <w:r>
        <w:t xml:space="preserve"> three-hour, </w:t>
      </w:r>
      <w:r w:rsidRPr="00D553B6">
        <w:t>unlimited-source, open-book final examination. You will be able to choose the day during the exam period on which to take your final examination. The score on the second test will range from 0 to 80 points.</w:t>
      </w:r>
    </w:p>
    <w:p w14:paraId="206235F6" w14:textId="5397E52D" w:rsidR="00242088" w:rsidRPr="0050426F" w:rsidRDefault="001C0EA6" w:rsidP="00B942A3">
      <w:pPr>
        <w:spacing w:before="120" w:after="200"/>
      </w:pPr>
      <w:r w:rsidRPr="0050426F">
        <w:rPr>
          <w:b/>
          <w:u w:val="single"/>
        </w:rPr>
        <w:t>CLASS ATTENDANCE POLICY:</w:t>
      </w:r>
      <w:r w:rsidRPr="0050426F">
        <w:br/>
        <w:t xml:space="preserve">Attendance in class is required by both the ABA and the Law School. </w:t>
      </w:r>
      <w:r w:rsidR="00D553B6" w:rsidRPr="00D553B6">
        <w:t>Each student is permitted five class absences during the semester. Within one week of missing class, you are responsible for reporting to me via email that you missed class. There is no need to explain your absence, as I do not differentiate between excused and non-excused absences. I reserve the right to reduce the grade for a student with excessive absences and to bar the student from taking the final exam.</w:t>
      </w:r>
      <w:r w:rsidR="00D553B6">
        <w:t xml:space="preserve"> </w:t>
      </w:r>
      <w:r w:rsidRPr="0050426F">
        <w:t xml:space="preserve">The law school’s policy on attendance can be found </w:t>
      </w:r>
      <w:hyperlink r:id="rId8" w:anchor=":~:text=co%2Dcurricular%20activities.-,Attendance,regular%20and%20punctual%20class%20attendance.&amp;text=UF%20Law%20policy%20permits%20dismissal,of%2012%20credits%20per%20semester." w:history="1">
        <w:r w:rsidRPr="0050426F">
          <w:rPr>
            <w:rStyle w:val="Hyperlink"/>
          </w:rPr>
          <w:t>here</w:t>
        </w:r>
      </w:hyperlink>
      <w:r w:rsidRPr="0050426F">
        <w:t>.</w:t>
      </w:r>
    </w:p>
    <w:p w14:paraId="6E82A317" w14:textId="5C9995D7" w:rsidR="00AA2DEF" w:rsidRPr="0050426F" w:rsidRDefault="00AA2DEF" w:rsidP="00AA2DEF">
      <w:pPr>
        <w:rPr>
          <w:b/>
          <w:bCs/>
          <w:color w:val="201F1E"/>
          <w:u w:val="single"/>
          <w:bdr w:val="none" w:sz="0" w:space="0" w:color="auto" w:frame="1"/>
          <w:shd w:val="clear" w:color="auto" w:fill="FFFFFF"/>
        </w:rPr>
      </w:pPr>
      <w:r w:rsidRPr="0050426F">
        <w:rPr>
          <w:b/>
          <w:bCs/>
          <w:color w:val="201F1E"/>
          <w:u w:val="single"/>
          <w:bdr w:val="none" w:sz="0" w:space="0" w:color="auto" w:frame="1"/>
          <w:shd w:val="clear" w:color="auto" w:fill="FFFFFF"/>
        </w:rPr>
        <w:t xml:space="preserve">UF LEVIN COLLEGE OF LAW </w:t>
      </w:r>
      <w:r w:rsidR="003C6E38" w:rsidRPr="0050426F">
        <w:rPr>
          <w:b/>
          <w:bCs/>
          <w:color w:val="201F1E"/>
          <w:u w:val="single"/>
          <w:bdr w:val="none" w:sz="0" w:space="0" w:color="auto" w:frame="1"/>
          <w:shd w:val="clear" w:color="auto" w:fill="FFFFFF"/>
        </w:rPr>
        <w:t xml:space="preserve">STANDARD SYLLABUS </w:t>
      </w:r>
      <w:r w:rsidRPr="0050426F">
        <w:rPr>
          <w:b/>
          <w:bCs/>
          <w:color w:val="201F1E"/>
          <w:u w:val="single"/>
          <w:bdr w:val="none" w:sz="0" w:space="0" w:color="auto" w:frame="1"/>
          <w:shd w:val="clear" w:color="auto" w:fill="FFFFFF"/>
        </w:rPr>
        <w:t>POLICIES:</w:t>
      </w:r>
    </w:p>
    <w:p w14:paraId="6FE070EB" w14:textId="1F4486A3" w:rsidR="00AA2DEF" w:rsidRPr="0050426F" w:rsidRDefault="00AA2DEF" w:rsidP="00AA2DEF">
      <w:pPr>
        <w:rPr>
          <w:color w:val="201F1E"/>
          <w:bdr w:val="none" w:sz="0" w:space="0" w:color="auto" w:frame="1"/>
          <w:shd w:val="clear" w:color="auto" w:fill="FFFFFF"/>
        </w:rPr>
      </w:pPr>
      <w:r w:rsidRPr="0050426F">
        <w:rPr>
          <w:color w:val="201F1E"/>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9" w:tgtFrame="_blank" w:history="1">
        <w:r w:rsidR="00F14D25" w:rsidRPr="0050426F">
          <w:rPr>
            <w:rStyle w:val="Hyperlink"/>
            <w:bdr w:val="none" w:sz="0" w:space="0" w:color="auto" w:frame="1"/>
            <w:shd w:val="clear" w:color="auto" w:fill="FFFFFF"/>
          </w:rPr>
          <w:t>https://ufl.instructure.com/courses/427635/files/74674656?wrap=1</w:t>
        </w:r>
      </w:hyperlink>
      <w:r w:rsidR="00F14D25" w:rsidRPr="0050426F">
        <w:t>.</w:t>
      </w:r>
    </w:p>
    <w:p w14:paraId="1D6709E2" w14:textId="77777777" w:rsidR="00AA2DEF" w:rsidRPr="0050426F" w:rsidRDefault="00AA2DEF" w:rsidP="00AA2DEF">
      <w:pPr>
        <w:rPr>
          <w:color w:val="201F1E"/>
          <w:bdr w:val="none" w:sz="0" w:space="0" w:color="auto" w:frame="1"/>
          <w:shd w:val="clear" w:color="auto" w:fill="FFFFFF"/>
        </w:rPr>
      </w:pPr>
    </w:p>
    <w:p w14:paraId="08CE6F38" w14:textId="77777777" w:rsidR="00500A1B" w:rsidRDefault="00242088" w:rsidP="00242088">
      <w:pPr>
        <w:rPr>
          <w:b/>
        </w:rPr>
      </w:pPr>
      <w:r w:rsidRPr="0050426F">
        <w:rPr>
          <w:b/>
          <w:u w:val="single"/>
        </w:rPr>
        <w:t>ABA OUT-OF-CLASS HOURS REQUIREMENTS:</w:t>
      </w:r>
      <w:r w:rsidRPr="0050426F">
        <w:rPr>
          <w:b/>
        </w:rPr>
        <w:t xml:space="preserve"> </w:t>
      </w:r>
    </w:p>
    <w:p w14:paraId="204705B0" w14:textId="728D59F5" w:rsidR="00AA2DEF" w:rsidRDefault="00242088" w:rsidP="00242088">
      <w:pPr>
        <w:rPr>
          <w:rFonts w:eastAsia="Baskerville Old Face"/>
        </w:rPr>
      </w:pPr>
      <w:r w:rsidRPr="0050426F">
        <w:rPr>
          <w:rFonts w:eastAsia="Baskerville Old Face"/>
        </w:rPr>
        <w:t xml:space="preserve">ABA Standard 310 requires that students devote 120 minutes to out-of-class preparation for every “classroom </w:t>
      </w:r>
      <w:r w:rsidR="00D553B6">
        <w:rPr>
          <w:rFonts w:eastAsia="Baskerville Old Face"/>
        </w:rPr>
        <w:t xml:space="preserve">hour” of in-class instruction. </w:t>
      </w:r>
      <w:r w:rsidRPr="00D553B6">
        <w:rPr>
          <w:rFonts w:eastAsia="Baskerville Old Face"/>
        </w:rPr>
        <w:t xml:space="preserve">Each class is approximately </w:t>
      </w:r>
      <w:r w:rsidR="00D553B6" w:rsidRPr="00D553B6">
        <w:rPr>
          <w:rFonts w:eastAsia="Baskerville Old Face"/>
        </w:rPr>
        <w:t>1 1/</w:t>
      </w:r>
      <w:r w:rsidRPr="00D553B6">
        <w:rPr>
          <w:rFonts w:eastAsia="Baskerville Old Face"/>
        </w:rPr>
        <w:t xml:space="preserve">2 hours in length, requiring at least </w:t>
      </w:r>
      <w:r w:rsidR="00D553B6" w:rsidRPr="00D553B6">
        <w:rPr>
          <w:rFonts w:eastAsia="Baskerville Old Face"/>
        </w:rPr>
        <w:t>3</w:t>
      </w:r>
      <w:r w:rsidRPr="00D553B6">
        <w:rPr>
          <w:rFonts w:eastAsia="Baskerville Old Face"/>
          <w:bCs/>
        </w:rPr>
        <w:t xml:space="preserve"> hours of preparation</w:t>
      </w:r>
      <w:r w:rsidRPr="00D553B6">
        <w:rPr>
          <w:rFonts w:eastAsia="Baskerville Old Face"/>
        </w:rPr>
        <w:t xml:space="preserve"> </w:t>
      </w:r>
      <w:r w:rsidRPr="0050426F">
        <w:rPr>
          <w:rFonts w:eastAsia="Baskerville Old Face"/>
        </w:rPr>
        <w:t xml:space="preserve">outside of class. </w:t>
      </w:r>
    </w:p>
    <w:p w14:paraId="33C1090F" w14:textId="77777777" w:rsidR="00500A1B" w:rsidRDefault="00500A1B" w:rsidP="00242088">
      <w:pPr>
        <w:rPr>
          <w:rFonts w:eastAsia="Baskerville Old Face"/>
        </w:rPr>
      </w:pPr>
    </w:p>
    <w:p w14:paraId="2761A18E" w14:textId="77777777" w:rsidR="00500A1B" w:rsidRDefault="00500A1B" w:rsidP="00500A1B">
      <w:pPr>
        <w:rPr>
          <w:rFonts w:eastAsia="Baskerville Old Face"/>
        </w:rPr>
      </w:pPr>
      <w:r>
        <w:rPr>
          <w:rFonts w:eastAsia="Baskerville Old Face"/>
          <w:b/>
          <w:u w:val="single"/>
        </w:rPr>
        <w:t>INTERNET USE IN THE CLASSROOM:</w:t>
      </w:r>
    </w:p>
    <w:p w14:paraId="015060F0" w14:textId="251032C6" w:rsidR="00500A1B" w:rsidRDefault="00500A1B" w:rsidP="00500A1B">
      <w:pPr>
        <w:rPr>
          <w:rStyle w:val="ItemDescription"/>
          <w:rFonts w:ascii="Times New Roman" w:hAnsi="Times New Roman" w:cs="Times New Roman"/>
          <w:i w:val="0"/>
        </w:rPr>
      </w:pPr>
      <w:r w:rsidRPr="00500A1B">
        <w:rPr>
          <w:rStyle w:val="ItemDescription"/>
          <w:rFonts w:ascii="Times New Roman" w:hAnsi="Times New Roman" w:cs="Times New Roman"/>
          <w:i w:val="0"/>
        </w:rPr>
        <w:t>I expect that during each class all students will be prepared to conduct research on the internet (usually Lexis or Westlaw) using a laptop, tablet, or other means. Of course, students are not to use these devices (including smart phones) for any non-pedagogical purposes.</w:t>
      </w:r>
    </w:p>
    <w:p w14:paraId="79789025" w14:textId="77777777" w:rsidR="00500A1B" w:rsidRDefault="00500A1B">
      <w:pPr>
        <w:spacing w:after="160" w:line="259" w:lineRule="auto"/>
        <w:rPr>
          <w:rStyle w:val="ItemDescription"/>
          <w:rFonts w:ascii="Times New Roman" w:hAnsi="Times New Roman" w:cs="Times New Roman"/>
          <w:i w:val="0"/>
        </w:rPr>
      </w:pPr>
      <w:r>
        <w:rPr>
          <w:rStyle w:val="ItemDescription"/>
          <w:rFonts w:ascii="Times New Roman" w:hAnsi="Times New Roman" w:cs="Times New Roman"/>
          <w:i w:val="0"/>
        </w:rPr>
        <w:br w:type="page"/>
      </w:r>
    </w:p>
    <w:p w14:paraId="595E471D" w14:textId="77777777" w:rsidR="001C0EA6" w:rsidRPr="0050426F" w:rsidRDefault="001C0EA6" w:rsidP="001C0EA6">
      <w:pPr>
        <w:rPr>
          <w:b/>
          <w:u w:val="single"/>
        </w:rPr>
      </w:pPr>
      <w:r w:rsidRPr="0050426F">
        <w:rPr>
          <w:b/>
          <w:u w:val="single"/>
        </w:rPr>
        <w:lastRenderedPageBreak/>
        <w:t xml:space="preserve">COURSE SCHEDULE OF TOPICS AND ASSIGNMENTS </w:t>
      </w:r>
    </w:p>
    <w:p w14:paraId="4FAEBEC0" w14:textId="5726417F" w:rsidR="00D553B6" w:rsidRDefault="00D553B6" w:rsidP="00D553B6">
      <w:r w:rsidRPr="00D553B6">
        <w:rPr>
          <w:rStyle w:val="CategoryUnderlined"/>
          <w:rFonts w:ascii="Times New Roman" w:eastAsiaTheme="majorEastAsia" w:hAnsi="Times New Roman"/>
          <w:u w:val="none"/>
        </w:rPr>
        <w:t>You will find below a list of the topics that I anticipate we will cover during the semester, along with a rough estimate of how many class hours per topic. Please note, however, that t</w:t>
      </w:r>
      <w:r w:rsidRPr="0002249F">
        <w:t xml:space="preserve">he pace at which we cover the materials in our reading list will depend on your pace of learning. I will not </w:t>
      </w:r>
      <w:r w:rsidR="00500A1B">
        <w:t xml:space="preserve">leave </w:t>
      </w:r>
      <w:r w:rsidRPr="0002249F">
        <w:t xml:space="preserve">a topic until I believe that the students who are prepared for class have a good understanding of the material. In the event we are moving more slowly than anticipated, I will not speed up to cover </w:t>
      </w:r>
      <w:proofErr w:type="gramStart"/>
      <w:r w:rsidRPr="0002249F">
        <w:t>all of</w:t>
      </w:r>
      <w:proofErr w:type="gramEnd"/>
      <w:r w:rsidRPr="0002249F">
        <w:t xml:space="preserve"> these readings. Instead, I will make cuts in the assigned readings.</w:t>
      </w:r>
    </w:p>
    <w:p w14:paraId="6B4CDF17" w14:textId="77777777" w:rsidR="00D553B6" w:rsidRDefault="00D553B6" w:rsidP="00D553B6">
      <w:pPr>
        <w:autoSpaceDE w:val="0"/>
        <w:autoSpaceDN w:val="0"/>
        <w:adjustRightInd w:val="0"/>
        <w:rPr>
          <w:rFonts w:cs="Calibri"/>
          <w:color w:val="000000"/>
          <w:sz w:val="23"/>
          <w:szCs w:val="23"/>
        </w:rPr>
      </w:pPr>
    </w:p>
    <w:p w14:paraId="7DD89A32" w14:textId="0C4A4EA0" w:rsidR="00D553B6" w:rsidRPr="00D27976" w:rsidRDefault="00D553B6" w:rsidP="00D553B6">
      <w:pPr>
        <w:autoSpaceDE w:val="0"/>
        <w:autoSpaceDN w:val="0"/>
        <w:adjustRightInd w:val="0"/>
        <w:rPr>
          <w:rFonts w:cs="Calibri"/>
          <w:color w:val="000000"/>
          <w:sz w:val="23"/>
          <w:szCs w:val="23"/>
        </w:rPr>
      </w:pPr>
      <w:r w:rsidRPr="00D27976">
        <w:rPr>
          <w:rFonts w:cs="Calibri"/>
          <w:color w:val="000000"/>
          <w:sz w:val="23"/>
          <w:szCs w:val="23"/>
        </w:rPr>
        <w:t xml:space="preserve">Class 1 </w:t>
      </w:r>
      <w:proofErr w:type="spellStart"/>
      <w:r>
        <w:rPr>
          <w:rFonts w:cs="Calibri"/>
          <w:color w:val="000000"/>
          <w:sz w:val="23"/>
          <w:szCs w:val="23"/>
        </w:rPr>
        <w:t>Nekrilov</w:t>
      </w:r>
      <w:proofErr w:type="spellEnd"/>
      <w:r>
        <w:rPr>
          <w:rFonts w:cs="Calibri"/>
          <w:color w:val="000000"/>
          <w:sz w:val="23"/>
          <w:szCs w:val="23"/>
        </w:rPr>
        <w:t xml:space="preserve"> v. City of Jersey City, 45 F.4th 662 (3d Cir. 2022) (majority opinion only)</w:t>
      </w:r>
    </w:p>
    <w:p w14:paraId="79A0772F" w14:textId="77777777" w:rsidR="00D553B6" w:rsidRDefault="00D553B6" w:rsidP="00D553B6">
      <w:pPr>
        <w:autoSpaceDE w:val="0"/>
        <w:autoSpaceDN w:val="0"/>
        <w:adjustRightInd w:val="0"/>
        <w:rPr>
          <w:rFonts w:cs="Calibri"/>
          <w:color w:val="000000"/>
          <w:sz w:val="23"/>
          <w:szCs w:val="23"/>
        </w:rPr>
      </w:pPr>
    </w:p>
    <w:p w14:paraId="1C092C34" w14:textId="77777777" w:rsidR="00D553B6" w:rsidRPr="00D27976" w:rsidRDefault="00D553B6" w:rsidP="00D553B6">
      <w:pPr>
        <w:autoSpaceDE w:val="0"/>
        <w:autoSpaceDN w:val="0"/>
        <w:adjustRightInd w:val="0"/>
        <w:rPr>
          <w:rFonts w:cs="Calibri"/>
          <w:color w:val="000000"/>
          <w:sz w:val="23"/>
          <w:szCs w:val="23"/>
        </w:rPr>
      </w:pPr>
      <w:r w:rsidRPr="00D27976">
        <w:rPr>
          <w:rFonts w:cs="Calibri"/>
          <w:color w:val="000000"/>
          <w:sz w:val="23"/>
          <w:szCs w:val="23"/>
        </w:rPr>
        <w:t>Class 2 Chapter One: 4-14 (the idea of a comprehensive plan) and 26-44 (the legal effect of the plan, common ground, and the role of the attorney) (</w:t>
      </w:r>
      <w:proofErr w:type="spellStart"/>
      <w:r w:rsidRPr="00D27976">
        <w:rPr>
          <w:rFonts w:cs="Calibri"/>
          <w:color w:val="000000"/>
          <w:sz w:val="23"/>
          <w:szCs w:val="23"/>
        </w:rPr>
        <w:t>Chiavola</w:t>
      </w:r>
      <w:proofErr w:type="spellEnd"/>
      <w:r w:rsidRPr="00D27976">
        <w:rPr>
          <w:rFonts w:cs="Calibri"/>
          <w:color w:val="000000"/>
          <w:sz w:val="23"/>
          <w:szCs w:val="23"/>
        </w:rPr>
        <w:t xml:space="preserve">, </w:t>
      </w:r>
      <w:proofErr w:type="spellStart"/>
      <w:r w:rsidRPr="00D27976">
        <w:rPr>
          <w:rFonts w:cs="Calibri"/>
          <w:color w:val="000000"/>
          <w:sz w:val="23"/>
          <w:szCs w:val="23"/>
        </w:rPr>
        <w:t>Shidel</w:t>
      </w:r>
      <w:proofErr w:type="spellEnd"/>
      <w:r w:rsidRPr="00D27976">
        <w:rPr>
          <w:rFonts w:cs="Calibri"/>
          <w:color w:val="000000"/>
          <w:sz w:val="23"/>
          <w:szCs w:val="23"/>
        </w:rPr>
        <w:t xml:space="preserve">) </w:t>
      </w:r>
    </w:p>
    <w:p w14:paraId="26F1908C" w14:textId="77777777" w:rsidR="00D553B6" w:rsidRDefault="00D553B6" w:rsidP="00D553B6">
      <w:pPr>
        <w:autoSpaceDE w:val="0"/>
        <w:autoSpaceDN w:val="0"/>
        <w:adjustRightInd w:val="0"/>
        <w:rPr>
          <w:rFonts w:cs="Calibri"/>
          <w:color w:val="000000"/>
          <w:sz w:val="23"/>
          <w:szCs w:val="23"/>
        </w:rPr>
      </w:pPr>
    </w:p>
    <w:p w14:paraId="1C43138B" w14:textId="77777777" w:rsidR="00D553B6" w:rsidRDefault="00D553B6" w:rsidP="00D553B6">
      <w:pPr>
        <w:autoSpaceDE w:val="0"/>
        <w:autoSpaceDN w:val="0"/>
        <w:adjustRightInd w:val="0"/>
        <w:rPr>
          <w:rFonts w:cs="Calibri"/>
          <w:color w:val="000000"/>
          <w:sz w:val="23"/>
          <w:szCs w:val="23"/>
        </w:rPr>
      </w:pPr>
      <w:r w:rsidRPr="00D27976">
        <w:rPr>
          <w:rFonts w:cs="Calibri"/>
          <w:color w:val="000000"/>
          <w:sz w:val="23"/>
          <w:szCs w:val="23"/>
        </w:rPr>
        <w:t xml:space="preserve">Classes 3-4 Chapter Two: 45-93 (private nuisance) (Amphitheaters, Rose, Rodrigue, Powell, Turner, Boomer, </w:t>
      </w:r>
      <w:proofErr w:type="spellStart"/>
      <w:r w:rsidRPr="00D27976">
        <w:rPr>
          <w:rFonts w:cs="Calibri"/>
          <w:color w:val="000000"/>
          <w:sz w:val="23"/>
          <w:szCs w:val="23"/>
        </w:rPr>
        <w:t>Prah</w:t>
      </w:r>
      <w:proofErr w:type="spellEnd"/>
      <w:r w:rsidRPr="00D27976">
        <w:rPr>
          <w:rFonts w:cs="Calibri"/>
          <w:color w:val="000000"/>
          <w:sz w:val="23"/>
          <w:szCs w:val="23"/>
        </w:rPr>
        <w:t xml:space="preserve">) </w:t>
      </w:r>
    </w:p>
    <w:p w14:paraId="54517650" w14:textId="77777777" w:rsidR="00D553B6" w:rsidRDefault="00D553B6" w:rsidP="00D553B6">
      <w:pPr>
        <w:autoSpaceDE w:val="0"/>
        <w:autoSpaceDN w:val="0"/>
        <w:adjustRightInd w:val="0"/>
        <w:rPr>
          <w:rFonts w:cs="Calibri"/>
          <w:color w:val="000000"/>
          <w:sz w:val="23"/>
          <w:szCs w:val="23"/>
        </w:rPr>
      </w:pPr>
    </w:p>
    <w:p w14:paraId="5434CB74" w14:textId="77777777" w:rsidR="00D553B6" w:rsidRPr="00D27976" w:rsidRDefault="00D553B6" w:rsidP="00D553B6">
      <w:pPr>
        <w:autoSpaceDE w:val="0"/>
        <w:autoSpaceDN w:val="0"/>
        <w:adjustRightInd w:val="0"/>
        <w:rPr>
          <w:rFonts w:cs="Calibri"/>
          <w:sz w:val="23"/>
          <w:szCs w:val="23"/>
        </w:rPr>
      </w:pPr>
      <w:r w:rsidRPr="00D27976">
        <w:rPr>
          <w:rFonts w:cs="Calibri"/>
          <w:sz w:val="23"/>
          <w:szCs w:val="23"/>
        </w:rPr>
        <w:t xml:space="preserve">Class 5 Chapter Two: 93-117 (public nuisance, the mixture of common law and regulation, and going "too far") (White and Ward, Gill, Mahon) </w:t>
      </w:r>
    </w:p>
    <w:p w14:paraId="086E0CAB" w14:textId="77777777" w:rsidR="00D553B6" w:rsidRDefault="00D553B6" w:rsidP="00D553B6">
      <w:pPr>
        <w:autoSpaceDE w:val="0"/>
        <w:autoSpaceDN w:val="0"/>
        <w:adjustRightInd w:val="0"/>
        <w:rPr>
          <w:rFonts w:cs="Calibri"/>
          <w:sz w:val="23"/>
          <w:szCs w:val="23"/>
        </w:rPr>
      </w:pPr>
    </w:p>
    <w:p w14:paraId="00E8A257" w14:textId="77777777" w:rsidR="00D553B6" w:rsidRPr="00D27976" w:rsidRDefault="00D553B6" w:rsidP="00D553B6">
      <w:pPr>
        <w:autoSpaceDE w:val="0"/>
        <w:autoSpaceDN w:val="0"/>
        <w:adjustRightInd w:val="0"/>
        <w:rPr>
          <w:rFonts w:cs="Calibri"/>
          <w:sz w:val="23"/>
          <w:szCs w:val="23"/>
        </w:rPr>
      </w:pPr>
      <w:r w:rsidRPr="00D27976">
        <w:rPr>
          <w:rFonts w:cs="Calibri"/>
          <w:sz w:val="23"/>
          <w:szCs w:val="23"/>
        </w:rPr>
        <w:t>Class 6 Chapter Three: 119-32 (spread of zoning and power to zone) (</w:t>
      </w:r>
      <w:proofErr w:type="spellStart"/>
      <w:r w:rsidRPr="00D27976">
        <w:rPr>
          <w:rFonts w:cs="Calibri"/>
          <w:sz w:val="23"/>
          <w:szCs w:val="23"/>
        </w:rPr>
        <w:t>Respublica</w:t>
      </w:r>
      <w:proofErr w:type="spellEnd"/>
      <w:r w:rsidRPr="00D27976">
        <w:rPr>
          <w:rFonts w:cs="Calibri"/>
          <w:sz w:val="23"/>
          <w:szCs w:val="23"/>
        </w:rPr>
        <w:t xml:space="preserve">, Kline) </w:t>
      </w:r>
    </w:p>
    <w:p w14:paraId="77A88924" w14:textId="77777777" w:rsidR="00D553B6" w:rsidRDefault="00D553B6" w:rsidP="00D553B6">
      <w:pPr>
        <w:autoSpaceDE w:val="0"/>
        <w:autoSpaceDN w:val="0"/>
        <w:adjustRightInd w:val="0"/>
        <w:rPr>
          <w:rFonts w:cs="Calibri"/>
          <w:sz w:val="23"/>
          <w:szCs w:val="23"/>
        </w:rPr>
      </w:pPr>
    </w:p>
    <w:p w14:paraId="17A22A5C" w14:textId="77777777" w:rsidR="00D553B6" w:rsidRPr="00D27976" w:rsidRDefault="00D553B6" w:rsidP="00D553B6">
      <w:pPr>
        <w:autoSpaceDE w:val="0"/>
        <w:autoSpaceDN w:val="0"/>
        <w:adjustRightInd w:val="0"/>
        <w:rPr>
          <w:rFonts w:cs="Calibri"/>
          <w:sz w:val="23"/>
          <w:szCs w:val="23"/>
        </w:rPr>
      </w:pPr>
      <w:r w:rsidRPr="00D27976">
        <w:rPr>
          <w:rFonts w:cs="Calibri"/>
          <w:sz w:val="23"/>
          <w:szCs w:val="23"/>
        </w:rPr>
        <w:t xml:space="preserve">Classes 7-8 Chapter Three: 132-47 (constitutionality of zoning) (Euclid, </w:t>
      </w:r>
      <w:proofErr w:type="spellStart"/>
      <w:r w:rsidRPr="00D27976">
        <w:rPr>
          <w:rFonts w:cs="Calibri"/>
          <w:sz w:val="23"/>
          <w:szCs w:val="23"/>
        </w:rPr>
        <w:t>Nectow</w:t>
      </w:r>
      <w:proofErr w:type="spellEnd"/>
      <w:r w:rsidRPr="00D27976">
        <w:rPr>
          <w:rFonts w:cs="Calibri"/>
          <w:sz w:val="23"/>
          <w:szCs w:val="23"/>
        </w:rPr>
        <w:t xml:space="preserve">) </w:t>
      </w:r>
    </w:p>
    <w:p w14:paraId="433FC93D" w14:textId="77777777" w:rsidR="00D553B6" w:rsidRDefault="00D553B6" w:rsidP="00D553B6">
      <w:pPr>
        <w:autoSpaceDE w:val="0"/>
        <w:autoSpaceDN w:val="0"/>
        <w:adjustRightInd w:val="0"/>
        <w:rPr>
          <w:rFonts w:cs="Calibri"/>
          <w:sz w:val="23"/>
          <w:szCs w:val="23"/>
        </w:rPr>
      </w:pPr>
    </w:p>
    <w:p w14:paraId="0117FD62" w14:textId="77777777" w:rsidR="00D553B6" w:rsidRPr="00D27976" w:rsidRDefault="00D553B6" w:rsidP="00D553B6">
      <w:pPr>
        <w:autoSpaceDE w:val="0"/>
        <w:autoSpaceDN w:val="0"/>
        <w:adjustRightInd w:val="0"/>
        <w:rPr>
          <w:rFonts w:cs="Calibri"/>
          <w:sz w:val="23"/>
          <w:szCs w:val="23"/>
        </w:rPr>
      </w:pPr>
      <w:r w:rsidRPr="00D27976">
        <w:rPr>
          <w:rFonts w:cs="Calibri"/>
          <w:sz w:val="23"/>
          <w:szCs w:val="23"/>
        </w:rPr>
        <w:t xml:space="preserve">Classes 9-10 Chapter Three: 147-69 (early zoning in state courts) (Arverne Bay, Vernon Park, Rockhill, Eves) </w:t>
      </w:r>
    </w:p>
    <w:p w14:paraId="10605260" w14:textId="77777777" w:rsidR="00D553B6" w:rsidRDefault="00D553B6" w:rsidP="00D553B6">
      <w:pPr>
        <w:autoSpaceDE w:val="0"/>
        <w:autoSpaceDN w:val="0"/>
        <w:adjustRightInd w:val="0"/>
        <w:rPr>
          <w:rFonts w:cs="Calibri"/>
          <w:sz w:val="23"/>
          <w:szCs w:val="23"/>
        </w:rPr>
      </w:pPr>
    </w:p>
    <w:p w14:paraId="5A44E213" w14:textId="04809268" w:rsidR="00D553B6" w:rsidRPr="00D27976" w:rsidRDefault="00D553B6" w:rsidP="00D553B6">
      <w:pPr>
        <w:autoSpaceDE w:val="0"/>
        <w:autoSpaceDN w:val="0"/>
        <w:adjustRightInd w:val="0"/>
        <w:rPr>
          <w:rFonts w:cs="Calibri"/>
          <w:sz w:val="23"/>
          <w:szCs w:val="23"/>
        </w:rPr>
      </w:pPr>
      <w:r w:rsidRPr="00D27976">
        <w:rPr>
          <w:rFonts w:cs="Calibri"/>
          <w:sz w:val="23"/>
          <w:szCs w:val="23"/>
        </w:rPr>
        <w:t xml:space="preserve">Class 11 Chapter Three: 169-91 (use or </w:t>
      </w:r>
      <w:proofErr w:type="gramStart"/>
      <w:r w:rsidRPr="00D27976">
        <w:rPr>
          <w:rFonts w:cs="Calibri"/>
          <w:sz w:val="23"/>
          <w:szCs w:val="23"/>
        </w:rPr>
        <w:t>ownership?,</w:t>
      </w:r>
      <w:proofErr w:type="gramEnd"/>
      <w:r w:rsidRPr="00D27976">
        <w:rPr>
          <w:rFonts w:cs="Calibri"/>
          <w:sz w:val="23"/>
          <w:szCs w:val="23"/>
        </w:rPr>
        <w:t xml:space="preserve"> accessory uses and home occupations) (Clemons, Norwood Heights, Marchand</w:t>
      </w:r>
      <w:r>
        <w:rPr>
          <w:rFonts w:cs="Calibri"/>
          <w:sz w:val="23"/>
          <w:szCs w:val="23"/>
        </w:rPr>
        <w:t xml:space="preserve">, </w:t>
      </w:r>
      <w:r w:rsidR="00500A1B">
        <w:rPr>
          <w:rFonts w:cs="Calibri"/>
          <w:sz w:val="23"/>
          <w:szCs w:val="23"/>
        </w:rPr>
        <w:t>City of Miami v. Airbnb, Inc. (on Canvas)</w:t>
      </w:r>
      <w:r w:rsidRPr="00D27976">
        <w:rPr>
          <w:rFonts w:cs="Calibri"/>
          <w:sz w:val="23"/>
          <w:szCs w:val="23"/>
        </w:rPr>
        <w:t xml:space="preserve">) </w:t>
      </w:r>
    </w:p>
    <w:p w14:paraId="1FA1D6E5" w14:textId="77777777" w:rsidR="00D553B6" w:rsidRDefault="00D553B6" w:rsidP="00D553B6">
      <w:pPr>
        <w:autoSpaceDE w:val="0"/>
        <w:autoSpaceDN w:val="0"/>
        <w:adjustRightInd w:val="0"/>
        <w:rPr>
          <w:rFonts w:cs="Calibri"/>
          <w:sz w:val="23"/>
          <w:szCs w:val="23"/>
        </w:rPr>
      </w:pPr>
    </w:p>
    <w:p w14:paraId="1EBDE536" w14:textId="77777777" w:rsidR="00D553B6" w:rsidRPr="00D27976" w:rsidRDefault="00D553B6" w:rsidP="00D553B6">
      <w:pPr>
        <w:autoSpaceDE w:val="0"/>
        <w:autoSpaceDN w:val="0"/>
        <w:adjustRightInd w:val="0"/>
        <w:rPr>
          <w:rFonts w:cs="Calibri"/>
          <w:sz w:val="23"/>
          <w:szCs w:val="23"/>
        </w:rPr>
      </w:pPr>
      <w:r w:rsidRPr="00D27976">
        <w:rPr>
          <w:rFonts w:cs="Calibri"/>
          <w:sz w:val="23"/>
          <w:szCs w:val="23"/>
        </w:rPr>
        <w:t xml:space="preserve">Classes 12-13 Chapter Three: 191-243 (Equal Protection, Due Process, and Takings Clause protections) (Ronda Realty, Belle Terre, Penn Central, Kelo) </w:t>
      </w:r>
    </w:p>
    <w:p w14:paraId="760F102C" w14:textId="77777777" w:rsidR="00D553B6" w:rsidRDefault="00D553B6" w:rsidP="00D553B6">
      <w:pPr>
        <w:autoSpaceDE w:val="0"/>
        <w:autoSpaceDN w:val="0"/>
        <w:adjustRightInd w:val="0"/>
        <w:rPr>
          <w:rFonts w:cs="Calibri"/>
          <w:sz w:val="23"/>
          <w:szCs w:val="23"/>
        </w:rPr>
      </w:pPr>
    </w:p>
    <w:p w14:paraId="3AEC53BB" w14:textId="77777777" w:rsidR="00D553B6" w:rsidRPr="00D27976" w:rsidRDefault="00D553B6" w:rsidP="00D553B6">
      <w:pPr>
        <w:autoSpaceDE w:val="0"/>
        <w:autoSpaceDN w:val="0"/>
        <w:adjustRightInd w:val="0"/>
        <w:rPr>
          <w:rFonts w:cs="Calibri"/>
          <w:sz w:val="23"/>
          <w:szCs w:val="23"/>
        </w:rPr>
      </w:pPr>
      <w:r w:rsidRPr="00D27976">
        <w:rPr>
          <w:rFonts w:cs="Calibri"/>
          <w:sz w:val="23"/>
          <w:szCs w:val="23"/>
        </w:rPr>
        <w:t xml:space="preserve">Class 14 Chapter Four: 245-69 (nonconforming uses and vested rights) (Gage, Moon, Parkview) </w:t>
      </w:r>
    </w:p>
    <w:p w14:paraId="17550E91" w14:textId="77777777" w:rsidR="00D553B6" w:rsidRDefault="00D553B6" w:rsidP="00D553B6">
      <w:pPr>
        <w:autoSpaceDE w:val="0"/>
        <w:autoSpaceDN w:val="0"/>
        <w:adjustRightInd w:val="0"/>
        <w:rPr>
          <w:rFonts w:cs="Calibri"/>
          <w:sz w:val="23"/>
          <w:szCs w:val="23"/>
        </w:rPr>
      </w:pPr>
    </w:p>
    <w:p w14:paraId="351C9E27" w14:textId="77777777" w:rsidR="00D553B6" w:rsidRPr="00D27976" w:rsidRDefault="00D553B6" w:rsidP="00D553B6">
      <w:pPr>
        <w:autoSpaceDE w:val="0"/>
        <w:autoSpaceDN w:val="0"/>
        <w:adjustRightInd w:val="0"/>
        <w:rPr>
          <w:rFonts w:cs="Calibri"/>
          <w:sz w:val="23"/>
          <w:szCs w:val="23"/>
        </w:rPr>
      </w:pPr>
      <w:r w:rsidRPr="00D27976">
        <w:rPr>
          <w:rFonts w:cs="Calibri"/>
          <w:sz w:val="23"/>
          <w:szCs w:val="23"/>
        </w:rPr>
        <w:t>Classes 15-16 Chapter Four: 270-295 (rezoning</w:t>
      </w:r>
      <w:r>
        <w:rPr>
          <w:rFonts w:cs="Calibri"/>
          <w:sz w:val="23"/>
          <w:szCs w:val="23"/>
        </w:rPr>
        <w:t>) (Kuehne, MacDonald, Fasano, S</w:t>
      </w:r>
      <w:r w:rsidRPr="00D27976">
        <w:rPr>
          <w:rFonts w:cs="Calibri"/>
          <w:sz w:val="23"/>
          <w:szCs w:val="23"/>
        </w:rPr>
        <w:t>n</w:t>
      </w:r>
      <w:r>
        <w:rPr>
          <w:rFonts w:cs="Calibri"/>
          <w:sz w:val="23"/>
          <w:szCs w:val="23"/>
        </w:rPr>
        <w:t>y</w:t>
      </w:r>
      <w:r w:rsidRPr="00D27976">
        <w:rPr>
          <w:rFonts w:cs="Calibri"/>
          <w:sz w:val="23"/>
          <w:szCs w:val="23"/>
        </w:rPr>
        <w:t xml:space="preserve">der) </w:t>
      </w:r>
    </w:p>
    <w:p w14:paraId="25EC10F7" w14:textId="77777777" w:rsidR="00D553B6" w:rsidRDefault="00D553B6" w:rsidP="00D553B6">
      <w:pPr>
        <w:autoSpaceDE w:val="0"/>
        <w:autoSpaceDN w:val="0"/>
        <w:adjustRightInd w:val="0"/>
        <w:rPr>
          <w:rFonts w:cs="Calibri"/>
          <w:sz w:val="23"/>
          <w:szCs w:val="23"/>
        </w:rPr>
      </w:pPr>
    </w:p>
    <w:p w14:paraId="6C53A28D" w14:textId="77777777" w:rsidR="00D553B6" w:rsidRDefault="00D553B6" w:rsidP="00D553B6">
      <w:pPr>
        <w:autoSpaceDE w:val="0"/>
        <w:autoSpaceDN w:val="0"/>
        <w:adjustRightInd w:val="0"/>
        <w:rPr>
          <w:rFonts w:cs="Calibri"/>
          <w:sz w:val="23"/>
          <w:szCs w:val="23"/>
        </w:rPr>
      </w:pPr>
      <w:r w:rsidRPr="00D27976">
        <w:rPr>
          <w:rFonts w:cs="Calibri"/>
          <w:sz w:val="23"/>
          <w:szCs w:val="23"/>
        </w:rPr>
        <w:t xml:space="preserve">Class 17 Chapter Four: 305-28 (variances and special exceptions) (Richard </w:t>
      </w:r>
      <w:proofErr w:type="spellStart"/>
      <w:r w:rsidRPr="00D27976">
        <w:rPr>
          <w:rFonts w:cs="Calibri"/>
          <w:sz w:val="23"/>
          <w:szCs w:val="23"/>
        </w:rPr>
        <w:t>Roeser</w:t>
      </w:r>
      <w:proofErr w:type="spellEnd"/>
      <w:r w:rsidRPr="00D27976">
        <w:rPr>
          <w:rFonts w:cs="Calibri"/>
          <w:sz w:val="23"/>
          <w:szCs w:val="23"/>
        </w:rPr>
        <w:t xml:space="preserve">, Cleburne, Ames) </w:t>
      </w:r>
    </w:p>
    <w:p w14:paraId="5F8FFEB8" w14:textId="77777777" w:rsidR="00D553B6" w:rsidRDefault="00D553B6" w:rsidP="00D553B6">
      <w:pPr>
        <w:autoSpaceDE w:val="0"/>
        <w:autoSpaceDN w:val="0"/>
        <w:adjustRightInd w:val="0"/>
        <w:rPr>
          <w:rFonts w:cs="Calibri"/>
          <w:b/>
          <w:sz w:val="23"/>
          <w:szCs w:val="23"/>
        </w:rPr>
      </w:pPr>
    </w:p>
    <w:p w14:paraId="322BD0A8" w14:textId="77777777" w:rsidR="00D553B6" w:rsidRPr="00505523" w:rsidRDefault="00D553B6" w:rsidP="00D553B6">
      <w:pPr>
        <w:autoSpaceDE w:val="0"/>
        <w:autoSpaceDN w:val="0"/>
        <w:adjustRightInd w:val="0"/>
        <w:rPr>
          <w:rFonts w:cs="Calibri"/>
          <w:b/>
          <w:sz w:val="23"/>
          <w:szCs w:val="23"/>
        </w:rPr>
      </w:pPr>
      <w:r>
        <w:rPr>
          <w:rFonts w:cs="Calibri"/>
          <w:b/>
          <w:sz w:val="23"/>
          <w:szCs w:val="23"/>
        </w:rPr>
        <w:t>FIRST TEST</w:t>
      </w:r>
    </w:p>
    <w:p w14:paraId="55F08184" w14:textId="77777777" w:rsidR="00D553B6" w:rsidRDefault="00D553B6" w:rsidP="00D553B6">
      <w:pPr>
        <w:autoSpaceDE w:val="0"/>
        <w:autoSpaceDN w:val="0"/>
        <w:adjustRightInd w:val="0"/>
        <w:rPr>
          <w:rFonts w:cs="Calibri"/>
          <w:sz w:val="23"/>
          <w:szCs w:val="23"/>
        </w:rPr>
      </w:pPr>
    </w:p>
    <w:p w14:paraId="06A57F8C" w14:textId="1ED81F73" w:rsidR="00D553B6" w:rsidRPr="00D27976" w:rsidRDefault="00D553B6" w:rsidP="00D553B6">
      <w:pPr>
        <w:autoSpaceDE w:val="0"/>
        <w:autoSpaceDN w:val="0"/>
        <w:adjustRightInd w:val="0"/>
        <w:rPr>
          <w:rFonts w:cs="Calibri"/>
          <w:sz w:val="23"/>
          <w:szCs w:val="23"/>
        </w:rPr>
      </w:pPr>
      <w:r w:rsidRPr="00D27976">
        <w:rPr>
          <w:rFonts w:cs="Calibri"/>
          <w:sz w:val="23"/>
          <w:szCs w:val="23"/>
        </w:rPr>
        <w:t>Classes 18-2</w:t>
      </w:r>
      <w:r>
        <w:rPr>
          <w:rFonts w:cs="Calibri"/>
          <w:sz w:val="23"/>
          <w:szCs w:val="23"/>
        </w:rPr>
        <w:t>2</w:t>
      </w:r>
      <w:r w:rsidRPr="00D27976">
        <w:rPr>
          <w:rFonts w:cs="Calibri"/>
          <w:sz w:val="23"/>
          <w:szCs w:val="23"/>
        </w:rPr>
        <w:t xml:space="preserve"> Chapter Five: 329-38, 355-400, 413-51 (regulatory takings) (</w:t>
      </w:r>
      <w:proofErr w:type="spellStart"/>
      <w:r w:rsidRPr="00D27976">
        <w:rPr>
          <w:rFonts w:cs="Calibri"/>
          <w:sz w:val="23"/>
          <w:szCs w:val="23"/>
        </w:rPr>
        <w:t>Agins</w:t>
      </w:r>
      <w:proofErr w:type="spellEnd"/>
      <w:r w:rsidRPr="00D27976">
        <w:rPr>
          <w:rFonts w:cs="Calibri"/>
          <w:sz w:val="23"/>
          <w:szCs w:val="23"/>
        </w:rPr>
        <w:t xml:space="preserve">, First English, </w:t>
      </w:r>
      <w:proofErr w:type="spellStart"/>
      <w:r w:rsidRPr="00D27976">
        <w:rPr>
          <w:rFonts w:cs="Calibri"/>
          <w:sz w:val="23"/>
          <w:szCs w:val="23"/>
        </w:rPr>
        <w:t>Nollan</w:t>
      </w:r>
      <w:proofErr w:type="spellEnd"/>
      <w:r w:rsidRPr="00D27976">
        <w:rPr>
          <w:rFonts w:cs="Calibri"/>
          <w:sz w:val="23"/>
          <w:szCs w:val="23"/>
        </w:rPr>
        <w:t xml:space="preserve">, Lucas, Dolan, Palazzolo, Tahoe-Sierra, Gove); EDITED VERSIONS OF: </w:t>
      </w:r>
      <w:r w:rsidRPr="00D27976">
        <w:rPr>
          <w:rFonts w:cs="Calibri"/>
          <w:i/>
          <w:iCs/>
          <w:sz w:val="23"/>
          <w:szCs w:val="23"/>
        </w:rPr>
        <w:t xml:space="preserve">Stop the Beach Renourishment, Inc. v. Fla. </w:t>
      </w:r>
      <w:proofErr w:type="spellStart"/>
      <w:r w:rsidRPr="00D27976">
        <w:rPr>
          <w:rFonts w:cs="Calibri"/>
          <w:i/>
          <w:iCs/>
          <w:sz w:val="23"/>
          <w:szCs w:val="23"/>
        </w:rPr>
        <w:t>Dep't</w:t>
      </w:r>
      <w:proofErr w:type="spellEnd"/>
      <w:r w:rsidRPr="00D27976">
        <w:rPr>
          <w:rFonts w:cs="Calibri"/>
          <w:i/>
          <w:iCs/>
          <w:sz w:val="23"/>
          <w:szCs w:val="23"/>
        </w:rPr>
        <w:t xml:space="preserve"> of </w:t>
      </w:r>
      <w:proofErr w:type="spellStart"/>
      <w:r w:rsidRPr="00D27976">
        <w:rPr>
          <w:rFonts w:cs="Calibri"/>
          <w:i/>
          <w:iCs/>
          <w:sz w:val="23"/>
          <w:szCs w:val="23"/>
        </w:rPr>
        <w:t>Envtl</w:t>
      </w:r>
      <w:proofErr w:type="spellEnd"/>
      <w:r w:rsidRPr="00D27976">
        <w:rPr>
          <w:rFonts w:cs="Calibri"/>
          <w:i/>
          <w:iCs/>
          <w:sz w:val="23"/>
          <w:szCs w:val="23"/>
        </w:rPr>
        <w:t>. Prot., 560 U.S. 702 (2010)</w:t>
      </w:r>
      <w:r w:rsidRPr="00D27976">
        <w:rPr>
          <w:rFonts w:cs="Calibri"/>
          <w:sz w:val="23"/>
          <w:szCs w:val="23"/>
        </w:rPr>
        <w:t xml:space="preserve">, </w:t>
      </w:r>
      <w:r w:rsidRPr="00D27976">
        <w:rPr>
          <w:rFonts w:cs="Calibri"/>
          <w:i/>
          <w:iCs/>
          <w:sz w:val="23"/>
          <w:szCs w:val="23"/>
        </w:rPr>
        <w:t>Koontz v. St. Johns River Water Mgmt. Dist.</w:t>
      </w:r>
      <w:r w:rsidRPr="00D27976">
        <w:rPr>
          <w:rFonts w:cs="Calibri"/>
          <w:sz w:val="23"/>
          <w:szCs w:val="23"/>
        </w:rPr>
        <w:t xml:space="preserve">, 570 U.S. 595 (2013), </w:t>
      </w:r>
      <w:proofErr w:type="spellStart"/>
      <w:r w:rsidRPr="00D27976">
        <w:rPr>
          <w:rFonts w:cs="Calibri"/>
          <w:i/>
          <w:iCs/>
          <w:sz w:val="23"/>
          <w:szCs w:val="23"/>
        </w:rPr>
        <w:t>Murr</w:t>
      </w:r>
      <w:proofErr w:type="spellEnd"/>
      <w:r w:rsidRPr="00D27976">
        <w:rPr>
          <w:rFonts w:cs="Calibri"/>
          <w:i/>
          <w:iCs/>
          <w:sz w:val="23"/>
          <w:szCs w:val="23"/>
        </w:rPr>
        <w:t xml:space="preserve"> v. Wisconsin</w:t>
      </w:r>
      <w:r w:rsidRPr="00D27976">
        <w:rPr>
          <w:rFonts w:cs="Calibri"/>
          <w:sz w:val="23"/>
          <w:szCs w:val="23"/>
        </w:rPr>
        <w:t xml:space="preserve">, 137 S. Ct. 1933 (2017), </w:t>
      </w:r>
      <w:r w:rsidRPr="00D27976">
        <w:rPr>
          <w:rFonts w:cs="Calibri"/>
          <w:i/>
          <w:iCs/>
          <w:sz w:val="23"/>
          <w:szCs w:val="23"/>
        </w:rPr>
        <w:t>Knick v. Twp. of Scott</w:t>
      </w:r>
      <w:r w:rsidRPr="00D27976">
        <w:rPr>
          <w:rFonts w:cs="Calibri"/>
          <w:sz w:val="23"/>
          <w:szCs w:val="23"/>
        </w:rPr>
        <w:t>, 139 S. Ct. 2162 (2019)</w:t>
      </w:r>
      <w:r>
        <w:rPr>
          <w:rFonts w:cs="Calibri"/>
          <w:sz w:val="23"/>
          <w:szCs w:val="23"/>
        </w:rPr>
        <w:t xml:space="preserve">, </w:t>
      </w:r>
      <w:r>
        <w:rPr>
          <w:rFonts w:cs="Calibri"/>
          <w:i/>
          <w:iCs/>
          <w:sz w:val="23"/>
          <w:szCs w:val="23"/>
        </w:rPr>
        <w:t>Cedar Point Nursery v. Hassid</w:t>
      </w:r>
      <w:r>
        <w:rPr>
          <w:rFonts w:cs="Calibri"/>
          <w:iCs/>
          <w:sz w:val="23"/>
          <w:szCs w:val="23"/>
        </w:rPr>
        <w:t>, 141 S. Ct. 2063 (2021)</w:t>
      </w:r>
      <w:r w:rsidR="00500A1B">
        <w:rPr>
          <w:rFonts w:cs="Calibri"/>
          <w:iCs/>
          <w:sz w:val="23"/>
          <w:szCs w:val="23"/>
        </w:rPr>
        <w:t xml:space="preserve"> (on Canvas)</w:t>
      </w:r>
      <w:r w:rsidRPr="00D27976">
        <w:rPr>
          <w:rFonts w:cs="Calibri"/>
          <w:sz w:val="23"/>
          <w:szCs w:val="23"/>
        </w:rPr>
        <w:t xml:space="preserve">. </w:t>
      </w:r>
    </w:p>
    <w:p w14:paraId="161AC221" w14:textId="77777777" w:rsidR="00D553B6" w:rsidRDefault="00D553B6" w:rsidP="00D553B6">
      <w:pPr>
        <w:autoSpaceDE w:val="0"/>
        <w:autoSpaceDN w:val="0"/>
        <w:adjustRightInd w:val="0"/>
        <w:rPr>
          <w:rFonts w:cs="Calibri"/>
          <w:sz w:val="23"/>
          <w:szCs w:val="23"/>
        </w:rPr>
      </w:pPr>
    </w:p>
    <w:p w14:paraId="1B961C2B" w14:textId="77777777" w:rsidR="00D553B6" w:rsidRPr="00D27976" w:rsidRDefault="00D553B6" w:rsidP="00D553B6">
      <w:pPr>
        <w:autoSpaceDE w:val="0"/>
        <w:autoSpaceDN w:val="0"/>
        <w:adjustRightInd w:val="0"/>
        <w:rPr>
          <w:rFonts w:cs="Calibri"/>
          <w:sz w:val="23"/>
          <w:szCs w:val="23"/>
        </w:rPr>
      </w:pPr>
      <w:r w:rsidRPr="00D27976">
        <w:rPr>
          <w:rFonts w:cs="Calibri"/>
          <w:sz w:val="23"/>
          <w:szCs w:val="23"/>
        </w:rPr>
        <w:t>Classes 2</w:t>
      </w:r>
      <w:r>
        <w:rPr>
          <w:rFonts w:cs="Calibri"/>
          <w:sz w:val="23"/>
          <w:szCs w:val="23"/>
        </w:rPr>
        <w:t>3</w:t>
      </w:r>
      <w:r w:rsidRPr="00D27976">
        <w:rPr>
          <w:rFonts w:cs="Calibri"/>
          <w:sz w:val="23"/>
          <w:szCs w:val="23"/>
        </w:rPr>
        <w:t>-2</w:t>
      </w:r>
      <w:r>
        <w:rPr>
          <w:rFonts w:cs="Calibri"/>
          <w:sz w:val="23"/>
          <w:szCs w:val="23"/>
        </w:rPr>
        <w:t>4</w:t>
      </w:r>
      <w:r w:rsidRPr="00D27976">
        <w:rPr>
          <w:rFonts w:cs="Calibri"/>
          <w:sz w:val="23"/>
          <w:szCs w:val="23"/>
        </w:rPr>
        <w:t xml:space="preserve"> Chapter Six: 453-66, 484-505 (exclusionary zoning in state and federal law) (Mount Laurel</w:t>
      </w:r>
      <w:r>
        <w:rPr>
          <w:rFonts w:cs="Calibri"/>
          <w:sz w:val="23"/>
          <w:szCs w:val="23"/>
        </w:rPr>
        <w:t>,</w:t>
      </w:r>
      <w:r w:rsidRPr="00D27976">
        <w:rPr>
          <w:rFonts w:cs="Calibri"/>
          <w:sz w:val="23"/>
          <w:szCs w:val="23"/>
        </w:rPr>
        <w:t xml:space="preserve"> </w:t>
      </w:r>
      <w:proofErr w:type="spellStart"/>
      <w:r w:rsidRPr="00D27976">
        <w:rPr>
          <w:rFonts w:cs="Calibri"/>
          <w:sz w:val="23"/>
          <w:szCs w:val="23"/>
        </w:rPr>
        <w:t>Warth</w:t>
      </w:r>
      <w:proofErr w:type="spellEnd"/>
      <w:r w:rsidRPr="00D27976">
        <w:rPr>
          <w:rFonts w:cs="Calibri"/>
          <w:sz w:val="23"/>
          <w:szCs w:val="23"/>
        </w:rPr>
        <w:t xml:space="preserve">, Arlington Heights, Cuyahoga Falls) </w:t>
      </w:r>
    </w:p>
    <w:p w14:paraId="68C36F97" w14:textId="7C7D2D7C" w:rsidR="00D553B6" w:rsidRDefault="00D553B6" w:rsidP="00D553B6">
      <w:pPr>
        <w:rPr>
          <w:rFonts w:cs="Calibri"/>
          <w:sz w:val="23"/>
          <w:szCs w:val="23"/>
        </w:rPr>
      </w:pPr>
      <w:r w:rsidRPr="00D27976">
        <w:rPr>
          <w:rFonts w:cs="Calibri"/>
          <w:sz w:val="23"/>
          <w:szCs w:val="23"/>
        </w:rPr>
        <w:lastRenderedPageBreak/>
        <w:t xml:space="preserve">Class </w:t>
      </w:r>
      <w:r>
        <w:rPr>
          <w:rFonts w:cs="Calibri"/>
          <w:sz w:val="23"/>
          <w:szCs w:val="23"/>
        </w:rPr>
        <w:t>25</w:t>
      </w:r>
      <w:r w:rsidRPr="00D27976">
        <w:rPr>
          <w:rFonts w:cs="Calibri"/>
          <w:sz w:val="23"/>
          <w:szCs w:val="23"/>
        </w:rPr>
        <w:t>-2</w:t>
      </w:r>
      <w:r>
        <w:rPr>
          <w:rFonts w:cs="Calibri"/>
          <w:sz w:val="23"/>
          <w:szCs w:val="23"/>
        </w:rPr>
        <w:t>6</w:t>
      </w:r>
      <w:r w:rsidRPr="00D27976">
        <w:rPr>
          <w:rFonts w:cs="Calibri"/>
          <w:sz w:val="23"/>
          <w:szCs w:val="23"/>
        </w:rPr>
        <w:t xml:space="preserve"> Chapter Six: 505-14, 523-37 (excluding uses) (Young, Westchester), EDITED VERSION OF </w:t>
      </w:r>
      <w:r w:rsidRPr="00D27976">
        <w:rPr>
          <w:rFonts w:cs="Calibri"/>
          <w:i/>
          <w:iCs/>
          <w:sz w:val="23"/>
          <w:szCs w:val="23"/>
        </w:rPr>
        <w:t>Reed v. Town of Gilbert</w:t>
      </w:r>
      <w:r w:rsidRPr="00D27976">
        <w:rPr>
          <w:rFonts w:cs="Calibri"/>
          <w:sz w:val="23"/>
          <w:szCs w:val="23"/>
        </w:rPr>
        <w:t>, 135 S. Ct. 2218 (2015)</w:t>
      </w:r>
      <w:r w:rsidR="00500A1B">
        <w:rPr>
          <w:rFonts w:cs="Calibri"/>
          <w:sz w:val="23"/>
          <w:szCs w:val="23"/>
        </w:rPr>
        <w:t xml:space="preserve"> (on Canvas).</w:t>
      </w:r>
    </w:p>
    <w:p w14:paraId="213EE0D1" w14:textId="77777777" w:rsidR="00500A1B" w:rsidRDefault="00500A1B" w:rsidP="00D553B6">
      <w:pPr>
        <w:rPr>
          <w:rFonts w:cs="Calibri"/>
          <w:sz w:val="23"/>
          <w:szCs w:val="23"/>
        </w:rPr>
      </w:pPr>
    </w:p>
    <w:p w14:paraId="044371B2" w14:textId="65F0422B" w:rsidR="00500A1B" w:rsidRPr="00500A1B" w:rsidRDefault="00500A1B" w:rsidP="00D553B6">
      <w:pPr>
        <w:rPr>
          <w:b/>
        </w:rPr>
      </w:pPr>
      <w:r>
        <w:rPr>
          <w:rFonts w:cs="Calibri"/>
          <w:b/>
          <w:sz w:val="23"/>
          <w:szCs w:val="23"/>
        </w:rPr>
        <w:t>FINAL EXAM</w:t>
      </w:r>
    </w:p>
    <w:p w14:paraId="7771873E" w14:textId="77777777" w:rsidR="001C0EA6" w:rsidRPr="0050426F" w:rsidRDefault="001C0EA6" w:rsidP="00242088">
      <w:pPr>
        <w:rPr>
          <w:b/>
          <w:u w:val="single"/>
        </w:rPr>
      </w:pPr>
    </w:p>
    <w:p w14:paraId="75DBE741" w14:textId="30B48CC4" w:rsidR="00242088" w:rsidRPr="0050426F" w:rsidRDefault="00242088" w:rsidP="006A5D34">
      <w:pPr>
        <w:rPr>
          <w:b/>
          <w:u w:val="single"/>
        </w:rPr>
      </w:pPr>
    </w:p>
    <w:p w14:paraId="4770DBC4" w14:textId="05FF82B3" w:rsidR="00810488" w:rsidRPr="0050426F" w:rsidRDefault="00810488">
      <w:pPr>
        <w:spacing w:after="160" w:line="259" w:lineRule="auto"/>
        <w:rPr>
          <w:b/>
          <w:highlight w:val="cyan"/>
          <w:u w:val="single"/>
        </w:rPr>
      </w:pPr>
    </w:p>
    <w:sectPr w:rsidR="00810488" w:rsidRPr="0050426F">
      <w:headerReference w:type="even" r:id="rId10"/>
      <w:headerReference w:type="default" r:id="rId11"/>
      <w:footerReference w:type="even" r:id="rId12"/>
      <w:footerReference w:type="default" r:id="rId13"/>
      <w:headerReference w:type="first" r:id="rId14"/>
      <w:footerReference w:type="first" r:id="rId15"/>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C876" w14:textId="77777777" w:rsidR="009729C3" w:rsidRDefault="009729C3">
      <w:r>
        <w:separator/>
      </w:r>
    </w:p>
  </w:endnote>
  <w:endnote w:type="continuationSeparator" w:id="0">
    <w:p w14:paraId="04DFD9BA" w14:textId="77777777" w:rsidR="009729C3" w:rsidRDefault="009729C3">
      <w:r>
        <w:continuationSeparator/>
      </w:r>
    </w:p>
  </w:endnote>
  <w:endnote w:type="continuationNotice" w:id="1">
    <w:p w14:paraId="7CA2C562" w14:textId="77777777" w:rsidR="009729C3" w:rsidRDefault="00972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00500A1B">
      <w:rPr>
        <w:rFonts w:eastAsia="Calibri"/>
        <w:noProof/>
        <w:sz w:val="22"/>
        <w:szCs w:val="22"/>
      </w:rPr>
      <w:t>4</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8C67" w14:textId="77777777" w:rsidR="009729C3" w:rsidRDefault="009729C3">
      <w:r>
        <w:separator/>
      </w:r>
    </w:p>
  </w:footnote>
  <w:footnote w:type="continuationSeparator" w:id="0">
    <w:p w14:paraId="599FB394" w14:textId="77777777" w:rsidR="009729C3" w:rsidRDefault="009729C3">
      <w:r>
        <w:continuationSeparator/>
      </w:r>
    </w:p>
  </w:footnote>
  <w:footnote w:type="continuationNotice" w:id="1">
    <w:p w14:paraId="00A5319E" w14:textId="77777777" w:rsidR="009729C3" w:rsidRDefault="00972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2834B612">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4844E68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6AD6F80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0B5C3250">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7700DD2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128029E2">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379CD37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72D824F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C1B4C76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5"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829BD"/>
    <w:multiLevelType w:val="hybridMultilevel"/>
    <w:tmpl w:val="1F2E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9"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731879232">
    <w:abstractNumId w:val="42"/>
  </w:num>
  <w:num w:numId="2" w16cid:durableId="274991174">
    <w:abstractNumId w:val="22"/>
  </w:num>
  <w:num w:numId="3" w16cid:durableId="431055676">
    <w:abstractNumId w:val="24"/>
  </w:num>
  <w:num w:numId="4" w16cid:durableId="664169678">
    <w:abstractNumId w:val="35"/>
  </w:num>
  <w:num w:numId="5" w16cid:durableId="211187391">
    <w:abstractNumId w:val="38"/>
  </w:num>
  <w:num w:numId="6" w16cid:durableId="2133744849">
    <w:abstractNumId w:val="9"/>
  </w:num>
  <w:num w:numId="7" w16cid:durableId="875198937">
    <w:abstractNumId w:val="33"/>
  </w:num>
  <w:num w:numId="8" w16cid:durableId="54158950">
    <w:abstractNumId w:val="41"/>
  </w:num>
  <w:num w:numId="9" w16cid:durableId="1618027950">
    <w:abstractNumId w:val="18"/>
  </w:num>
  <w:num w:numId="10" w16cid:durableId="1104812487">
    <w:abstractNumId w:val="32"/>
  </w:num>
  <w:num w:numId="11" w16cid:durableId="629866941">
    <w:abstractNumId w:val="13"/>
  </w:num>
  <w:num w:numId="12" w16cid:durableId="1801605751">
    <w:abstractNumId w:val="12"/>
  </w:num>
  <w:num w:numId="13" w16cid:durableId="1372848937">
    <w:abstractNumId w:val="29"/>
  </w:num>
  <w:num w:numId="14" w16cid:durableId="1853718427">
    <w:abstractNumId w:val="27"/>
  </w:num>
  <w:num w:numId="15" w16cid:durableId="87703777">
    <w:abstractNumId w:val="25"/>
  </w:num>
  <w:num w:numId="16" w16cid:durableId="2139106377">
    <w:abstractNumId w:val="36"/>
  </w:num>
  <w:num w:numId="17" w16cid:durableId="1042555685">
    <w:abstractNumId w:val="1"/>
  </w:num>
  <w:num w:numId="18" w16cid:durableId="1376589363">
    <w:abstractNumId w:val="23"/>
  </w:num>
  <w:num w:numId="19" w16cid:durableId="1710184948">
    <w:abstractNumId w:val="19"/>
  </w:num>
  <w:num w:numId="20" w16cid:durableId="1398824579">
    <w:abstractNumId w:val="3"/>
  </w:num>
  <w:num w:numId="21" w16cid:durableId="1616207105">
    <w:abstractNumId w:val="40"/>
  </w:num>
  <w:num w:numId="22" w16cid:durableId="2026863717">
    <w:abstractNumId w:val="21"/>
  </w:num>
  <w:num w:numId="23" w16cid:durableId="43139573">
    <w:abstractNumId w:val="39"/>
  </w:num>
  <w:num w:numId="24" w16cid:durableId="484512151">
    <w:abstractNumId w:val="14"/>
  </w:num>
  <w:num w:numId="25" w16cid:durableId="1261378080">
    <w:abstractNumId w:val="37"/>
  </w:num>
  <w:num w:numId="26" w16cid:durableId="2102023211">
    <w:abstractNumId w:val="30"/>
  </w:num>
  <w:num w:numId="27" w16cid:durableId="878669569">
    <w:abstractNumId w:val="5"/>
  </w:num>
  <w:num w:numId="28" w16cid:durableId="207761488">
    <w:abstractNumId w:val="7"/>
  </w:num>
  <w:num w:numId="29" w16cid:durableId="417293364">
    <w:abstractNumId w:val="10"/>
  </w:num>
  <w:num w:numId="30" w16cid:durableId="376975607">
    <w:abstractNumId w:val="28"/>
  </w:num>
  <w:num w:numId="31" w16cid:durableId="1780638925">
    <w:abstractNumId w:val="16"/>
  </w:num>
  <w:num w:numId="32" w16cid:durableId="815537927">
    <w:abstractNumId w:val="6"/>
  </w:num>
  <w:num w:numId="33" w16cid:durableId="824780218">
    <w:abstractNumId w:val="17"/>
  </w:num>
  <w:num w:numId="34" w16cid:durableId="849953571">
    <w:abstractNumId w:val="2"/>
  </w:num>
  <w:num w:numId="35" w16cid:durableId="2047172679">
    <w:abstractNumId w:val="34"/>
  </w:num>
  <w:num w:numId="36" w16cid:durableId="1222670907">
    <w:abstractNumId w:val="8"/>
  </w:num>
  <w:num w:numId="37" w16cid:durableId="357899952">
    <w:abstractNumId w:val="31"/>
  </w:num>
  <w:num w:numId="38" w16cid:durableId="1096556120">
    <w:abstractNumId w:val="26"/>
  </w:num>
  <w:num w:numId="39" w16cid:durableId="1666325479">
    <w:abstractNumId w:val="11"/>
  </w:num>
  <w:num w:numId="40" w16cid:durableId="984895907">
    <w:abstractNumId w:val="4"/>
  </w:num>
  <w:num w:numId="41" w16cid:durableId="728571304">
    <w:abstractNumId w:val="15"/>
  </w:num>
  <w:num w:numId="42" w16cid:durableId="1805924062">
    <w:abstractNumId w:val="0"/>
  </w:num>
  <w:num w:numId="43" w16cid:durableId="86286482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1562"/>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287"/>
    <w:rsid w:val="002C7486"/>
    <w:rsid w:val="002D2176"/>
    <w:rsid w:val="002D625C"/>
    <w:rsid w:val="002E1E93"/>
    <w:rsid w:val="002E26F8"/>
    <w:rsid w:val="002E3905"/>
    <w:rsid w:val="002F408B"/>
    <w:rsid w:val="002F4921"/>
    <w:rsid w:val="002F568D"/>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632E7"/>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0A1B"/>
    <w:rsid w:val="0050426F"/>
    <w:rsid w:val="0050584B"/>
    <w:rsid w:val="00506DD8"/>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2DD3"/>
    <w:rsid w:val="006314BA"/>
    <w:rsid w:val="00634C31"/>
    <w:rsid w:val="006355D6"/>
    <w:rsid w:val="00636677"/>
    <w:rsid w:val="006372C4"/>
    <w:rsid w:val="006468B2"/>
    <w:rsid w:val="006555BF"/>
    <w:rsid w:val="0066150A"/>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6CFC"/>
    <w:rsid w:val="008A6D94"/>
    <w:rsid w:val="008B2603"/>
    <w:rsid w:val="008B4053"/>
    <w:rsid w:val="008B5EA8"/>
    <w:rsid w:val="008C073E"/>
    <w:rsid w:val="008C6D77"/>
    <w:rsid w:val="008D77A5"/>
    <w:rsid w:val="008E2FEE"/>
    <w:rsid w:val="008E3B19"/>
    <w:rsid w:val="008E6DB7"/>
    <w:rsid w:val="008E766E"/>
    <w:rsid w:val="008F01F5"/>
    <w:rsid w:val="008F32E4"/>
    <w:rsid w:val="008F387F"/>
    <w:rsid w:val="008F3FBC"/>
    <w:rsid w:val="00903AF8"/>
    <w:rsid w:val="009067CE"/>
    <w:rsid w:val="00913EBF"/>
    <w:rsid w:val="00915234"/>
    <w:rsid w:val="00920696"/>
    <w:rsid w:val="0092217C"/>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729C3"/>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D51"/>
    <w:rsid w:val="00BE58A2"/>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53B6"/>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11A7C"/>
    <w:rsid w:val="00F14D25"/>
    <w:rsid w:val="00F1627B"/>
    <w:rsid w:val="00F26E54"/>
    <w:rsid w:val="00F306A4"/>
    <w:rsid w:val="00F30EE1"/>
    <w:rsid w:val="00F335E2"/>
    <w:rsid w:val="00F50F9F"/>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customStyle="1" w:styleId="UnresolvedMention2">
    <w:name w:val="Unresolved Mention2"/>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ItemDescription">
    <w:name w:val="Item Description"/>
    <w:rsid w:val="0050426F"/>
    <w:rPr>
      <w:rFonts w:ascii="Calibri" w:eastAsia="Calibri" w:hAnsi="Calibri" w:cs="Calibri"/>
      <w:i/>
      <w:sz w:val="24"/>
    </w:rPr>
  </w:style>
  <w:style w:type="paragraph" w:customStyle="1" w:styleId="Default">
    <w:name w:val="Default"/>
    <w:rsid w:val="005042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tegoryUnderlined">
    <w:name w:val="Category Underlined"/>
    <w:rsid w:val="00D553B6"/>
    <w:rPr>
      <w:rFonts w:ascii="Calibri" w:hAnsi="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67DB-A5E5-46FB-B6A2-2C3980EF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2023-01-04T18:10:00Z</dcterms:created>
  <dcterms:modified xsi:type="dcterms:W3CDTF">2023-01-04T18:10:00Z</dcterms:modified>
</cp:coreProperties>
</file>