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44FE" w14:textId="7EE838B6" w:rsidR="0043213E" w:rsidRDefault="003D7FE1" w:rsidP="001E1F81">
      <w:pPr>
        <w:jc w:val="center"/>
        <w:rPr>
          <w:b/>
          <w:sz w:val="32"/>
          <w:szCs w:val="32"/>
        </w:rPr>
      </w:pPr>
      <w:r>
        <w:rPr>
          <w:b/>
          <w:sz w:val="32"/>
          <w:szCs w:val="32"/>
        </w:rPr>
        <w:t>MEDIA LAW</w:t>
      </w:r>
      <w:r w:rsidR="0043213E">
        <w:rPr>
          <w:b/>
          <w:sz w:val="32"/>
          <w:szCs w:val="32"/>
        </w:rPr>
        <w:t xml:space="preserve"> 6841</w:t>
      </w:r>
      <w:r w:rsidR="00095865">
        <w:rPr>
          <w:b/>
          <w:sz w:val="32"/>
          <w:szCs w:val="32"/>
        </w:rPr>
        <w:t>-20244</w:t>
      </w:r>
    </w:p>
    <w:p w14:paraId="4C1EBB1C" w14:textId="77777777" w:rsidR="0043213E" w:rsidRDefault="0043213E" w:rsidP="001E1F81">
      <w:pPr>
        <w:jc w:val="center"/>
        <w:rPr>
          <w:b/>
          <w:sz w:val="32"/>
          <w:szCs w:val="32"/>
        </w:rPr>
      </w:pPr>
    </w:p>
    <w:p w14:paraId="70DE24D3" w14:textId="77777777" w:rsidR="000353A5" w:rsidRPr="00137F16" w:rsidRDefault="000353A5" w:rsidP="000353A5">
      <w:pPr>
        <w:jc w:val="center"/>
        <w:rPr>
          <w:sz w:val="32"/>
          <w:szCs w:val="32"/>
        </w:rPr>
      </w:pPr>
      <w:r w:rsidRPr="00137F16">
        <w:rPr>
          <w:sz w:val="32"/>
          <w:szCs w:val="32"/>
        </w:rPr>
        <w:t>University of Florida Levin College of Law</w:t>
      </w:r>
    </w:p>
    <w:p w14:paraId="1537A7C5" w14:textId="77777777" w:rsidR="000353A5" w:rsidRPr="00137F16" w:rsidRDefault="000353A5" w:rsidP="000353A5">
      <w:pPr>
        <w:jc w:val="center"/>
        <w:rPr>
          <w:sz w:val="32"/>
          <w:szCs w:val="32"/>
        </w:rPr>
      </w:pPr>
      <w:r w:rsidRPr="00137F16">
        <w:rPr>
          <w:sz w:val="32"/>
          <w:szCs w:val="32"/>
        </w:rPr>
        <w:t xml:space="preserve"> Syllabus &amp; Reading Assignments</w:t>
      </w:r>
    </w:p>
    <w:p w14:paraId="132BE073" w14:textId="2C72780F" w:rsidR="000353A5" w:rsidRPr="00137F16" w:rsidRDefault="000353A5" w:rsidP="000353A5">
      <w:pPr>
        <w:jc w:val="center"/>
        <w:rPr>
          <w:sz w:val="32"/>
          <w:szCs w:val="32"/>
        </w:rPr>
      </w:pPr>
      <w:r w:rsidRPr="00137F16">
        <w:rPr>
          <w:sz w:val="32"/>
          <w:szCs w:val="32"/>
        </w:rPr>
        <w:t xml:space="preserve"> Spring 2023 (3 credit hours)</w:t>
      </w:r>
    </w:p>
    <w:p w14:paraId="71B4EE12" w14:textId="77777777" w:rsidR="001E1F81" w:rsidRDefault="001E1F81" w:rsidP="001E1F81">
      <w:pPr>
        <w:jc w:val="center"/>
        <w:rPr>
          <w:b/>
        </w:rPr>
      </w:pPr>
    </w:p>
    <w:p w14:paraId="0FF885E9" w14:textId="77777777" w:rsidR="00095865" w:rsidRDefault="00095865" w:rsidP="00DC6959">
      <w:pPr>
        <w:rPr>
          <w:b/>
          <w:u w:val="single"/>
        </w:rPr>
      </w:pPr>
    </w:p>
    <w:p w14:paraId="020F0872" w14:textId="47ADB7B8" w:rsidR="00095865" w:rsidRDefault="00095865" w:rsidP="00DC6959">
      <w:pPr>
        <w:rPr>
          <w:b/>
          <w:u w:val="single"/>
        </w:rPr>
      </w:pPr>
    </w:p>
    <w:p w14:paraId="06D73359" w14:textId="77777777" w:rsidR="003556D9" w:rsidRDefault="003556D9" w:rsidP="003556D9">
      <w:r>
        <w:t>Professor Lyrissa Lidsky</w:t>
      </w:r>
    </w:p>
    <w:p w14:paraId="08D996F5" w14:textId="77777777" w:rsidR="003556D9" w:rsidRDefault="003556D9" w:rsidP="003556D9">
      <w:r>
        <w:t>Holland Hall Office 303</w:t>
      </w:r>
    </w:p>
    <w:p w14:paraId="1E80DC45" w14:textId="77777777" w:rsidR="003556D9" w:rsidRDefault="003556D9" w:rsidP="003556D9">
      <w:r>
        <w:t>Office Phone: 352-273-0717</w:t>
      </w:r>
    </w:p>
    <w:p w14:paraId="508EFD6F" w14:textId="77777777" w:rsidR="003556D9" w:rsidRDefault="003556D9" w:rsidP="003556D9">
      <w:r>
        <w:t>Cell: 352-514-4044</w:t>
      </w:r>
    </w:p>
    <w:p w14:paraId="189D7846" w14:textId="77777777" w:rsidR="003556D9" w:rsidRDefault="003556D9" w:rsidP="003556D9">
      <w:pPr>
        <w:rPr>
          <w:rStyle w:val="Hyperlink"/>
        </w:rPr>
      </w:pPr>
      <w:r>
        <w:t xml:space="preserve">Email: </w:t>
      </w:r>
      <w:hyperlink r:id="rId8" w:history="1">
        <w:r w:rsidRPr="00497937">
          <w:rPr>
            <w:rStyle w:val="Hyperlink"/>
          </w:rPr>
          <w:t>lidsky@law.ufl.edu</w:t>
        </w:r>
      </w:hyperlink>
    </w:p>
    <w:p w14:paraId="6C1BCCF3" w14:textId="77777777" w:rsidR="003556D9" w:rsidRDefault="003556D9" w:rsidP="003556D9">
      <w:r w:rsidRPr="007E032F">
        <w:t xml:space="preserve">Office Hours: </w:t>
      </w:r>
      <w:r>
        <w:t>Tuesdays 3:00-5:00 or drop by or set appointment</w:t>
      </w:r>
    </w:p>
    <w:p w14:paraId="6E6DD6D2" w14:textId="7E02587C" w:rsidR="003556D9" w:rsidRDefault="003556D9" w:rsidP="00DC6959">
      <w:pPr>
        <w:rPr>
          <w:b/>
          <w:u w:val="single"/>
        </w:rPr>
      </w:pPr>
    </w:p>
    <w:p w14:paraId="3B097E7D" w14:textId="324A19D6" w:rsidR="003556D9" w:rsidRDefault="003556D9" w:rsidP="00DC6959">
      <w:pPr>
        <w:rPr>
          <w:b/>
          <w:u w:val="single"/>
        </w:rPr>
      </w:pPr>
    </w:p>
    <w:p w14:paraId="7D8BBF34" w14:textId="383AE453" w:rsidR="003556D9" w:rsidRPr="00015EE3" w:rsidRDefault="003556D9" w:rsidP="003556D9">
      <w:pPr>
        <w:rPr>
          <w:b/>
          <w:bCs/>
        </w:rPr>
      </w:pPr>
      <w:r w:rsidRPr="00AD066A">
        <w:rPr>
          <w:b/>
          <w:bCs/>
          <w:u w:val="single"/>
        </w:rPr>
        <w:t>Class Meeting Time and Location</w:t>
      </w:r>
      <w:r w:rsidRPr="00F3672C">
        <w:rPr>
          <w:b/>
          <w:bCs/>
        </w:rPr>
        <w:t xml:space="preserve">: </w:t>
      </w:r>
      <w:r>
        <w:rPr>
          <w:b/>
          <w:bCs/>
        </w:rPr>
        <w:t xml:space="preserve"> </w:t>
      </w:r>
      <w:proofErr w:type="spellStart"/>
      <w:r>
        <w:t>MoWe</w:t>
      </w:r>
      <w:proofErr w:type="spellEnd"/>
      <w:r>
        <w:t>, 9:00-10:25, Holland Hall 345</w:t>
      </w:r>
    </w:p>
    <w:p w14:paraId="5FCE0467" w14:textId="77777777" w:rsidR="003556D9" w:rsidRDefault="003556D9" w:rsidP="00DC6959">
      <w:pPr>
        <w:rPr>
          <w:b/>
          <w:u w:val="single"/>
        </w:rPr>
      </w:pPr>
    </w:p>
    <w:p w14:paraId="6777B7E3" w14:textId="0A3BC6E5" w:rsidR="00DC6959" w:rsidRPr="00F038C0" w:rsidRDefault="003556D9" w:rsidP="00DC6959">
      <w:pPr>
        <w:pStyle w:val="Normal1"/>
        <w:spacing w:before="240" w:beforeAutospacing="0"/>
        <w:jc w:val="both"/>
        <w:rPr>
          <w:color w:val="000000"/>
          <w:u w:val="single"/>
        </w:rPr>
      </w:pPr>
      <w:r>
        <w:rPr>
          <w:rStyle w:val="normal--char"/>
          <w:b/>
          <w:bCs/>
          <w:color w:val="000000"/>
          <w:u w:val="single"/>
        </w:rPr>
        <w:t xml:space="preserve">Course Description and Objectives: </w:t>
      </w:r>
      <w:r w:rsidR="00DC6959" w:rsidRPr="00F038C0">
        <w:rPr>
          <w:rStyle w:val="normal--char"/>
          <w:b/>
          <w:bCs/>
          <w:color w:val="000000"/>
          <w:u w:val="single"/>
        </w:rPr>
        <w:t>What is Media Law?</w:t>
      </w:r>
      <w:r w:rsidR="00DC6959" w:rsidRPr="00F038C0">
        <w:rPr>
          <w:rStyle w:val="normal--char"/>
          <w:color w:val="000000"/>
          <w:u w:val="single"/>
        </w:rPr>
        <w:t xml:space="preserve"> </w:t>
      </w:r>
    </w:p>
    <w:p w14:paraId="76D67C98" w14:textId="77777777" w:rsidR="00DC6959" w:rsidRPr="00F038C0" w:rsidRDefault="00DC6959" w:rsidP="00DC6959">
      <w:pPr>
        <w:pStyle w:val="Normal1"/>
        <w:ind w:firstLine="720"/>
        <w:jc w:val="both"/>
        <w:rPr>
          <w:color w:val="000000"/>
        </w:rPr>
      </w:pPr>
      <w:r w:rsidRPr="00F038C0">
        <w:rPr>
          <w:rStyle w:val="normal--char"/>
          <w:color w:val="000000"/>
        </w:rPr>
        <w:t>This class deal</w:t>
      </w:r>
      <w:r w:rsidR="00F76226">
        <w:rPr>
          <w:rStyle w:val="normal--char"/>
          <w:color w:val="000000"/>
        </w:rPr>
        <w:t>s</w:t>
      </w:r>
      <w:r w:rsidRPr="00F038C0">
        <w:rPr>
          <w:rStyle w:val="normal--char"/>
          <w:color w:val="000000"/>
        </w:rPr>
        <w:t xml:space="preserve"> with various bodies of law that regulate the media industry, including constitutional law, state tort law, federal and state statutes, and administrative regulations. This class also examines the role of the media in our society.</w:t>
      </w:r>
    </w:p>
    <w:p w14:paraId="1D76BA19" w14:textId="18F0CB2C" w:rsidR="00DC6959" w:rsidRDefault="00DC6959" w:rsidP="00DC6959">
      <w:pPr>
        <w:pStyle w:val="Normal1"/>
        <w:ind w:firstLine="720"/>
        <w:jc w:val="both"/>
        <w:rPr>
          <w:rStyle w:val="normal--char"/>
          <w:color w:val="000000"/>
        </w:rPr>
      </w:pPr>
      <w:r w:rsidRPr="00F038C0">
        <w:rPr>
          <w:rStyle w:val="normal--char"/>
          <w:color w:val="000000"/>
        </w:rPr>
        <w:t xml:space="preserve">There is a substantial component of First Amendment law in this class, and we will be reading many U.S. Supreme Court decisions. If you hated </w:t>
      </w:r>
      <w:r w:rsidR="003556D9">
        <w:rPr>
          <w:rStyle w:val="normal--char"/>
          <w:color w:val="000000"/>
        </w:rPr>
        <w:t>C</w:t>
      </w:r>
      <w:r w:rsidRPr="00F038C0">
        <w:rPr>
          <w:rStyle w:val="normal--char"/>
          <w:color w:val="000000"/>
        </w:rPr>
        <w:t xml:space="preserve">onstitutional </w:t>
      </w:r>
      <w:r w:rsidR="003556D9">
        <w:rPr>
          <w:rStyle w:val="normal--char"/>
          <w:color w:val="000000"/>
        </w:rPr>
        <w:t>L</w:t>
      </w:r>
      <w:r w:rsidRPr="00F038C0">
        <w:rPr>
          <w:rStyle w:val="normal--char"/>
          <w:color w:val="000000"/>
        </w:rPr>
        <w:t xml:space="preserve">aw, or if you hate parsing Supreme Court decisions, you will not like this class. On the other hand, this class will serve as a nice complement to your basic constitutional law class. This class will reinforce your skills in constitutional analysis and will give you a thorough grounding in the portion of the First Amendment that guarantees freedom of the press. </w:t>
      </w:r>
      <w:r w:rsidR="00C57840">
        <w:rPr>
          <w:rStyle w:val="normal--char"/>
          <w:color w:val="000000"/>
        </w:rPr>
        <w:t xml:space="preserve">I have had many former students tell me that this course helped them on the bar exam and in their practices. </w:t>
      </w:r>
      <w:r w:rsidRPr="00F038C0">
        <w:rPr>
          <w:rStyle w:val="normal--char"/>
          <w:color w:val="000000"/>
        </w:rPr>
        <w:t>I will bring in current controversies in the news that raise issues of Media Law. Please feel free to bring current controversies to my attention so I can share them with the class.</w:t>
      </w:r>
      <w:r>
        <w:rPr>
          <w:rStyle w:val="normal--char"/>
          <w:color w:val="000000"/>
        </w:rPr>
        <w:t xml:space="preserve"> </w:t>
      </w:r>
    </w:p>
    <w:p w14:paraId="68AF09A2" w14:textId="2F6A24DC" w:rsidR="003556D9" w:rsidRDefault="003556D9" w:rsidP="00DC6959">
      <w:pPr>
        <w:pStyle w:val="Normal1"/>
        <w:ind w:firstLine="720"/>
        <w:jc w:val="both"/>
        <w:rPr>
          <w:rStyle w:val="normal--char"/>
          <w:color w:val="000000"/>
        </w:rPr>
      </w:pPr>
      <w:r>
        <w:rPr>
          <w:rStyle w:val="normal--char"/>
          <w:color w:val="000000"/>
        </w:rPr>
        <w:t xml:space="preserve">My objectives are for you to know the “black-letter rules” of Media Law, which include constitutional law, common law, and statutes; be able to apply these black-letter rules to novel fact patterns; understand </w:t>
      </w:r>
      <w:r w:rsidR="00137F16">
        <w:rPr>
          <w:rStyle w:val="normal--char"/>
          <w:color w:val="000000"/>
        </w:rPr>
        <w:t xml:space="preserve">and be able to employ </w:t>
      </w:r>
      <w:r>
        <w:rPr>
          <w:rStyle w:val="normal--char"/>
          <w:color w:val="000000"/>
        </w:rPr>
        <w:t xml:space="preserve">the major methodologies the Supreme Court uses to resolve First Amendment cases; </w:t>
      </w:r>
      <w:r w:rsidR="000353A5">
        <w:rPr>
          <w:rStyle w:val="normal--char"/>
          <w:color w:val="000000"/>
        </w:rPr>
        <w:t>and develop your advocacy skills by making cogent and persuasive arguments</w:t>
      </w:r>
      <w:r w:rsidR="00137F16">
        <w:rPr>
          <w:rStyle w:val="normal--char"/>
          <w:color w:val="000000"/>
        </w:rPr>
        <w:t xml:space="preserve"> in writing</w:t>
      </w:r>
      <w:r w:rsidR="000353A5">
        <w:rPr>
          <w:rStyle w:val="normal--char"/>
          <w:color w:val="000000"/>
        </w:rPr>
        <w:t xml:space="preserve"> on all sides of media law </w:t>
      </w:r>
      <w:r w:rsidR="00137F16">
        <w:rPr>
          <w:rStyle w:val="normal--char"/>
          <w:color w:val="000000"/>
        </w:rPr>
        <w:t>issues</w:t>
      </w:r>
      <w:r w:rsidR="000353A5">
        <w:rPr>
          <w:rStyle w:val="normal--char"/>
          <w:color w:val="000000"/>
        </w:rPr>
        <w:t xml:space="preserve">. </w:t>
      </w:r>
    </w:p>
    <w:p w14:paraId="2643F372" w14:textId="77777777" w:rsidR="00137F16" w:rsidRDefault="00137F16" w:rsidP="003556D9">
      <w:pPr>
        <w:pStyle w:val="Normal1"/>
        <w:jc w:val="both"/>
        <w:rPr>
          <w:rStyle w:val="normal--char"/>
          <w:b/>
          <w:bCs/>
          <w:color w:val="000000"/>
          <w:u w:val="single"/>
        </w:rPr>
      </w:pPr>
    </w:p>
    <w:p w14:paraId="63A80D0A" w14:textId="77777777" w:rsidR="00137F16" w:rsidRDefault="00137F16" w:rsidP="003556D9">
      <w:pPr>
        <w:pStyle w:val="Normal1"/>
        <w:jc w:val="both"/>
        <w:rPr>
          <w:rStyle w:val="normal--char"/>
          <w:b/>
          <w:bCs/>
          <w:color w:val="000000"/>
          <w:u w:val="single"/>
        </w:rPr>
      </w:pPr>
    </w:p>
    <w:p w14:paraId="0F5DB4E1" w14:textId="17DF1151" w:rsidR="003556D9" w:rsidRPr="003556D9" w:rsidRDefault="003556D9" w:rsidP="003556D9">
      <w:pPr>
        <w:pStyle w:val="Normal1"/>
        <w:jc w:val="both"/>
        <w:rPr>
          <w:rStyle w:val="normal--char"/>
          <w:b/>
          <w:bCs/>
          <w:color w:val="000000"/>
        </w:rPr>
      </w:pPr>
      <w:r w:rsidRPr="003556D9">
        <w:rPr>
          <w:rStyle w:val="normal--char"/>
          <w:b/>
          <w:bCs/>
          <w:color w:val="000000"/>
          <w:u w:val="single"/>
        </w:rPr>
        <w:t>Student Learning Outcomes</w:t>
      </w:r>
      <w:r w:rsidRPr="003556D9">
        <w:rPr>
          <w:rStyle w:val="normal--char"/>
          <w:b/>
          <w:bCs/>
          <w:color w:val="000000"/>
        </w:rPr>
        <w:t>:</w:t>
      </w:r>
    </w:p>
    <w:p w14:paraId="6ECE13B1" w14:textId="773A3705" w:rsidR="00CC2E48" w:rsidRDefault="0043213E" w:rsidP="00137F16">
      <w:pPr>
        <w:pStyle w:val="Normal1"/>
        <w:jc w:val="both"/>
        <w:rPr>
          <w:rStyle w:val="normal--char"/>
          <w:color w:val="000000"/>
        </w:rPr>
      </w:pPr>
      <w:r>
        <w:rPr>
          <w:rStyle w:val="normal--char"/>
          <w:color w:val="000000"/>
        </w:rPr>
        <w:t>At the end of this course, I expect you to</w:t>
      </w:r>
      <w:r w:rsidR="00CC2E48">
        <w:rPr>
          <w:rStyle w:val="normal--char"/>
          <w:color w:val="000000"/>
        </w:rPr>
        <w:t xml:space="preserve"> be able to</w:t>
      </w:r>
      <w:r>
        <w:rPr>
          <w:rStyle w:val="normal--char"/>
          <w:color w:val="000000"/>
        </w:rPr>
        <w:t xml:space="preserve">: </w:t>
      </w:r>
    </w:p>
    <w:p w14:paraId="35CF4371" w14:textId="77777777" w:rsidR="00137F16" w:rsidRDefault="00CC2E48" w:rsidP="00137F16">
      <w:pPr>
        <w:pStyle w:val="Normal1"/>
        <w:spacing w:before="0" w:beforeAutospacing="0" w:after="0" w:afterAutospacing="0"/>
        <w:ind w:firstLine="720"/>
        <w:jc w:val="both"/>
        <w:rPr>
          <w:rStyle w:val="normal--char"/>
          <w:color w:val="000000"/>
        </w:rPr>
      </w:pPr>
      <w:r>
        <w:rPr>
          <w:rStyle w:val="normal--char"/>
          <w:color w:val="000000"/>
        </w:rPr>
        <w:t xml:space="preserve">(a) </w:t>
      </w:r>
      <w:r w:rsidR="0043213E">
        <w:rPr>
          <w:rStyle w:val="normal--char"/>
          <w:color w:val="000000"/>
        </w:rPr>
        <w:t xml:space="preserve">articulate whether the press clause of the First Amendment gives any rights to the press not already provided by the speech </w:t>
      </w:r>
      <w:proofErr w:type="gramStart"/>
      <w:r w:rsidR="0043213E">
        <w:rPr>
          <w:rStyle w:val="normal--char"/>
          <w:color w:val="000000"/>
        </w:rPr>
        <w:t>clause;</w:t>
      </w:r>
      <w:proofErr w:type="gramEnd"/>
      <w:r w:rsidR="0043213E">
        <w:rPr>
          <w:rStyle w:val="normal--char"/>
          <w:color w:val="000000"/>
        </w:rPr>
        <w:t xml:space="preserve"> </w:t>
      </w:r>
    </w:p>
    <w:p w14:paraId="24344211" w14:textId="4BC73F2B" w:rsidR="00CC2E48" w:rsidRDefault="00CC2E48" w:rsidP="00137F16">
      <w:pPr>
        <w:pStyle w:val="Normal1"/>
        <w:spacing w:before="0" w:beforeAutospacing="0" w:after="0" w:afterAutospacing="0"/>
        <w:ind w:firstLine="720"/>
        <w:jc w:val="both"/>
        <w:rPr>
          <w:rStyle w:val="normal--char"/>
          <w:color w:val="000000"/>
        </w:rPr>
      </w:pPr>
      <w:r>
        <w:rPr>
          <w:rStyle w:val="normal--char"/>
          <w:color w:val="000000"/>
        </w:rPr>
        <w:t xml:space="preserve">(b) </w:t>
      </w:r>
      <w:r w:rsidR="0043213E">
        <w:rPr>
          <w:rStyle w:val="normal--char"/>
          <w:color w:val="000000"/>
        </w:rPr>
        <w:t xml:space="preserve">articulate why some First Amendment doctrines appear to be “medium-specific” and make cogent arguments for whether that aspect of First Amendment jurisprudence should </w:t>
      </w:r>
      <w:proofErr w:type="gramStart"/>
      <w:r w:rsidR="0043213E">
        <w:rPr>
          <w:rStyle w:val="normal--char"/>
          <w:color w:val="000000"/>
        </w:rPr>
        <w:t>continue;</w:t>
      </w:r>
      <w:proofErr w:type="gramEnd"/>
      <w:r w:rsidR="0043213E">
        <w:rPr>
          <w:rStyle w:val="normal--char"/>
          <w:color w:val="000000"/>
        </w:rPr>
        <w:t xml:space="preserve"> </w:t>
      </w:r>
    </w:p>
    <w:p w14:paraId="03D7536E" w14:textId="77777777" w:rsidR="00CC2E48" w:rsidRDefault="0043213E" w:rsidP="00137F16">
      <w:pPr>
        <w:pStyle w:val="Normal1"/>
        <w:spacing w:before="0" w:beforeAutospacing="0" w:after="0" w:afterAutospacing="0"/>
        <w:ind w:firstLine="720"/>
        <w:jc w:val="both"/>
        <w:rPr>
          <w:rStyle w:val="normal--char"/>
          <w:color w:val="000000"/>
        </w:rPr>
      </w:pPr>
      <w:r>
        <w:rPr>
          <w:rStyle w:val="normal--char"/>
          <w:color w:val="000000"/>
        </w:rPr>
        <w:t xml:space="preserve">(c) identify content-based and content-neutral regulations of expression and apply appropriate doctrines to analyze the constitutionality of such </w:t>
      </w:r>
      <w:proofErr w:type="gramStart"/>
      <w:r>
        <w:rPr>
          <w:rStyle w:val="normal--char"/>
          <w:color w:val="000000"/>
        </w:rPr>
        <w:t>regulations;</w:t>
      </w:r>
      <w:proofErr w:type="gramEnd"/>
      <w:r>
        <w:rPr>
          <w:rStyle w:val="normal--char"/>
          <w:color w:val="000000"/>
        </w:rPr>
        <w:t xml:space="preserve"> </w:t>
      </w:r>
    </w:p>
    <w:p w14:paraId="76A860D9" w14:textId="77777777" w:rsidR="00CC2E48" w:rsidRDefault="0043213E" w:rsidP="00137F16">
      <w:pPr>
        <w:pStyle w:val="Normal1"/>
        <w:spacing w:before="0" w:beforeAutospacing="0" w:after="0" w:afterAutospacing="0"/>
        <w:ind w:firstLine="720"/>
        <w:jc w:val="both"/>
        <w:rPr>
          <w:rStyle w:val="normal--char"/>
          <w:color w:val="000000"/>
        </w:rPr>
      </w:pPr>
      <w:r>
        <w:rPr>
          <w:rStyle w:val="normal--char"/>
          <w:color w:val="000000"/>
        </w:rPr>
        <w:t xml:space="preserve">(d) </w:t>
      </w:r>
      <w:r w:rsidR="00CC2E48">
        <w:rPr>
          <w:rStyle w:val="normal--char"/>
          <w:color w:val="000000"/>
        </w:rPr>
        <w:t>identify</w:t>
      </w:r>
      <w:r>
        <w:rPr>
          <w:rStyle w:val="normal--char"/>
          <w:color w:val="000000"/>
        </w:rPr>
        <w:t xml:space="preserve"> torts that affect the media and analyze </w:t>
      </w:r>
      <w:r w:rsidR="00CC2E48">
        <w:rPr>
          <w:rStyle w:val="normal--char"/>
          <w:color w:val="000000"/>
        </w:rPr>
        <w:t xml:space="preserve">fact patterns that lie at </w:t>
      </w:r>
      <w:r>
        <w:rPr>
          <w:rStyle w:val="normal--char"/>
          <w:color w:val="000000"/>
        </w:rPr>
        <w:t xml:space="preserve">the intersection of tort law and the First </w:t>
      </w:r>
      <w:proofErr w:type="gramStart"/>
      <w:r>
        <w:rPr>
          <w:rStyle w:val="normal--char"/>
          <w:color w:val="000000"/>
        </w:rPr>
        <w:t>Amendment;</w:t>
      </w:r>
      <w:proofErr w:type="gramEnd"/>
      <w:r>
        <w:rPr>
          <w:rStyle w:val="normal--char"/>
          <w:color w:val="000000"/>
        </w:rPr>
        <w:t xml:space="preserve"> </w:t>
      </w:r>
    </w:p>
    <w:p w14:paraId="34986662" w14:textId="77777777" w:rsidR="00CC2E48" w:rsidRDefault="0043213E" w:rsidP="00137F16">
      <w:pPr>
        <w:pStyle w:val="Normal1"/>
        <w:spacing w:before="0" w:beforeAutospacing="0" w:after="0" w:afterAutospacing="0"/>
        <w:ind w:firstLine="720"/>
        <w:jc w:val="both"/>
        <w:rPr>
          <w:rStyle w:val="normal--char"/>
          <w:color w:val="000000"/>
        </w:rPr>
      </w:pPr>
      <w:r>
        <w:rPr>
          <w:rStyle w:val="normal--char"/>
          <w:color w:val="000000"/>
        </w:rPr>
        <w:t>(e)</w:t>
      </w:r>
      <w:r w:rsidR="00CC2E48">
        <w:rPr>
          <w:rStyle w:val="normal--char"/>
          <w:color w:val="000000"/>
        </w:rPr>
        <w:t xml:space="preserve"> make cogent arguments about what kind of actors should be described as “the press” for purposes of granting press passes or other special legal treatment not available to the general </w:t>
      </w:r>
      <w:proofErr w:type="gramStart"/>
      <w:r w:rsidR="00CC2E48">
        <w:rPr>
          <w:rStyle w:val="normal--char"/>
          <w:color w:val="000000"/>
        </w:rPr>
        <w:t>public;</w:t>
      </w:r>
      <w:proofErr w:type="gramEnd"/>
      <w:r w:rsidR="00CC2E48">
        <w:rPr>
          <w:rStyle w:val="normal--char"/>
          <w:color w:val="000000"/>
        </w:rPr>
        <w:t xml:space="preserve"> </w:t>
      </w:r>
    </w:p>
    <w:p w14:paraId="559C99B0" w14:textId="77777777" w:rsidR="00CC2E48" w:rsidRDefault="00CC2E48" w:rsidP="00137F16">
      <w:pPr>
        <w:pStyle w:val="Normal1"/>
        <w:spacing w:before="0" w:beforeAutospacing="0" w:after="0" w:afterAutospacing="0"/>
        <w:ind w:firstLine="720"/>
        <w:jc w:val="both"/>
        <w:rPr>
          <w:rStyle w:val="normal--char"/>
          <w:color w:val="000000"/>
        </w:rPr>
      </w:pPr>
      <w:r>
        <w:rPr>
          <w:rStyle w:val="normal--char"/>
          <w:color w:val="000000"/>
        </w:rPr>
        <w:t xml:space="preserve">(f) make cogent arguments for and against the proposition that the press </w:t>
      </w:r>
      <w:proofErr w:type="gramStart"/>
      <w:r>
        <w:rPr>
          <w:rStyle w:val="normal--char"/>
          <w:color w:val="000000"/>
        </w:rPr>
        <w:t>play</w:t>
      </w:r>
      <w:proofErr w:type="gramEnd"/>
      <w:r>
        <w:rPr>
          <w:rStyle w:val="normal--char"/>
          <w:color w:val="000000"/>
        </w:rPr>
        <w:t xml:space="preserve"> a special role in democracy; </w:t>
      </w:r>
    </w:p>
    <w:p w14:paraId="73C0D7D7" w14:textId="77777777" w:rsidR="00CC2E48" w:rsidRDefault="00CC2E48" w:rsidP="00137F16">
      <w:pPr>
        <w:pStyle w:val="Normal1"/>
        <w:spacing w:before="0" w:beforeAutospacing="0" w:after="0" w:afterAutospacing="0"/>
        <w:ind w:firstLine="720"/>
        <w:jc w:val="both"/>
        <w:rPr>
          <w:rStyle w:val="normal--char"/>
          <w:color w:val="000000"/>
        </w:rPr>
      </w:pPr>
      <w:r>
        <w:rPr>
          <w:rStyle w:val="normal--char"/>
          <w:color w:val="000000"/>
        </w:rPr>
        <w:t xml:space="preserve">(g) identify and analyze the constitutionality of prior restraints and explain why prior restraints on the press are presumptively </w:t>
      </w:r>
      <w:proofErr w:type="gramStart"/>
      <w:r>
        <w:rPr>
          <w:rStyle w:val="normal--char"/>
          <w:color w:val="000000"/>
        </w:rPr>
        <w:t>unconstitutional;</w:t>
      </w:r>
      <w:proofErr w:type="gramEnd"/>
    </w:p>
    <w:p w14:paraId="48254A51" w14:textId="77777777" w:rsidR="00CC2E48" w:rsidRDefault="00CC2E48" w:rsidP="00137F16">
      <w:pPr>
        <w:pStyle w:val="Normal1"/>
        <w:spacing w:before="0" w:beforeAutospacing="0" w:after="0" w:afterAutospacing="0"/>
        <w:ind w:firstLine="720"/>
        <w:jc w:val="both"/>
        <w:rPr>
          <w:rStyle w:val="normal--char"/>
          <w:color w:val="000000"/>
        </w:rPr>
      </w:pPr>
      <w:r>
        <w:rPr>
          <w:rStyle w:val="normal--char"/>
          <w:color w:val="000000"/>
        </w:rPr>
        <w:t xml:space="preserve">(h) explain the </w:t>
      </w:r>
      <w:r w:rsidR="00C57840">
        <w:rPr>
          <w:rStyle w:val="normal--char"/>
          <w:color w:val="000000"/>
        </w:rPr>
        <w:t>Supreme Court’s “</w:t>
      </w:r>
      <w:r>
        <w:rPr>
          <w:rStyle w:val="normal--char"/>
          <w:color w:val="000000"/>
        </w:rPr>
        <w:t>categorical approach</w:t>
      </w:r>
      <w:r w:rsidR="00C57840">
        <w:rPr>
          <w:rStyle w:val="normal--char"/>
          <w:color w:val="000000"/>
        </w:rPr>
        <w:t>”</w:t>
      </w:r>
      <w:r>
        <w:rPr>
          <w:rStyle w:val="normal--char"/>
          <w:color w:val="000000"/>
        </w:rPr>
        <w:t xml:space="preserve"> to the regulation of expression,</w:t>
      </w:r>
    </w:p>
    <w:p w14:paraId="59A0DEF7" w14:textId="77777777" w:rsidR="00CC2E48" w:rsidRDefault="00CC2E48" w:rsidP="00137F16">
      <w:pPr>
        <w:pStyle w:val="Normal1"/>
        <w:spacing w:before="0" w:beforeAutospacing="0" w:after="0" w:afterAutospacing="0"/>
        <w:ind w:firstLine="720"/>
        <w:jc w:val="both"/>
        <w:rPr>
          <w:rStyle w:val="normal--char"/>
          <w:color w:val="000000"/>
        </w:rPr>
      </w:pPr>
      <w:r>
        <w:rPr>
          <w:rStyle w:val="normal--char"/>
          <w:color w:val="000000"/>
        </w:rPr>
        <w:t>(</w:t>
      </w:r>
      <w:proofErr w:type="spellStart"/>
      <w:r>
        <w:rPr>
          <w:rStyle w:val="normal--char"/>
          <w:color w:val="000000"/>
        </w:rPr>
        <w:t>i</w:t>
      </w:r>
      <w:proofErr w:type="spellEnd"/>
      <w:r>
        <w:rPr>
          <w:rStyle w:val="normal--char"/>
          <w:color w:val="000000"/>
        </w:rPr>
        <w:t xml:space="preserve">) articulate the purposes of the First Amendment, and </w:t>
      </w:r>
    </w:p>
    <w:p w14:paraId="0B9685E5" w14:textId="77777777" w:rsidR="0043213E" w:rsidRPr="00F038C0" w:rsidRDefault="00CC2E48" w:rsidP="00137F16">
      <w:pPr>
        <w:pStyle w:val="Normal1"/>
        <w:spacing w:before="0" w:beforeAutospacing="0" w:after="0" w:afterAutospacing="0"/>
        <w:ind w:firstLine="720"/>
        <w:jc w:val="both"/>
        <w:rPr>
          <w:color w:val="000000"/>
        </w:rPr>
      </w:pPr>
      <w:r>
        <w:rPr>
          <w:rStyle w:val="normal--char"/>
          <w:color w:val="000000"/>
        </w:rPr>
        <w:t>(j) analyze statutes, common law, and constitutional doctrines that the press relies on to gain access to information controlled by the government</w:t>
      </w:r>
      <w:r w:rsidR="0043213E">
        <w:rPr>
          <w:rStyle w:val="normal--char"/>
          <w:color w:val="000000"/>
        </w:rPr>
        <w:t>.</w:t>
      </w:r>
    </w:p>
    <w:p w14:paraId="0197A7BE" w14:textId="77777777" w:rsidR="000353A5" w:rsidRDefault="000353A5" w:rsidP="000353A5">
      <w:pPr>
        <w:jc w:val="both"/>
        <w:rPr>
          <w:b/>
        </w:rPr>
      </w:pPr>
    </w:p>
    <w:p w14:paraId="4E0753A4" w14:textId="0DA8050C" w:rsidR="000353A5" w:rsidRPr="000353A5" w:rsidRDefault="000353A5" w:rsidP="000353A5">
      <w:pPr>
        <w:jc w:val="both"/>
        <w:rPr>
          <w:b/>
        </w:rPr>
      </w:pPr>
      <w:r w:rsidRPr="000353A5">
        <w:rPr>
          <w:b/>
          <w:u w:val="single"/>
        </w:rPr>
        <w:t>Required Book</w:t>
      </w:r>
      <w:r>
        <w:rPr>
          <w:b/>
        </w:rPr>
        <w:t xml:space="preserve">: </w:t>
      </w:r>
      <w:r w:rsidRPr="000353A5">
        <w:rPr>
          <w:bCs/>
        </w:rPr>
        <w:t>MARC A. FRANKLIN, DAVID A. ANDERSON, LYRISSA C. BARNETT LIDSKY &amp; AMY GAJDA, CASES AND MATERIALS ON MEDIA LAW (9</w:t>
      </w:r>
      <w:r w:rsidRPr="000353A5">
        <w:rPr>
          <w:bCs/>
          <w:vertAlign w:val="superscript"/>
        </w:rPr>
        <w:t>TH</w:t>
      </w:r>
      <w:r w:rsidRPr="000353A5">
        <w:rPr>
          <w:bCs/>
        </w:rPr>
        <w:t xml:space="preserve"> ED. 2015)</w:t>
      </w:r>
      <w:r w:rsidR="00137F16">
        <w:rPr>
          <w:bCs/>
        </w:rPr>
        <w:t xml:space="preserve">. </w:t>
      </w:r>
      <w:r w:rsidR="00137F16">
        <w:t>Please be sure to register for the Canvas page for this course. Please bring required book to class every day.</w:t>
      </w:r>
    </w:p>
    <w:p w14:paraId="460C2B5A" w14:textId="5BE7FA41" w:rsidR="000353A5" w:rsidRDefault="000353A5" w:rsidP="00DC6959"/>
    <w:p w14:paraId="7EB1FD0F" w14:textId="76EEB22D" w:rsidR="00137F16" w:rsidRDefault="00137F16" w:rsidP="00137F16">
      <w:pPr>
        <w:rPr>
          <w:b/>
          <w:bCs/>
        </w:rPr>
      </w:pPr>
      <w:r w:rsidRPr="00B92DF5">
        <w:rPr>
          <w:b/>
          <w:bCs/>
          <w:u w:val="single"/>
        </w:rPr>
        <w:t>Class Participation and Professionalism</w:t>
      </w:r>
      <w:r>
        <w:rPr>
          <w:b/>
          <w:bCs/>
        </w:rPr>
        <w:t>:</w:t>
      </w:r>
    </w:p>
    <w:p w14:paraId="3E365DB0" w14:textId="77777777" w:rsidR="00137F16" w:rsidRDefault="00137F16" w:rsidP="00137F16">
      <w:pPr>
        <w:rPr>
          <w:b/>
          <w:bCs/>
        </w:rPr>
      </w:pPr>
    </w:p>
    <w:p w14:paraId="0D462283" w14:textId="6BDED1C9" w:rsidR="00137F16" w:rsidRDefault="00137F16" w:rsidP="00137F16">
      <w:r>
        <w:t xml:space="preserve">Participation in classroom discussion is crucial to your success in learning Media Law. I will employ various strategies to encourage and incentivize your participation, but it is not part of your grade in the course. I am a “soft” Socratic teacher, meaning I will call on students randomly to answer questions. You can notify me before class if you do not want to be called on for a particular class; just make sure you do not do it often. If I call on you and you say you are unprepared, I will circle back to you the following day. I employ this method to encourage you to read the material carefully. I also strive to model the legal reasoning process, generate discussion of the type you might have with a colleague or partner in your law firm, and allow the class to gain from the insights of those who may be reticent to volunteer. I have high expectations for your performance in this class and your eventual performance as attorneys. </w:t>
      </w:r>
    </w:p>
    <w:p w14:paraId="5E22FE22" w14:textId="77777777" w:rsidR="00137F16" w:rsidRDefault="00137F16" w:rsidP="00137F16"/>
    <w:p w14:paraId="56A6AB05" w14:textId="0CD9069A" w:rsidR="00137F16" w:rsidRDefault="00137F16" w:rsidP="00137F16">
      <w:r>
        <w:t xml:space="preserve">Typical questions I will ask about each case are as follows: What are the facts? What portion of the Constitution, statute, or common law rule is implicated? What was the holding? What was the rationale? What interpretative methodology or methodologies did the Court use to support its rationale? How many votes supported the holding? Was there a dissent? Why did the parties want to pursue this case? Does this case only benefit or disadvantage the press, or does it apply to other speakers or other newsgatherers? How did the historical or social context of the case shape the decision? If the facts of the case were changed in some respect, would the case come out differently? How would you have argued this case if you represented the parties? What interpretive methodology would you have relied on to persuade the Court? What are the effects of the Court’s decision? What important issues are left open by the Court’s decision? Do changes to the technology of communications mean the doctrine we study should be reconsidered? </w:t>
      </w:r>
    </w:p>
    <w:p w14:paraId="4F3C08C2" w14:textId="77777777" w:rsidR="00137F16" w:rsidRDefault="00137F16" w:rsidP="00137F16"/>
    <w:p w14:paraId="52FBB7D5" w14:textId="064E9B0D" w:rsidR="00137F16" w:rsidRDefault="00137F16" w:rsidP="00137F16">
      <w:r>
        <w:t xml:space="preserve">As you can see, I am interested in teaching you how to make “constitutional” arguments—arguments that other lawyers would recognize as appropriate for resolving contested issues of constitutional law. That said, the contents of this course will inevitably touch on your personal and political beliefs and even matters you may consider fundamental to your identity: we will be discussing the role of the media in society, the role of Big Tech and its effect on public discourse, how to regulate harmful speech and whether the category of harmful speech should be expanded, and other important but potentially polarizing issues. I ask you to practice empathy and be sensitive to the different experiences, perspectives, and opinions your classmates may bring to our discussions. One of the skills that you must develop as a lawyer is how to have respectful discussions with others when you have significant differences of personal or political opinion, and I am going to do my best to model those skills in the classroom. To that end, you may find me articulating arguments or perspectives that I deem to be missing from our discussion, or you may find that I call on you to articulate the “other side.” I challenge you to learn to articulate arguments that do not comport with your own personal or political beliefs, because this is an essential legal skill. If you feel that one of our discussions has missed an important perspective but you feel uncomfortable articulating that perspective, you may email me, and I may circle back to include it without attribution to you. I ask you to be thoughtful (in both senses of that word), be self-critical, presume (rebuttably) your classmates are engaging in discussion in good faith, and listen carefully and respectfully to all views. </w:t>
      </w:r>
    </w:p>
    <w:p w14:paraId="11F853C2" w14:textId="77777777" w:rsidR="00137F16" w:rsidRDefault="00137F16" w:rsidP="000353A5">
      <w:pPr>
        <w:rPr>
          <w:b/>
          <w:bCs/>
          <w:u w:val="single"/>
        </w:rPr>
      </w:pPr>
    </w:p>
    <w:p w14:paraId="40C5898D" w14:textId="1D599D68" w:rsidR="000353A5" w:rsidRPr="00B05A48" w:rsidRDefault="000353A5" w:rsidP="000353A5">
      <w:pPr>
        <w:rPr>
          <w:b/>
          <w:bCs/>
        </w:rPr>
      </w:pPr>
      <w:r w:rsidRPr="00CF5A5A">
        <w:rPr>
          <w:b/>
          <w:bCs/>
          <w:u w:val="single"/>
        </w:rPr>
        <w:t>Grading Evaluation--Methods by which students will be evaluated</w:t>
      </w:r>
      <w:r>
        <w:rPr>
          <w:b/>
          <w:bCs/>
        </w:rPr>
        <w:t>:</w:t>
      </w:r>
    </w:p>
    <w:p w14:paraId="753ACC0C" w14:textId="20916353" w:rsidR="000353A5" w:rsidRDefault="000353A5" w:rsidP="000353A5">
      <w:r>
        <w:t xml:space="preserve">I will evaluate your performance in this class based on your </w:t>
      </w:r>
      <w:r w:rsidRPr="00B05A48">
        <w:rPr>
          <w:u w:val="single"/>
        </w:rPr>
        <w:t>performance</w:t>
      </w:r>
      <w:r>
        <w:t xml:space="preserve"> on the final exam and your </w:t>
      </w:r>
      <w:r w:rsidRPr="00B05A48">
        <w:rPr>
          <w:u w:val="single"/>
        </w:rPr>
        <w:t>completion</w:t>
      </w:r>
      <w:r>
        <w:t xml:space="preserve"> of two quizzes assigned during the semester. Everyone who completes the quizzes will get the full range of points available. Failure to complete the quizzes will result in a deduction of 20 points from your final exam score. The final exam will be scored on a scale of 200 points (50 points per essay question). </w:t>
      </w:r>
    </w:p>
    <w:p w14:paraId="049C37B4" w14:textId="77777777" w:rsidR="00D711C3" w:rsidRDefault="00D711C3" w:rsidP="000353A5"/>
    <w:p w14:paraId="6D78724B" w14:textId="1A2A3819" w:rsidR="000353A5" w:rsidRDefault="000353A5" w:rsidP="00DC6959">
      <w:r w:rsidRPr="00D711C3">
        <w:rPr>
          <w:i/>
          <w:iCs/>
        </w:rPr>
        <w:t>Final Exam Format</w:t>
      </w:r>
      <w:r w:rsidRPr="00CF5A5A">
        <w:t xml:space="preserve">: </w:t>
      </w:r>
      <w:r>
        <w:t xml:space="preserve"> Your final exam in this course will be a </w:t>
      </w:r>
      <w:r w:rsidR="00D711C3">
        <w:t>4</w:t>
      </w:r>
      <w:r>
        <w:t xml:space="preserve">-hour, open-book, take-home exam. It will consist of </w:t>
      </w:r>
      <w:r w:rsidR="00D711C3">
        <w:t>three</w:t>
      </w:r>
      <w:r>
        <w:t xml:space="preserve"> essay questions worth 50 points each, and you will be limited to answering each essay question in 750 words or fewer.  I will provide you with the instructions for the final exam on the Canvas Page for this course approximately one week before the final exam date. </w:t>
      </w:r>
    </w:p>
    <w:p w14:paraId="60B6CED4" w14:textId="60297A3F" w:rsidR="00343EC4" w:rsidRDefault="00343EC4" w:rsidP="00DC6959"/>
    <w:p w14:paraId="6BD9C3F3" w14:textId="77777777" w:rsidR="00343EC4" w:rsidRPr="00343EC4" w:rsidRDefault="00343EC4" w:rsidP="00343EC4">
      <w:pPr>
        <w:rPr>
          <w:b/>
          <w:bCs/>
          <w:u w:val="single"/>
        </w:rPr>
      </w:pPr>
      <w:r w:rsidRPr="00343EC4">
        <w:rPr>
          <w:b/>
          <w:bCs/>
          <w:u w:val="single"/>
        </w:rPr>
        <w:t>Class Attendance:</w:t>
      </w:r>
    </w:p>
    <w:p w14:paraId="1C3F2A7B" w14:textId="694302CC" w:rsidR="00343EC4" w:rsidRDefault="00343EC4" w:rsidP="00343EC4">
      <w:r>
        <w:t xml:space="preserve">Please let me know if you will miss class or have missed class. You may miss four classes without excuse. If you miss more than four classes without a valid excuse, you will be dropped from the class. </w:t>
      </w:r>
    </w:p>
    <w:p w14:paraId="3E4D650F" w14:textId="77777777" w:rsidR="00343EC4" w:rsidRDefault="00343EC4" w:rsidP="00343EC4">
      <w:r>
        <w:t>Please do not arrive late to class if you can avoid it. Let me know if you must leave early. Please turn off your cell phone during class and focus on what is happening in the classroom. I reserve the right to lower your final grade if you engage in behavior that disrupts the learning environment for your classmates.</w:t>
      </w:r>
    </w:p>
    <w:p w14:paraId="3243BDEC" w14:textId="77777777" w:rsidR="00343EC4" w:rsidRDefault="00343EC4" w:rsidP="00DC6959"/>
    <w:p w14:paraId="1541D4CC" w14:textId="77777777" w:rsidR="000353A5" w:rsidRPr="001E5BC5" w:rsidRDefault="000353A5" w:rsidP="000353A5">
      <w:pPr>
        <w:rPr>
          <w:b/>
          <w:bCs/>
          <w:u w:val="single"/>
        </w:rPr>
      </w:pPr>
      <w:r w:rsidRPr="001E5BC5">
        <w:rPr>
          <w:b/>
          <w:bCs/>
          <w:u w:val="single"/>
        </w:rPr>
        <w:t>Exam Delays and Accommodations</w:t>
      </w:r>
    </w:p>
    <w:p w14:paraId="198D45B1" w14:textId="3FCE9717" w:rsidR="000353A5" w:rsidRDefault="000353A5" w:rsidP="000353A5">
      <w:r>
        <w:t>The law school policy on exam delays and accommodations can be found</w:t>
      </w:r>
      <w:r w:rsidR="00343EC4">
        <w:t xml:space="preserve"> here</w:t>
      </w:r>
      <w:hyperlink r:id="rId9" w:history="1">
        <w:r w:rsidR="00343EC4" w:rsidRPr="00343EC4">
          <w:rPr>
            <w:rStyle w:val="Hyperlink"/>
          </w:rPr>
          <w:t>https://www.law.ufl.edu/life-at-uf-law/office-of-student-affairs/current-students/forms-applications/exam-delays-accommodations-form</w:t>
        </w:r>
      </w:hyperlink>
      <w:r w:rsidR="00343EC4">
        <w:t>.</w:t>
      </w:r>
    </w:p>
    <w:p w14:paraId="117C6883" w14:textId="77777777" w:rsidR="000353A5" w:rsidRDefault="000353A5" w:rsidP="000353A5"/>
    <w:p w14:paraId="5BB757E3" w14:textId="77777777" w:rsidR="000353A5" w:rsidRDefault="000353A5" w:rsidP="000353A5">
      <w:r w:rsidRPr="001E5BC5">
        <w:rPr>
          <w:b/>
          <w:bCs/>
          <w:u w:val="single"/>
        </w:rPr>
        <w:t>Information on UF Law Grading Policies</w:t>
      </w:r>
    </w:p>
    <w:p w14:paraId="23B38F56" w14:textId="77777777" w:rsidR="000353A5" w:rsidRDefault="000353A5" w:rsidP="000353A5">
      <w:r>
        <w:t xml:space="preserve">This course follows the Levin College of Law’s grading policies found </w:t>
      </w:r>
      <w:hyperlink r:id="rId10" w:history="1">
        <w:r w:rsidRPr="00941A3D">
          <w:rPr>
            <w:rStyle w:val="Hyperlink"/>
          </w:rPr>
          <w:t>here</w:t>
        </w:r>
      </w:hyperlink>
      <w:r>
        <w:t xml:space="preserve">. </w:t>
      </w:r>
    </w:p>
    <w:p w14:paraId="3A8E90FD" w14:textId="77777777" w:rsidR="000353A5" w:rsidRDefault="000353A5" w:rsidP="000353A5">
      <w:r>
        <w:t xml:space="preserve">Letter Grade Point Equivalent </w:t>
      </w:r>
    </w:p>
    <w:p w14:paraId="0A5CFCF9" w14:textId="77777777" w:rsidR="000353A5" w:rsidRDefault="000353A5" w:rsidP="000353A5">
      <w:r>
        <w:t xml:space="preserve">A 4.0 </w:t>
      </w:r>
    </w:p>
    <w:p w14:paraId="2C61A5BD" w14:textId="77777777" w:rsidR="000353A5" w:rsidRDefault="000353A5" w:rsidP="000353A5">
      <w:r>
        <w:t xml:space="preserve">A- 3.67 </w:t>
      </w:r>
    </w:p>
    <w:p w14:paraId="39200FDD" w14:textId="77777777" w:rsidR="000353A5" w:rsidRDefault="000353A5" w:rsidP="000353A5">
      <w:r>
        <w:t xml:space="preserve">B+ 3.33 </w:t>
      </w:r>
    </w:p>
    <w:p w14:paraId="1E0D60B6" w14:textId="77777777" w:rsidR="000353A5" w:rsidRDefault="000353A5" w:rsidP="000353A5">
      <w:r>
        <w:t xml:space="preserve">B 3.0 </w:t>
      </w:r>
    </w:p>
    <w:p w14:paraId="0243EE47" w14:textId="77777777" w:rsidR="000353A5" w:rsidRDefault="000353A5" w:rsidP="000353A5">
      <w:r>
        <w:t xml:space="preserve">B- 2.67  </w:t>
      </w:r>
    </w:p>
    <w:p w14:paraId="0318CA33" w14:textId="77777777" w:rsidR="000353A5" w:rsidRDefault="000353A5" w:rsidP="000353A5">
      <w:r>
        <w:t xml:space="preserve">C+ 2.33 </w:t>
      </w:r>
    </w:p>
    <w:p w14:paraId="6911C70A" w14:textId="77777777" w:rsidR="000353A5" w:rsidRDefault="000353A5" w:rsidP="000353A5">
      <w:r>
        <w:t xml:space="preserve">C 2.0 </w:t>
      </w:r>
    </w:p>
    <w:p w14:paraId="6A0DCA87" w14:textId="77777777" w:rsidR="000353A5" w:rsidRDefault="000353A5" w:rsidP="000353A5">
      <w:r>
        <w:t xml:space="preserve">C- 1.67 </w:t>
      </w:r>
    </w:p>
    <w:p w14:paraId="2E1F97ED" w14:textId="77777777" w:rsidR="000353A5" w:rsidRDefault="000353A5" w:rsidP="000353A5">
      <w:r>
        <w:t xml:space="preserve">D+ 1.33 </w:t>
      </w:r>
    </w:p>
    <w:p w14:paraId="0D1434BE" w14:textId="77777777" w:rsidR="000353A5" w:rsidRDefault="000353A5" w:rsidP="000353A5">
      <w:r>
        <w:t>D 1.0</w:t>
      </w:r>
    </w:p>
    <w:p w14:paraId="5B38281A" w14:textId="77777777" w:rsidR="000353A5" w:rsidRDefault="000353A5" w:rsidP="000353A5">
      <w:r>
        <w:t xml:space="preserve"> D- 0.67 </w:t>
      </w:r>
    </w:p>
    <w:p w14:paraId="14674770" w14:textId="77777777" w:rsidR="000353A5" w:rsidRDefault="000353A5" w:rsidP="000353A5">
      <w:r>
        <w:t xml:space="preserve">E (Failure) 0.0 12. </w:t>
      </w:r>
    </w:p>
    <w:p w14:paraId="592C4CEE" w14:textId="77777777" w:rsidR="000353A5" w:rsidRDefault="000353A5" w:rsidP="000353A5"/>
    <w:p w14:paraId="13903DF9" w14:textId="77777777" w:rsidR="000353A5" w:rsidRPr="002D04B4" w:rsidRDefault="000353A5" w:rsidP="000353A5">
      <w:pPr>
        <w:rPr>
          <w:b/>
          <w:bCs/>
        </w:rPr>
      </w:pPr>
      <w:r w:rsidRPr="00B821AB">
        <w:rPr>
          <w:b/>
          <w:bCs/>
          <w:u w:val="single"/>
        </w:rPr>
        <w:t>Online Course Evaluation Process</w:t>
      </w:r>
      <w:r w:rsidRPr="002D04B4">
        <w:rPr>
          <w:b/>
          <w:bCs/>
        </w:rPr>
        <w:t>:</w:t>
      </w:r>
    </w:p>
    <w:p w14:paraId="1FA6486F" w14:textId="6E1082DF" w:rsidR="000353A5" w:rsidRDefault="000353A5" w:rsidP="000353A5">
      <w:r>
        <w:t xml:space="preserve">Students are expected to provide feedback on the quality of instruction in this course by completing course evaluations online via </w:t>
      </w:r>
      <w:proofErr w:type="spellStart"/>
      <w:r>
        <w:t>GatorEvals</w:t>
      </w:r>
      <w:proofErr w:type="spellEnd"/>
      <w:r>
        <w:t xml:space="preserve">. Students will be notified when the evaluation period opens and may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11" w:history="1">
        <w:r w:rsidRPr="008D6429">
          <w:rPr>
            <w:rStyle w:val="Hyperlink"/>
          </w:rPr>
          <w:t>https://ufl.bluera.com/ufl/</w:t>
        </w:r>
      </w:hyperlink>
      <w:r>
        <w:t xml:space="preserve">. </w:t>
      </w:r>
    </w:p>
    <w:p w14:paraId="0A79A31F" w14:textId="77777777" w:rsidR="000353A5" w:rsidRDefault="000353A5" w:rsidP="000353A5"/>
    <w:p w14:paraId="49358F09" w14:textId="77777777" w:rsidR="000353A5" w:rsidRDefault="000353A5" w:rsidP="000353A5">
      <w:r w:rsidRPr="00B821AB">
        <w:rPr>
          <w:b/>
          <w:bCs/>
          <w:u w:val="single"/>
        </w:rPr>
        <w:t>Recordings of Class Discussions</w:t>
      </w:r>
      <w:r w:rsidRPr="000F311B">
        <w:rPr>
          <w:b/>
          <w:bCs/>
        </w:rPr>
        <w:t>.</w:t>
      </w:r>
      <w:r>
        <w:t xml:space="preserve"> </w:t>
      </w:r>
    </w:p>
    <w:p w14:paraId="26BD1567" w14:textId="77738458" w:rsidR="000353A5" w:rsidRDefault="000353A5" w:rsidP="000353A5">
      <w:pPr>
        <w:jc w:val="both"/>
        <w:rPr>
          <w:color w:val="201F1E"/>
          <w:sz w:val="22"/>
          <w:szCs w:val="22"/>
        </w:rPr>
      </w:pPr>
      <w:r>
        <w:rPr>
          <w:rFonts w:eastAsia="Baskerville Old Face"/>
          <w:color w:val="323130"/>
          <w:sz w:val="22"/>
          <w:szCs w:val="22"/>
        </w:rPr>
        <w:t xml:space="preserve">All classes will be recorded via </w:t>
      </w:r>
      <w:proofErr w:type="spellStart"/>
      <w:r>
        <w:rPr>
          <w:rFonts w:eastAsia="Baskerville Old Face"/>
          <w:color w:val="323130"/>
          <w:sz w:val="22"/>
          <w:szCs w:val="22"/>
        </w:rPr>
        <w:t>Mediasite</w:t>
      </w:r>
      <w:proofErr w:type="spellEnd"/>
      <w:r>
        <w:rPr>
          <w:rFonts w:eastAsia="Baskerville Old Face"/>
          <w:color w:val="323130"/>
          <w:sz w:val="22"/>
          <w:szCs w:val="22"/>
        </w:rPr>
        <w:t xml:space="preserve"> in case students must miss class for health reasons. The Office of Student Affairs will work with faculty to determine when students may have access to these recordings, and the recordings will be password protected. </w:t>
      </w:r>
      <w:r>
        <w:rPr>
          <w:color w:val="201F1E"/>
          <w:sz w:val="22"/>
          <w:szCs w:val="22"/>
        </w:rPr>
        <w:t>It is the student’s responsibility to contact the Office of Student Affairs as soon as possible after an absence.</w:t>
      </w:r>
    </w:p>
    <w:p w14:paraId="25A92AFE" w14:textId="77777777" w:rsidR="000353A5" w:rsidRDefault="000353A5" w:rsidP="000353A5">
      <w:pPr>
        <w:jc w:val="both"/>
        <w:rPr>
          <w:color w:val="201F1E"/>
        </w:rPr>
      </w:pPr>
    </w:p>
    <w:p w14:paraId="3EEACEAF" w14:textId="648D269F" w:rsidR="000353A5" w:rsidRDefault="000353A5" w:rsidP="000353A5">
      <w:r>
        <w:rPr>
          <w:b/>
          <w:sz w:val="22"/>
          <w:szCs w:val="22"/>
          <w:u w:val="single"/>
        </w:rPr>
        <w:t>ABA OUT-OF-CLASS HOURS REQUIREMENTS:</w:t>
      </w:r>
      <w:r>
        <w:rPr>
          <w:b/>
          <w:sz w:val="22"/>
          <w:szCs w:val="22"/>
        </w:rPr>
        <w:t xml:space="preserve"> </w:t>
      </w:r>
      <w:r>
        <w:rPr>
          <w:rFonts w:eastAsia="Baskerville Old Face"/>
          <w:sz w:val="22"/>
          <w:szCs w:val="22"/>
        </w:rPr>
        <w:t xml:space="preserve">ABA Standard 310 requires that students devote 120 minutes to out-of-class preparation for every “classroom hour” of in-class instruction. </w:t>
      </w:r>
      <w:r>
        <w:rPr>
          <w:rFonts w:eastAsia="Baskerville Old Face"/>
        </w:rPr>
        <w:t xml:space="preserve">According to ABA Standard 310, given that we will have three “classroom hours” per week, </w:t>
      </w:r>
      <w:r w:rsidRPr="00104004">
        <w:rPr>
          <w:rFonts w:eastAsia="Baskerville Old Face"/>
          <w:sz w:val="22"/>
          <w:szCs w:val="22"/>
        </w:rPr>
        <w:t xml:space="preserve">at least </w:t>
      </w:r>
      <w:r>
        <w:rPr>
          <w:rFonts w:eastAsia="Baskerville Old Face"/>
          <w:sz w:val="22"/>
          <w:szCs w:val="22"/>
        </w:rPr>
        <w:t>6</w:t>
      </w:r>
      <w:r w:rsidRPr="00BC6EFC">
        <w:rPr>
          <w:rFonts w:eastAsia="Baskerville Old Face"/>
          <w:sz w:val="22"/>
          <w:szCs w:val="22"/>
        </w:rPr>
        <w:t xml:space="preserve"> hours of preparation</w:t>
      </w:r>
      <w:r>
        <w:rPr>
          <w:rFonts w:eastAsia="Baskerville Old Face"/>
        </w:rPr>
        <w:t xml:space="preserve"> are required</w:t>
      </w:r>
      <w:r w:rsidRPr="00104004">
        <w:rPr>
          <w:rFonts w:eastAsia="Baskerville Old Face"/>
          <w:sz w:val="22"/>
          <w:szCs w:val="22"/>
        </w:rPr>
        <w:t xml:space="preserve"> outside of </w:t>
      </w:r>
      <w:r>
        <w:rPr>
          <w:rFonts w:eastAsia="Baskerville Old Face"/>
        </w:rPr>
        <w:t xml:space="preserve">class. </w:t>
      </w:r>
    </w:p>
    <w:p w14:paraId="7A666D5C" w14:textId="77777777" w:rsidR="000353A5" w:rsidRDefault="000353A5" w:rsidP="000353A5"/>
    <w:p w14:paraId="5107E73D" w14:textId="160F9E5F" w:rsidR="000353A5" w:rsidRDefault="000353A5" w:rsidP="000353A5">
      <w:pPr>
        <w:rPr>
          <w:b/>
          <w:bCs/>
        </w:rPr>
      </w:pPr>
      <w:r w:rsidRPr="00F24DC8">
        <w:rPr>
          <w:b/>
          <w:bCs/>
          <w:u w:val="single"/>
        </w:rPr>
        <w:t>Statement on Academic Honesty</w:t>
      </w:r>
      <w:r w:rsidRPr="001B21B5">
        <w:rPr>
          <w:b/>
          <w:bCs/>
        </w:rPr>
        <w:t>:</w:t>
      </w:r>
    </w:p>
    <w:p w14:paraId="703B589B" w14:textId="77777777" w:rsidR="000353A5" w:rsidRPr="001B21B5" w:rsidRDefault="000353A5" w:rsidP="000353A5">
      <w:pPr>
        <w:rPr>
          <w:b/>
          <w:bCs/>
        </w:rPr>
      </w:pPr>
    </w:p>
    <w:p w14:paraId="067A1446" w14:textId="7DA74155" w:rsidR="000353A5" w:rsidRDefault="000353A5" w:rsidP="000353A5">
      <w:r>
        <w:t xml:space="preserve">UF Law’s Honor Code is located </w:t>
      </w:r>
      <w:hyperlink r:id="rId12" w:history="1">
        <w:r w:rsidRPr="00E4115E">
          <w:rPr>
            <w:rStyle w:val="Hyperlink"/>
          </w:rPr>
          <w:t>here</w:t>
        </w:r>
      </w:hyperlink>
      <w:r>
        <w:t xml:space="preserve">.  As future members of the legal profession, I expect you to conduct yourself with the highest degree of integrity, truthfulness, professionalism, and respect for the rules and the dignity of others. Any dishonesty or attempt to gain unfair advantage while in law school will be </w:t>
      </w:r>
      <w:r w:rsidR="00D711C3">
        <w:t>scrutinized</w:t>
      </w:r>
      <w:r>
        <w:t xml:space="preserve"> by the Bar in determining whether you will gain admission. Act accordingly.</w:t>
      </w:r>
    </w:p>
    <w:p w14:paraId="0A3DB99C" w14:textId="77777777" w:rsidR="000353A5" w:rsidRDefault="000353A5" w:rsidP="000353A5"/>
    <w:p w14:paraId="146884CB" w14:textId="77777777" w:rsidR="000353A5" w:rsidRDefault="000353A5" w:rsidP="000353A5">
      <w:r w:rsidRPr="00076510">
        <w:rPr>
          <w:b/>
          <w:bCs/>
          <w:u w:val="single"/>
        </w:rPr>
        <w:t>Statement on Diversity and Inclusion</w:t>
      </w:r>
      <w:r>
        <w:t>:</w:t>
      </w:r>
    </w:p>
    <w:p w14:paraId="08BB1E8A" w14:textId="3ECDC38E" w:rsidR="000353A5" w:rsidRDefault="000353A5" w:rsidP="000353A5">
      <w:r>
        <w:t>Every student is a valued member of our classroom. It is important to the learning environment that you feel included and that you are comfortable participating in class discussions and communicating with me on any issues related to the class. If your preferred name is not the name listed on the official UF roll, please let me know as soon as possible by e-mail or otherwise. I w</w:t>
      </w:r>
      <w:r w:rsidR="00D711C3">
        <w:t xml:space="preserve">ill gladly call you what </w:t>
      </w:r>
      <w:proofErr w:type="gramStart"/>
      <w:r w:rsidR="00D711C3">
        <w:t>you’d</w:t>
      </w:r>
      <w:proofErr w:type="gramEnd"/>
      <w:r w:rsidR="00D711C3">
        <w:t xml:space="preserve"> like to be called.</w:t>
      </w:r>
    </w:p>
    <w:p w14:paraId="72C42468" w14:textId="77777777" w:rsidR="000353A5" w:rsidRDefault="000353A5" w:rsidP="000353A5"/>
    <w:p w14:paraId="0D8F4FDB" w14:textId="65E31209" w:rsidR="000353A5" w:rsidRDefault="000353A5" w:rsidP="000353A5">
      <w:r>
        <w:t xml:space="preserve">You may change your “Display Name” in Canvas if you desire. Canvas uses the "Display Name" as set in myUFL. The Display Name is what you want people to see in the UF Directory, such as "Allie"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 </w:t>
      </w:r>
    </w:p>
    <w:p w14:paraId="5337D336" w14:textId="77777777" w:rsidR="000353A5" w:rsidRDefault="000353A5" w:rsidP="000353A5"/>
    <w:p w14:paraId="4DF72F1E" w14:textId="77777777" w:rsidR="000353A5" w:rsidRPr="00050E1B" w:rsidRDefault="000353A5" w:rsidP="000353A5">
      <w:pPr>
        <w:rPr>
          <w:b/>
          <w:bCs/>
        </w:rPr>
      </w:pPr>
      <w:r w:rsidRPr="00050E1B">
        <w:rPr>
          <w:b/>
          <w:bCs/>
        </w:rPr>
        <w:t xml:space="preserve">Health and Wellness Resources: </w:t>
      </w:r>
    </w:p>
    <w:p w14:paraId="1ED77255" w14:textId="77777777" w:rsidR="000353A5" w:rsidRDefault="000353A5" w:rsidP="000353A5">
      <w:pPr>
        <w:ind w:left="720"/>
      </w:pPr>
      <w:r>
        <w:t xml:space="preserve">• U Matter, We Care: If you or someone you know is in distress, please contact umatter@ufl.edu, 352-392-1575, or visit U Matter, We Care website to refer or report a concern and a team member will reach out to the student in distress. </w:t>
      </w:r>
    </w:p>
    <w:p w14:paraId="4A49F7F3" w14:textId="77777777" w:rsidR="000353A5" w:rsidRDefault="000353A5" w:rsidP="000353A5">
      <w:pPr>
        <w:ind w:left="720"/>
      </w:pPr>
    </w:p>
    <w:p w14:paraId="12BA13A6" w14:textId="77777777" w:rsidR="000353A5" w:rsidRDefault="000353A5" w:rsidP="000353A5">
      <w:pPr>
        <w:ind w:left="720"/>
      </w:pPr>
      <w:r>
        <w:t xml:space="preserve">• Counseling and Wellness Center: Visit the Counseling and Wellness Center website or call 352-392-1575 for information on crisis services as well as noncrisis services. </w:t>
      </w:r>
    </w:p>
    <w:p w14:paraId="07909024" w14:textId="77777777" w:rsidR="000353A5" w:rsidRDefault="000353A5" w:rsidP="000353A5">
      <w:pPr>
        <w:ind w:left="720"/>
      </w:pPr>
    </w:p>
    <w:p w14:paraId="4FF65778" w14:textId="77777777" w:rsidR="000353A5" w:rsidRDefault="000353A5" w:rsidP="000353A5">
      <w:pPr>
        <w:ind w:left="720"/>
      </w:pPr>
      <w:r>
        <w:t xml:space="preserve">• Student Health Care Center: Call 352-392-1161 for 24/7 information to help you find the care you </w:t>
      </w:r>
      <w:proofErr w:type="gramStart"/>
      <w:r>
        <w:t>need, or</w:t>
      </w:r>
      <w:proofErr w:type="gramEnd"/>
      <w:r>
        <w:t xml:space="preserve"> visit the Student Health Care Center website.  </w:t>
      </w:r>
    </w:p>
    <w:p w14:paraId="38867EBF" w14:textId="77777777" w:rsidR="000353A5" w:rsidRDefault="000353A5" w:rsidP="000353A5">
      <w:pPr>
        <w:ind w:left="720"/>
      </w:pPr>
    </w:p>
    <w:p w14:paraId="1AB92B4C" w14:textId="77777777" w:rsidR="000353A5" w:rsidRDefault="000353A5" w:rsidP="000353A5">
      <w:pPr>
        <w:ind w:left="720"/>
      </w:pPr>
      <w:r>
        <w:t xml:space="preserve">• University Police Department: Visit UF Police Department website or call 352- 392-1111 (or 9-1-1 for emergencies). </w:t>
      </w:r>
    </w:p>
    <w:p w14:paraId="4CBEC824" w14:textId="77777777" w:rsidR="000353A5" w:rsidRDefault="000353A5" w:rsidP="000353A5">
      <w:pPr>
        <w:ind w:left="720"/>
      </w:pPr>
    </w:p>
    <w:p w14:paraId="4E10FC7F" w14:textId="77777777" w:rsidR="000353A5" w:rsidRPr="00195672" w:rsidRDefault="000353A5" w:rsidP="000353A5">
      <w:pPr>
        <w:rPr>
          <w:b/>
          <w:bCs/>
        </w:rPr>
      </w:pPr>
      <w:r w:rsidRPr="00195672">
        <w:rPr>
          <w:b/>
          <w:bCs/>
        </w:rPr>
        <w:t>Basic Needs Assistance:</w:t>
      </w:r>
    </w:p>
    <w:p w14:paraId="7CB371CB" w14:textId="467E4CAC" w:rsidR="000353A5" w:rsidRDefault="000353A5" w:rsidP="000353A5">
      <w:r>
        <w:t>Any student who has difficulty accessing sufficient food or lacks a safe place to live is encouraged to contact the Office of Student Affairs. We care about you, and we can help.</w:t>
      </w:r>
    </w:p>
    <w:p w14:paraId="17E530FA" w14:textId="14825CC8" w:rsidR="00137F16" w:rsidRDefault="00137F16"/>
    <w:p w14:paraId="0B217AE6" w14:textId="77777777" w:rsidR="000353A5" w:rsidRDefault="000353A5" w:rsidP="000353A5">
      <w:pPr>
        <w:rPr>
          <w:b/>
          <w:sz w:val="22"/>
          <w:szCs w:val="22"/>
          <w:u w:val="single"/>
        </w:rPr>
      </w:pPr>
      <w:r>
        <w:rPr>
          <w:b/>
          <w:sz w:val="22"/>
          <w:szCs w:val="22"/>
          <w:u w:val="single"/>
        </w:rPr>
        <w:t xml:space="preserve">COURSE SCHEDULE OF TOPICS AND ASSIGNMENTS </w:t>
      </w:r>
    </w:p>
    <w:p w14:paraId="1E7490AA" w14:textId="77777777" w:rsidR="000353A5" w:rsidRDefault="000353A5" w:rsidP="000353A5">
      <w:pPr>
        <w:rPr>
          <w:color w:val="C00000"/>
          <w:sz w:val="22"/>
          <w:szCs w:val="22"/>
        </w:rPr>
      </w:pPr>
      <w:r>
        <w:rPr>
          <w:sz w:val="22"/>
          <w:szCs w:val="22"/>
        </w:rPr>
        <w:t xml:space="preserve">This </w:t>
      </w:r>
      <w:r>
        <w:t>list of assignments</w:t>
      </w:r>
      <w:r>
        <w:rPr>
          <w:sz w:val="22"/>
          <w:szCs w:val="22"/>
        </w:rPr>
        <w:t xml:space="preserve"> is offered as a guide to the direction of the course. Our pace will depend in part on the level of interest and the level of difficulty of each section and is subject to change. </w:t>
      </w:r>
      <w:r>
        <w:t>I will give you notice at the end of day of how much I expect to cover the following day.</w:t>
      </w:r>
    </w:p>
    <w:p w14:paraId="64E95D9A" w14:textId="77777777" w:rsidR="0002393A" w:rsidRDefault="0002393A">
      <w:pPr>
        <w:rPr>
          <w:b/>
        </w:rPr>
      </w:pPr>
    </w:p>
    <w:p w14:paraId="67B8CBD6" w14:textId="77777777" w:rsidR="0002393A" w:rsidRDefault="0002393A" w:rsidP="001E1F8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1416"/>
        <w:gridCol w:w="2374"/>
        <w:gridCol w:w="3958"/>
      </w:tblGrid>
      <w:tr w:rsidR="001E1F81" w14:paraId="35B2CE5B" w14:textId="77777777" w:rsidTr="00BC428C">
        <w:tc>
          <w:tcPr>
            <w:tcW w:w="908" w:type="dxa"/>
            <w:shd w:val="clear" w:color="auto" w:fill="auto"/>
          </w:tcPr>
          <w:p w14:paraId="5980527D" w14:textId="3FBE73F8" w:rsidR="001E1F81" w:rsidRPr="006338CE" w:rsidRDefault="000353A5" w:rsidP="001E1F81">
            <w:pPr>
              <w:rPr>
                <w:b/>
                <w:smallCaps/>
              </w:rPr>
            </w:pPr>
            <w:r>
              <w:rPr>
                <w:b/>
                <w:smallCaps/>
              </w:rPr>
              <w:t>Class</w:t>
            </w:r>
          </w:p>
        </w:tc>
        <w:tc>
          <w:tcPr>
            <w:tcW w:w="1416" w:type="dxa"/>
            <w:shd w:val="clear" w:color="auto" w:fill="auto"/>
          </w:tcPr>
          <w:p w14:paraId="2AE96565" w14:textId="2CE02F55" w:rsidR="001E1F81" w:rsidRPr="006338CE" w:rsidRDefault="00857419" w:rsidP="001E1F81">
            <w:pPr>
              <w:rPr>
                <w:b/>
                <w:smallCaps/>
              </w:rPr>
            </w:pPr>
            <w:r>
              <w:rPr>
                <w:b/>
                <w:smallCaps/>
              </w:rPr>
              <w:t>Part</w:t>
            </w:r>
          </w:p>
        </w:tc>
        <w:tc>
          <w:tcPr>
            <w:tcW w:w="2634" w:type="dxa"/>
            <w:shd w:val="clear" w:color="auto" w:fill="auto"/>
          </w:tcPr>
          <w:p w14:paraId="56E3A151" w14:textId="77777777" w:rsidR="001E1F81" w:rsidRPr="006338CE" w:rsidRDefault="001E1F81" w:rsidP="001E1F81">
            <w:pPr>
              <w:rPr>
                <w:b/>
                <w:smallCaps/>
              </w:rPr>
            </w:pPr>
            <w:r w:rsidRPr="006338CE">
              <w:rPr>
                <w:b/>
                <w:smallCaps/>
              </w:rPr>
              <w:t>Subject</w:t>
            </w:r>
          </w:p>
        </w:tc>
        <w:tc>
          <w:tcPr>
            <w:tcW w:w="3672" w:type="dxa"/>
            <w:shd w:val="clear" w:color="auto" w:fill="auto"/>
          </w:tcPr>
          <w:p w14:paraId="75B08128" w14:textId="77777777" w:rsidR="001E1F81" w:rsidRPr="006338CE" w:rsidRDefault="001E1F81" w:rsidP="001E1F81">
            <w:pPr>
              <w:rPr>
                <w:b/>
                <w:smallCaps/>
              </w:rPr>
            </w:pPr>
            <w:r w:rsidRPr="006338CE">
              <w:rPr>
                <w:b/>
                <w:smallCaps/>
              </w:rPr>
              <w:t>Reading</w:t>
            </w:r>
          </w:p>
          <w:p w14:paraId="0F57C87B" w14:textId="77777777" w:rsidR="001E1F81" w:rsidRPr="006338CE" w:rsidRDefault="001E1F81" w:rsidP="001E1F81">
            <w:pPr>
              <w:rPr>
                <w:b/>
                <w:smallCaps/>
              </w:rPr>
            </w:pPr>
          </w:p>
        </w:tc>
      </w:tr>
      <w:tr w:rsidR="001E1F81" w14:paraId="7FF0B9EE" w14:textId="77777777" w:rsidTr="00BC428C">
        <w:tc>
          <w:tcPr>
            <w:tcW w:w="908" w:type="dxa"/>
            <w:shd w:val="clear" w:color="auto" w:fill="auto"/>
          </w:tcPr>
          <w:p w14:paraId="27A35153" w14:textId="77777777" w:rsidR="001E1F81" w:rsidRDefault="001E1F81" w:rsidP="001E1F81"/>
          <w:p w14:paraId="3F73B5F1" w14:textId="77777777" w:rsidR="001E1F81" w:rsidRDefault="001E1F81" w:rsidP="001E1F81">
            <w:r>
              <w:t>1, 2</w:t>
            </w:r>
          </w:p>
        </w:tc>
        <w:tc>
          <w:tcPr>
            <w:tcW w:w="1416" w:type="dxa"/>
            <w:shd w:val="clear" w:color="auto" w:fill="auto"/>
          </w:tcPr>
          <w:p w14:paraId="5517C1C1" w14:textId="77777777" w:rsidR="001E1F81" w:rsidRDefault="001E1F81" w:rsidP="001E1F81"/>
          <w:p w14:paraId="0B70F5D6" w14:textId="15FEDFD2" w:rsidR="001E1F81" w:rsidRDefault="00857419" w:rsidP="00E127C9">
            <w:r>
              <w:t>The First Amendment and Government Regulation</w:t>
            </w:r>
          </w:p>
        </w:tc>
        <w:tc>
          <w:tcPr>
            <w:tcW w:w="2634" w:type="dxa"/>
            <w:shd w:val="clear" w:color="auto" w:fill="auto"/>
          </w:tcPr>
          <w:p w14:paraId="0793DBBA" w14:textId="77777777" w:rsidR="00C23E90" w:rsidRPr="00857419" w:rsidRDefault="00C23E90" w:rsidP="001E1F81">
            <w:pPr>
              <w:rPr>
                <w:bCs/>
                <w:iCs/>
              </w:rPr>
            </w:pPr>
          </w:p>
          <w:p w14:paraId="4E611EE6" w14:textId="2AAE231B" w:rsidR="001E1F81" w:rsidRPr="00857419" w:rsidRDefault="0074095E" w:rsidP="001E1F81">
            <w:pPr>
              <w:rPr>
                <w:bCs/>
                <w:iCs/>
              </w:rPr>
            </w:pPr>
            <w:r w:rsidRPr="00857419">
              <w:rPr>
                <w:bCs/>
                <w:iCs/>
              </w:rPr>
              <w:t xml:space="preserve">I.  </w:t>
            </w:r>
            <w:r w:rsidR="007E561B" w:rsidRPr="00857419">
              <w:rPr>
                <w:bCs/>
                <w:iCs/>
              </w:rPr>
              <w:t>Foundations of Media Law</w:t>
            </w:r>
          </w:p>
          <w:p w14:paraId="2DDEA05F" w14:textId="34CD2351" w:rsidR="00857419" w:rsidRPr="00857419" w:rsidRDefault="00857419" w:rsidP="001E1F81">
            <w:pPr>
              <w:rPr>
                <w:bCs/>
                <w:iCs/>
              </w:rPr>
            </w:pPr>
            <w:r w:rsidRPr="00857419">
              <w:rPr>
                <w:bCs/>
                <w:iCs/>
              </w:rPr>
              <w:t xml:space="preserve">   A. The Role of the First Amendment</w:t>
            </w:r>
          </w:p>
          <w:p w14:paraId="5D22382F" w14:textId="3CD098FE" w:rsidR="00857419" w:rsidRPr="00857419" w:rsidRDefault="00857419" w:rsidP="001E1F81">
            <w:pPr>
              <w:rPr>
                <w:bCs/>
                <w:iCs/>
              </w:rPr>
            </w:pPr>
            <w:r w:rsidRPr="00857419">
              <w:rPr>
                <w:bCs/>
                <w:iCs/>
              </w:rPr>
              <w:t xml:space="preserve">   B. Emergence of Media Law</w:t>
            </w:r>
          </w:p>
          <w:p w14:paraId="55754D2A" w14:textId="298A1574" w:rsidR="00857419" w:rsidRPr="00857419" w:rsidRDefault="00857419" w:rsidP="001E1F81">
            <w:pPr>
              <w:rPr>
                <w:bCs/>
                <w:iCs/>
              </w:rPr>
            </w:pPr>
            <w:r w:rsidRPr="00857419">
              <w:rPr>
                <w:bCs/>
                <w:iCs/>
              </w:rPr>
              <w:t xml:space="preserve">   C. Evolution of the News Media</w:t>
            </w:r>
          </w:p>
          <w:p w14:paraId="53E34598" w14:textId="77777777" w:rsidR="00857419" w:rsidRPr="00857419" w:rsidRDefault="00857419" w:rsidP="001E1F81">
            <w:pPr>
              <w:rPr>
                <w:bCs/>
                <w:iCs/>
              </w:rPr>
            </w:pPr>
          </w:p>
          <w:p w14:paraId="7EEB3D76" w14:textId="77777777" w:rsidR="00C23E90" w:rsidRPr="00857419" w:rsidRDefault="00C23E90" w:rsidP="001E1F81">
            <w:pPr>
              <w:rPr>
                <w:bCs/>
                <w:iCs/>
              </w:rPr>
            </w:pPr>
          </w:p>
        </w:tc>
        <w:tc>
          <w:tcPr>
            <w:tcW w:w="3672" w:type="dxa"/>
            <w:shd w:val="clear" w:color="auto" w:fill="auto"/>
          </w:tcPr>
          <w:p w14:paraId="21A1C4E4" w14:textId="77777777" w:rsidR="001E1F81" w:rsidRDefault="001E1F81" w:rsidP="001E1F81"/>
          <w:p w14:paraId="560B1D64" w14:textId="064E01A5" w:rsidR="00C3356D" w:rsidRDefault="001E1F81" w:rsidP="00BF77E6">
            <w:r w:rsidRPr="004C21A4">
              <w:rPr>
                <w:rFonts w:ascii="Wingdings" w:hAnsi="Wingdings"/>
                <w:color w:val="000000"/>
              </w:rPr>
              <w:t></w:t>
            </w:r>
            <w:r w:rsidR="00BF77E6">
              <w:t xml:space="preserve"> </w:t>
            </w:r>
            <w:r w:rsidR="00E127C9">
              <w:t xml:space="preserve">Read CB </w:t>
            </w:r>
            <w:r w:rsidR="00857419">
              <w:t>3</w:t>
            </w:r>
            <w:r w:rsidR="00E127C9">
              <w:t>-2</w:t>
            </w:r>
            <w:r w:rsidR="005C60AC">
              <w:t>7</w:t>
            </w:r>
          </w:p>
          <w:p w14:paraId="037378DF" w14:textId="77777777" w:rsidR="00485573" w:rsidRDefault="00485573" w:rsidP="00E127C9"/>
        </w:tc>
      </w:tr>
      <w:tr w:rsidR="00936543" w14:paraId="3A8952BE" w14:textId="77777777" w:rsidTr="00BC428C">
        <w:tc>
          <w:tcPr>
            <w:tcW w:w="908" w:type="dxa"/>
            <w:shd w:val="clear" w:color="auto" w:fill="auto"/>
          </w:tcPr>
          <w:p w14:paraId="768E728F" w14:textId="400EF5E4" w:rsidR="00936543" w:rsidRDefault="005C60AC" w:rsidP="001E1F81">
            <w:r>
              <w:t>3</w:t>
            </w:r>
          </w:p>
        </w:tc>
        <w:tc>
          <w:tcPr>
            <w:tcW w:w="1416" w:type="dxa"/>
            <w:shd w:val="clear" w:color="auto" w:fill="auto"/>
          </w:tcPr>
          <w:p w14:paraId="51CDCD49" w14:textId="14539477" w:rsidR="00936543" w:rsidRDefault="00A4277E" w:rsidP="001E1F81">
            <w:r>
              <w:t>Hot Topic</w:t>
            </w:r>
          </w:p>
        </w:tc>
        <w:tc>
          <w:tcPr>
            <w:tcW w:w="2634" w:type="dxa"/>
            <w:shd w:val="clear" w:color="auto" w:fill="auto"/>
          </w:tcPr>
          <w:p w14:paraId="6D0D1FFB" w14:textId="7C8B9D85" w:rsidR="00936543" w:rsidRDefault="00A4277E" w:rsidP="001E1F81">
            <w:pPr>
              <w:rPr>
                <w:bCs/>
                <w:iCs/>
              </w:rPr>
            </w:pPr>
            <w:r>
              <w:rPr>
                <w:bCs/>
                <w:iCs/>
              </w:rPr>
              <w:t>Big Tech and the Press</w:t>
            </w:r>
          </w:p>
          <w:p w14:paraId="6CFAAA5E" w14:textId="77777777" w:rsidR="00A4277E" w:rsidRDefault="00A4277E" w:rsidP="001E1F81">
            <w:pPr>
              <w:rPr>
                <w:bCs/>
                <w:iCs/>
              </w:rPr>
            </w:pPr>
          </w:p>
          <w:p w14:paraId="5F4954BE" w14:textId="6766D6C6" w:rsidR="00A4277E" w:rsidRPr="00857419" w:rsidRDefault="00A4277E" w:rsidP="00A4277E">
            <w:pPr>
              <w:rPr>
                <w:bCs/>
                <w:iCs/>
              </w:rPr>
            </w:pPr>
          </w:p>
        </w:tc>
        <w:tc>
          <w:tcPr>
            <w:tcW w:w="3672" w:type="dxa"/>
            <w:shd w:val="clear" w:color="auto" w:fill="auto"/>
          </w:tcPr>
          <w:p w14:paraId="1B44D418" w14:textId="7981D50A" w:rsidR="00A4277E" w:rsidRPr="004C21A4" w:rsidRDefault="00A4277E" w:rsidP="001E1F81">
            <w:pPr>
              <w:rPr>
                <w:rFonts w:ascii="Wingdings" w:hAnsi="Wingdings"/>
                <w:color w:val="000000"/>
              </w:rPr>
            </w:pPr>
            <w:r w:rsidRPr="00A4277E">
              <w:rPr>
                <w:rFonts w:ascii="Wingdings" w:hAnsi="Wingdings"/>
                <w:noProof/>
                <w:color w:val="000000"/>
              </w:rPr>
              <mc:AlternateContent>
                <mc:Choice Requires="wps">
                  <w:drawing>
                    <wp:anchor distT="45720" distB="45720" distL="114300" distR="114300" simplePos="0" relativeHeight="251659264" behindDoc="0" locked="0" layoutInCell="1" allowOverlap="1" wp14:anchorId="04D6E316" wp14:editId="1C2D048A">
                      <wp:simplePos x="0" y="0"/>
                      <wp:positionH relativeFrom="column">
                        <wp:align>center</wp:align>
                      </wp:positionH>
                      <wp:positionV relativeFrom="paragraph">
                        <wp:posOffset>182880</wp:posOffset>
                      </wp:positionV>
                      <wp:extent cx="2360930" cy="1404620"/>
                      <wp:effectExtent l="0" t="0" r="15240" b="21590"/>
                      <wp:wrapSquare wrapText="bothSides"/>
                      <wp:docPr id="217" name="Text Box 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5A6D4E" w14:textId="20860ADA" w:rsidR="00A4277E" w:rsidRDefault="00A4277E">
                                  <w:r>
                                    <w:fldChar w:fldCharType="begin"/>
                                  </w:r>
                                  <w:r>
                                    <w:instrText xml:space="preserve"> HYPERLINK "C://Users/lidsky/Downloads/NetChoice,%20LLC%20v.%20Attorney%20Gen.pdf" </w:instrText>
                                  </w:r>
                                  <w:r>
                                    <w:fldChar w:fldCharType="separate"/>
                                  </w:r>
                                  <w:proofErr w:type="spellStart"/>
                                  <w:r w:rsidRPr="00A4277E">
                                    <w:rPr>
                                      <w:rStyle w:val="Hyperlink"/>
                                    </w:rPr>
                                    <w:t>NetChoice</w:t>
                                  </w:r>
                                  <w:proofErr w:type="spellEnd"/>
                                  <w:r w:rsidRPr="00A4277E">
                                    <w:rPr>
                                      <w:rStyle w:val="Hyperlink"/>
                                    </w:rPr>
                                    <w:t xml:space="preserve"> LLC v. Attorney Gen</w:t>
                                  </w:r>
                                  <w:r>
                                    <w:fldChar w:fldCharType="end"/>
                                  </w:r>
                                  <w:r>
                                    <w:t>.</w:t>
                                  </w:r>
                                </w:p>
                                <w:p w14:paraId="20765B7D" w14:textId="2D0E81AC" w:rsidR="00A4277E" w:rsidRDefault="00270EA5">
                                  <w:hyperlink r:id="rId14" w:history="1">
                                    <w:proofErr w:type="spellStart"/>
                                    <w:r w:rsidR="00D711C3" w:rsidRPr="00D711C3">
                                      <w:rPr>
                                        <w:rStyle w:val="Hyperlink"/>
                                      </w:rPr>
                                      <w:t>Netchoice</w:t>
                                    </w:r>
                                    <w:proofErr w:type="spellEnd"/>
                                    <w:r w:rsidR="00D711C3" w:rsidRPr="00D711C3">
                                      <w:rPr>
                                        <w:rStyle w:val="Hyperlink"/>
                                      </w:rPr>
                                      <w:t xml:space="preserve"> v. Paxton</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D6E316" id="_x0000_t202" coordsize="21600,21600" o:spt="202" path="m,l,21600r21600,l21600,xe">
                      <v:stroke joinstyle="miter"/>
                      <v:path gradientshapeok="t" o:connecttype="rect"/>
                    </v:shapetype>
                    <v:shape id="Text Box 2" o:spid="_x0000_s1026" type="#_x0000_t202" href="https://www.ca5.uscourts.gov/opinions/pub/21/21-51178-CV1.pdf"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" o:button="t">
                      <v:fill o:detectmouseclick="t"/>
                      <v:textbox style="mso-fit-shape-to-text:t">
                        <w:txbxContent>
                          <w:p w14:paraId="645A6D4E" w14:textId="20860ADA" w:rsidR="00A4277E" w:rsidRDefault="00A4277E">
                            <w:r>
                              <w:fldChar w:fldCharType="begin"/>
                            </w:r>
                            <w:r>
                              <w:instrText xml:space="preserve"> HYPERLINK "C://Users/lidsky/Downloads/NetChoice,%20LLC%20v.%20Attorney%20Gen.pdf" </w:instrText>
                            </w:r>
                            <w:r>
                              <w:fldChar w:fldCharType="separate"/>
                            </w:r>
                            <w:proofErr w:type="spellStart"/>
                            <w:r w:rsidRPr="00A4277E">
                              <w:rPr>
                                <w:rStyle w:val="Hyperlink"/>
                              </w:rPr>
                              <w:t>NetChoice</w:t>
                            </w:r>
                            <w:proofErr w:type="spellEnd"/>
                            <w:r w:rsidRPr="00A4277E">
                              <w:rPr>
                                <w:rStyle w:val="Hyperlink"/>
                              </w:rPr>
                              <w:t xml:space="preserve"> LLC v. Attorney Gen</w:t>
                            </w:r>
                            <w:r>
                              <w:fldChar w:fldCharType="end"/>
                            </w:r>
                            <w:r>
                              <w:t>.</w:t>
                            </w:r>
                          </w:p>
                          <w:p w14:paraId="20765B7D" w14:textId="2D0E81AC" w:rsidR="00A4277E" w:rsidRDefault="00270EA5">
                            <w:hyperlink r:id="rId15" w:history="1">
                              <w:proofErr w:type="spellStart"/>
                              <w:r w:rsidR="00D711C3" w:rsidRPr="00D711C3">
                                <w:rPr>
                                  <w:rStyle w:val="Hyperlink"/>
                                </w:rPr>
                                <w:t>Netchoice</w:t>
                              </w:r>
                              <w:proofErr w:type="spellEnd"/>
                              <w:r w:rsidR="00D711C3" w:rsidRPr="00D711C3">
                                <w:rPr>
                                  <w:rStyle w:val="Hyperlink"/>
                                </w:rPr>
                                <w:t xml:space="preserve"> v. Paxton</w:t>
                              </w:r>
                            </w:hyperlink>
                          </w:p>
                        </w:txbxContent>
                      </v:textbox>
                      <w10:wrap type="square"/>
                    </v:shape>
                  </w:pict>
                </mc:Fallback>
              </mc:AlternateContent>
            </w:r>
          </w:p>
        </w:tc>
      </w:tr>
      <w:tr w:rsidR="001E1F81" w14:paraId="59191C0C" w14:textId="77777777" w:rsidTr="00BC428C">
        <w:tc>
          <w:tcPr>
            <w:tcW w:w="908" w:type="dxa"/>
            <w:shd w:val="clear" w:color="auto" w:fill="auto"/>
          </w:tcPr>
          <w:p w14:paraId="5119E522" w14:textId="77777777" w:rsidR="001E1F81" w:rsidRDefault="001E1F81" w:rsidP="001E1F81"/>
          <w:p w14:paraId="697824FD" w14:textId="75AA4A24" w:rsidR="001E1F81" w:rsidRDefault="005C60AC" w:rsidP="001E1F81">
            <w:r>
              <w:t>4,5,6</w:t>
            </w:r>
          </w:p>
        </w:tc>
        <w:tc>
          <w:tcPr>
            <w:tcW w:w="1416" w:type="dxa"/>
            <w:shd w:val="clear" w:color="auto" w:fill="auto"/>
          </w:tcPr>
          <w:p w14:paraId="412FDD5E" w14:textId="77777777" w:rsidR="001E1F81" w:rsidRDefault="001E1F81" w:rsidP="001E1F81"/>
          <w:p w14:paraId="4745F18F" w14:textId="30843950" w:rsidR="00E127C9" w:rsidRDefault="00E127C9" w:rsidP="001E1F81"/>
        </w:tc>
        <w:tc>
          <w:tcPr>
            <w:tcW w:w="2634" w:type="dxa"/>
            <w:shd w:val="clear" w:color="auto" w:fill="auto"/>
          </w:tcPr>
          <w:p w14:paraId="6150CB1F" w14:textId="77777777" w:rsidR="001E1F81" w:rsidRPr="00857419" w:rsidRDefault="001E1F81" w:rsidP="001E1F81">
            <w:pPr>
              <w:rPr>
                <w:bCs/>
                <w:iCs/>
              </w:rPr>
            </w:pPr>
          </w:p>
          <w:p w14:paraId="738D4BBC" w14:textId="7FAEF31E" w:rsidR="0017031E" w:rsidRPr="00857419" w:rsidRDefault="0074095E" w:rsidP="001E1F81">
            <w:pPr>
              <w:rPr>
                <w:bCs/>
                <w:iCs/>
              </w:rPr>
            </w:pPr>
            <w:r w:rsidRPr="00857419">
              <w:rPr>
                <w:bCs/>
                <w:iCs/>
              </w:rPr>
              <w:t xml:space="preserve">II.  </w:t>
            </w:r>
            <w:r w:rsidR="0017031E" w:rsidRPr="00857419">
              <w:rPr>
                <w:bCs/>
                <w:iCs/>
              </w:rPr>
              <w:t>First Amendment Principles that Apply to Media Generally:</w:t>
            </w:r>
          </w:p>
          <w:p w14:paraId="75B1CFFD" w14:textId="17B31809" w:rsidR="00857419" w:rsidRPr="00857419" w:rsidRDefault="00857419" w:rsidP="00857419">
            <w:pPr>
              <w:pStyle w:val="ListParagraph"/>
              <w:numPr>
                <w:ilvl w:val="0"/>
                <w:numId w:val="9"/>
              </w:numPr>
              <w:rPr>
                <w:bCs/>
                <w:iCs/>
              </w:rPr>
            </w:pPr>
            <w:r w:rsidRPr="00857419">
              <w:rPr>
                <w:bCs/>
                <w:iCs/>
              </w:rPr>
              <w:t>Prior Restraints on Publication</w:t>
            </w:r>
          </w:p>
          <w:p w14:paraId="1F4FD36E" w14:textId="5E4089FE" w:rsidR="00857419" w:rsidRPr="00857419" w:rsidRDefault="00857419" w:rsidP="00857419">
            <w:pPr>
              <w:pStyle w:val="ListParagraph"/>
              <w:numPr>
                <w:ilvl w:val="0"/>
                <w:numId w:val="9"/>
              </w:numPr>
              <w:rPr>
                <w:bCs/>
                <w:iCs/>
              </w:rPr>
            </w:pPr>
            <w:r w:rsidRPr="00857419">
              <w:rPr>
                <w:bCs/>
                <w:iCs/>
              </w:rPr>
              <w:t>Contempt</w:t>
            </w:r>
          </w:p>
          <w:p w14:paraId="6CFAC7D6" w14:textId="266CCCFF" w:rsidR="00857419" w:rsidRPr="00857419" w:rsidRDefault="00857419" w:rsidP="00857419">
            <w:pPr>
              <w:pStyle w:val="ListParagraph"/>
              <w:numPr>
                <w:ilvl w:val="0"/>
                <w:numId w:val="9"/>
              </w:numPr>
              <w:rPr>
                <w:bCs/>
                <w:iCs/>
              </w:rPr>
            </w:pPr>
            <w:r w:rsidRPr="00857419">
              <w:rPr>
                <w:bCs/>
                <w:iCs/>
              </w:rPr>
              <w:t>Direct Prohibitions</w:t>
            </w:r>
          </w:p>
          <w:p w14:paraId="37010969" w14:textId="099E5038" w:rsidR="00857419" w:rsidRPr="00857419" w:rsidRDefault="00857419" w:rsidP="00857419">
            <w:pPr>
              <w:pStyle w:val="ListParagraph"/>
              <w:numPr>
                <w:ilvl w:val="0"/>
                <w:numId w:val="9"/>
              </w:numPr>
              <w:rPr>
                <w:bCs/>
                <w:iCs/>
              </w:rPr>
            </w:pPr>
            <w:r w:rsidRPr="00857419">
              <w:rPr>
                <w:bCs/>
                <w:iCs/>
              </w:rPr>
              <w:t>Indirect Burdens</w:t>
            </w:r>
          </w:p>
          <w:p w14:paraId="19782978" w14:textId="4949AA18" w:rsidR="00857419" w:rsidRPr="00857419" w:rsidRDefault="00857419" w:rsidP="00857419">
            <w:pPr>
              <w:pStyle w:val="ListParagraph"/>
              <w:numPr>
                <w:ilvl w:val="0"/>
                <w:numId w:val="9"/>
              </w:numPr>
              <w:rPr>
                <w:bCs/>
                <w:iCs/>
              </w:rPr>
            </w:pPr>
            <w:r w:rsidRPr="00857419">
              <w:rPr>
                <w:bCs/>
                <w:iCs/>
              </w:rPr>
              <w:t>Disfavored Speech</w:t>
            </w:r>
          </w:p>
          <w:p w14:paraId="1408C964" w14:textId="77777777" w:rsidR="005D17BF" w:rsidRPr="00857419" w:rsidRDefault="005D17BF" w:rsidP="00857419">
            <w:pPr>
              <w:rPr>
                <w:bCs/>
                <w:iCs/>
              </w:rPr>
            </w:pPr>
          </w:p>
        </w:tc>
        <w:tc>
          <w:tcPr>
            <w:tcW w:w="3672" w:type="dxa"/>
            <w:shd w:val="clear" w:color="auto" w:fill="auto"/>
          </w:tcPr>
          <w:p w14:paraId="3022C703" w14:textId="3B5F1004" w:rsidR="001E1F81" w:rsidRDefault="00C3356D" w:rsidP="001E1F81">
            <w:r w:rsidRPr="004C21A4">
              <w:rPr>
                <w:rFonts w:ascii="Wingdings" w:hAnsi="Wingdings"/>
                <w:color w:val="000000"/>
              </w:rPr>
              <w:t></w:t>
            </w:r>
            <w:r>
              <w:t xml:space="preserve"> Read CB</w:t>
            </w:r>
            <w:r w:rsidR="00857419">
              <w:t xml:space="preserve"> </w:t>
            </w:r>
            <w:r w:rsidR="00E127C9">
              <w:t>2</w:t>
            </w:r>
            <w:r w:rsidR="00857419">
              <w:t>9-</w:t>
            </w:r>
            <w:r w:rsidR="005C60AC">
              <w:t>122</w:t>
            </w:r>
          </w:p>
          <w:p w14:paraId="41399515" w14:textId="77777777" w:rsidR="006C6A2B" w:rsidRDefault="006C6A2B" w:rsidP="001E1F81"/>
        </w:tc>
      </w:tr>
      <w:tr w:rsidR="00A4277E" w14:paraId="3711F645" w14:textId="77777777" w:rsidTr="00BC428C">
        <w:tc>
          <w:tcPr>
            <w:tcW w:w="908" w:type="dxa"/>
            <w:shd w:val="clear" w:color="auto" w:fill="auto"/>
          </w:tcPr>
          <w:p w14:paraId="16A34079" w14:textId="317C90F7" w:rsidR="00A4277E" w:rsidRDefault="00BC428C" w:rsidP="001E1F81">
            <w:r>
              <w:t>7</w:t>
            </w:r>
          </w:p>
        </w:tc>
        <w:tc>
          <w:tcPr>
            <w:tcW w:w="1416" w:type="dxa"/>
            <w:shd w:val="clear" w:color="auto" w:fill="auto"/>
          </w:tcPr>
          <w:p w14:paraId="0FED1835" w14:textId="00BBE7D8" w:rsidR="00A4277E" w:rsidRDefault="00A4277E" w:rsidP="001E1F81">
            <w:r>
              <w:t>Hot Topic</w:t>
            </w:r>
          </w:p>
        </w:tc>
        <w:tc>
          <w:tcPr>
            <w:tcW w:w="2634" w:type="dxa"/>
            <w:shd w:val="clear" w:color="auto" w:fill="auto"/>
          </w:tcPr>
          <w:p w14:paraId="15C67037" w14:textId="2297BD4D" w:rsidR="00A4277E" w:rsidRPr="00857419" w:rsidRDefault="00A4277E" w:rsidP="001E1F81">
            <w:pPr>
              <w:rPr>
                <w:bCs/>
                <w:iCs/>
              </w:rPr>
            </w:pPr>
            <w:r>
              <w:rPr>
                <w:bCs/>
                <w:iCs/>
              </w:rPr>
              <w:t xml:space="preserve">Twitter Files </w:t>
            </w:r>
          </w:p>
        </w:tc>
        <w:tc>
          <w:tcPr>
            <w:tcW w:w="3672" w:type="dxa"/>
            <w:shd w:val="clear" w:color="auto" w:fill="auto"/>
          </w:tcPr>
          <w:p w14:paraId="42005F13" w14:textId="01476642" w:rsidR="00A4277E" w:rsidRDefault="00270EA5" w:rsidP="001E1F81">
            <w:pPr>
              <w:rPr>
                <w:color w:val="000000"/>
              </w:rPr>
            </w:pPr>
            <w:hyperlink r:id="rId16" w:history="1">
              <w:r w:rsidR="00F7260B" w:rsidRPr="00F7260B">
                <w:rPr>
                  <w:rStyle w:val="Hyperlink"/>
                </w:rPr>
                <w:t>Reason Article</w:t>
              </w:r>
            </w:hyperlink>
          </w:p>
          <w:p w14:paraId="2B2AA767" w14:textId="1E64E174" w:rsidR="00EA3387" w:rsidRDefault="00EA3387" w:rsidP="001E1F81">
            <w:pPr>
              <w:rPr>
                <w:color w:val="000000"/>
              </w:rPr>
            </w:pPr>
          </w:p>
          <w:p w14:paraId="1F29E59D" w14:textId="1CDEA6E8" w:rsidR="00EA3387" w:rsidRDefault="00EA3387" w:rsidP="001E1F81">
            <w:pPr>
              <w:rPr>
                <w:color w:val="000000"/>
              </w:rPr>
            </w:pPr>
            <w:r>
              <w:rPr>
                <w:color w:val="000000"/>
              </w:rPr>
              <w:t>Reading TBA (waiting for documents to be released)</w:t>
            </w:r>
          </w:p>
          <w:p w14:paraId="3DED293D" w14:textId="77777777" w:rsidR="00F7260B" w:rsidRDefault="00F7260B" w:rsidP="001E1F81">
            <w:pPr>
              <w:rPr>
                <w:color w:val="000000"/>
              </w:rPr>
            </w:pPr>
          </w:p>
          <w:p w14:paraId="78CBA1FA" w14:textId="234C372B" w:rsidR="00F7260B" w:rsidRPr="00F7260B" w:rsidRDefault="00F7260B" w:rsidP="001E1F81">
            <w:pPr>
              <w:rPr>
                <w:color w:val="000000"/>
              </w:rPr>
            </w:pPr>
          </w:p>
        </w:tc>
      </w:tr>
      <w:tr w:rsidR="001E1F81" w14:paraId="4342C0D9" w14:textId="77777777" w:rsidTr="00BC428C">
        <w:tc>
          <w:tcPr>
            <w:tcW w:w="908" w:type="dxa"/>
            <w:shd w:val="clear" w:color="auto" w:fill="auto"/>
          </w:tcPr>
          <w:p w14:paraId="3355D4E6" w14:textId="2AE7E41D" w:rsidR="001E1F81" w:rsidRDefault="00BC428C" w:rsidP="001E1F81">
            <w:r>
              <w:t>8,9,10</w:t>
            </w:r>
          </w:p>
        </w:tc>
        <w:tc>
          <w:tcPr>
            <w:tcW w:w="1416" w:type="dxa"/>
            <w:shd w:val="clear" w:color="auto" w:fill="auto"/>
          </w:tcPr>
          <w:p w14:paraId="7ED53B8A" w14:textId="5B977F50" w:rsidR="001E1F81" w:rsidRPr="00857419" w:rsidRDefault="001E1F81" w:rsidP="00485573">
            <w:pPr>
              <w:rPr>
                <w:b/>
                <w:bCs/>
              </w:rPr>
            </w:pPr>
          </w:p>
        </w:tc>
        <w:tc>
          <w:tcPr>
            <w:tcW w:w="2634" w:type="dxa"/>
            <w:shd w:val="clear" w:color="auto" w:fill="auto"/>
          </w:tcPr>
          <w:p w14:paraId="2778987E" w14:textId="667FDCD8" w:rsidR="005D4485" w:rsidRPr="00857419" w:rsidRDefault="00857419" w:rsidP="00857419">
            <w:r w:rsidRPr="00857419">
              <w:t>III. Different Rules for Some Media</w:t>
            </w:r>
          </w:p>
          <w:p w14:paraId="524827AE" w14:textId="01892DA4" w:rsidR="00857419" w:rsidRPr="00857419" w:rsidRDefault="00857419" w:rsidP="00857419">
            <w:pPr>
              <w:pStyle w:val="ListParagraph"/>
              <w:numPr>
                <w:ilvl w:val="0"/>
                <w:numId w:val="10"/>
              </w:numPr>
            </w:pPr>
            <w:r w:rsidRPr="00857419">
              <w:t>Broadcasting</w:t>
            </w:r>
          </w:p>
          <w:p w14:paraId="06A88D2D" w14:textId="47FC57DB" w:rsidR="00857419" w:rsidRPr="00857419" w:rsidRDefault="00857419" w:rsidP="00857419">
            <w:pPr>
              <w:pStyle w:val="ListParagraph"/>
              <w:numPr>
                <w:ilvl w:val="0"/>
                <w:numId w:val="10"/>
              </w:numPr>
            </w:pPr>
            <w:r w:rsidRPr="00857419">
              <w:t>Cable</w:t>
            </w:r>
          </w:p>
          <w:p w14:paraId="36C34367" w14:textId="60188CFD" w:rsidR="00857419" w:rsidRPr="00857419" w:rsidRDefault="00857419" w:rsidP="00857419">
            <w:pPr>
              <w:pStyle w:val="ListParagraph"/>
              <w:numPr>
                <w:ilvl w:val="0"/>
                <w:numId w:val="10"/>
              </w:numPr>
            </w:pPr>
            <w:r w:rsidRPr="00857419">
              <w:t>The Internet</w:t>
            </w:r>
          </w:p>
          <w:p w14:paraId="1CC5ACB8" w14:textId="77777777" w:rsidR="00857419" w:rsidRPr="00857419" w:rsidRDefault="00857419" w:rsidP="00857419">
            <w:pPr>
              <w:rPr>
                <w:b/>
                <w:bCs/>
              </w:rPr>
            </w:pPr>
          </w:p>
          <w:p w14:paraId="587ED4BE" w14:textId="77777777" w:rsidR="005D17BF" w:rsidRPr="00857419" w:rsidRDefault="005D17BF" w:rsidP="005D4485">
            <w:pPr>
              <w:ind w:left="720"/>
              <w:rPr>
                <w:b/>
                <w:bCs/>
              </w:rPr>
            </w:pPr>
          </w:p>
        </w:tc>
        <w:tc>
          <w:tcPr>
            <w:tcW w:w="3672" w:type="dxa"/>
            <w:shd w:val="clear" w:color="auto" w:fill="auto"/>
          </w:tcPr>
          <w:p w14:paraId="652D5130" w14:textId="5C051A52" w:rsidR="002D77AE" w:rsidRDefault="00C3356D" w:rsidP="001E1F81">
            <w:r w:rsidRPr="004C21A4">
              <w:rPr>
                <w:rFonts w:ascii="Wingdings" w:hAnsi="Wingdings"/>
                <w:color w:val="000000"/>
              </w:rPr>
              <w:t></w:t>
            </w:r>
            <w:r>
              <w:t xml:space="preserve"> Read CB</w:t>
            </w:r>
            <w:r w:rsidR="00E127C9">
              <w:t xml:space="preserve"> </w:t>
            </w:r>
            <w:r w:rsidR="00857419">
              <w:t>123-</w:t>
            </w:r>
            <w:r w:rsidR="005C60AC">
              <w:t>182</w:t>
            </w:r>
          </w:p>
          <w:p w14:paraId="16909221" w14:textId="77777777" w:rsidR="006C6A2B" w:rsidRDefault="006C6A2B" w:rsidP="001E1F81"/>
        </w:tc>
      </w:tr>
      <w:tr w:rsidR="005F79B7" w14:paraId="4C886E6C" w14:textId="77777777" w:rsidTr="00BC428C">
        <w:tc>
          <w:tcPr>
            <w:tcW w:w="908" w:type="dxa"/>
            <w:shd w:val="clear" w:color="auto" w:fill="auto"/>
          </w:tcPr>
          <w:p w14:paraId="7FDBD2A4" w14:textId="7D1E0331" w:rsidR="005F79B7" w:rsidRDefault="00BC428C" w:rsidP="001E1F81">
            <w:r>
              <w:t>11</w:t>
            </w:r>
          </w:p>
        </w:tc>
        <w:tc>
          <w:tcPr>
            <w:tcW w:w="1416" w:type="dxa"/>
            <w:shd w:val="clear" w:color="auto" w:fill="auto"/>
          </w:tcPr>
          <w:p w14:paraId="2F2CCB46" w14:textId="067FA4DC" w:rsidR="005F79B7" w:rsidRPr="00947E44" w:rsidRDefault="00947E44" w:rsidP="00485573">
            <w:r>
              <w:t>Hot Topic</w:t>
            </w:r>
          </w:p>
        </w:tc>
        <w:tc>
          <w:tcPr>
            <w:tcW w:w="2634" w:type="dxa"/>
            <w:shd w:val="clear" w:color="auto" w:fill="auto"/>
          </w:tcPr>
          <w:p w14:paraId="647F1345" w14:textId="5AFF3B47" w:rsidR="005F79B7" w:rsidRPr="00857419" w:rsidRDefault="00EA3387" w:rsidP="00857419">
            <w:r>
              <w:t>Section 230: What’s Next?</w:t>
            </w:r>
          </w:p>
        </w:tc>
        <w:tc>
          <w:tcPr>
            <w:tcW w:w="3672" w:type="dxa"/>
            <w:shd w:val="clear" w:color="auto" w:fill="auto"/>
          </w:tcPr>
          <w:p w14:paraId="7A132BE8" w14:textId="4943E32D" w:rsidR="005F79B7" w:rsidRPr="00947E44" w:rsidRDefault="00270EA5" w:rsidP="001E1F81">
            <w:pPr>
              <w:rPr>
                <w:rFonts w:ascii="Garamond" w:hAnsi="Garamond"/>
                <w:color w:val="000000"/>
              </w:rPr>
            </w:pPr>
            <w:hyperlink r:id="rId17" w:history="1">
              <w:r w:rsidR="00947E44" w:rsidRPr="00947E44">
                <w:rPr>
                  <w:rStyle w:val="Hyperlink"/>
                  <w:rFonts w:ascii="Garamond" w:hAnsi="Garamond"/>
                </w:rPr>
                <w:t>Gonzalez v. Google LLC</w:t>
              </w:r>
            </w:hyperlink>
          </w:p>
        </w:tc>
      </w:tr>
      <w:tr w:rsidR="00485573" w14:paraId="724599A5" w14:textId="77777777" w:rsidTr="00BC428C">
        <w:tc>
          <w:tcPr>
            <w:tcW w:w="908" w:type="dxa"/>
            <w:shd w:val="clear" w:color="auto" w:fill="auto"/>
          </w:tcPr>
          <w:p w14:paraId="72ED1BE5" w14:textId="76FBBCEF" w:rsidR="00485573" w:rsidRPr="005F79B7" w:rsidRDefault="00BC428C" w:rsidP="001E1F81">
            <w:pPr>
              <w:rPr>
                <w:bCs/>
              </w:rPr>
            </w:pPr>
            <w:r>
              <w:rPr>
                <w:bCs/>
              </w:rPr>
              <w:t>12, 13, 14, 15</w:t>
            </w:r>
          </w:p>
        </w:tc>
        <w:tc>
          <w:tcPr>
            <w:tcW w:w="1416" w:type="dxa"/>
            <w:shd w:val="clear" w:color="auto" w:fill="auto"/>
          </w:tcPr>
          <w:p w14:paraId="0D5422F2" w14:textId="6974E566" w:rsidR="00485573" w:rsidRPr="00857419" w:rsidRDefault="00857419" w:rsidP="001E1F81">
            <w:pPr>
              <w:rPr>
                <w:bCs/>
              </w:rPr>
            </w:pPr>
            <w:r>
              <w:rPr>
                <w:bCs/>
              </w:rPr>
              <w:t>Legal Issues Arising from Publication</w:t>
            </w:r>
          </w:p>
        </w:tc>
        <w:tc>
          <w:tcPr>
            <w:tcW w:w="2634" w:type="dxa"/>
            <w:shd w:val="clear" w:color="auto" w:fill="auto"/>
          </w:tcPr>
          <w:p w14:paraId="49E3D8B2" w14:textId="6731A518" w:rsidR="002D77AE" w:rsidRPr="00857419" w:rsidRDefault="00857419" w:rsidP="00857419">
            <w:pPr>
              <w:rPr>
                <w:bCs/>
              </w:rPr>
            </w:pPr>
            <w:r>
              <w:rPr>
                <w:bCs/>
              </w:rPr>
              <w:t>IV. Defamation</w:t>
            </w:r>
          </w:p>
          <w:p w14:paraId="44FD0A57" w14:textId="77777777" w:rsidR="00E127C9" w:rsidRDefault="00E127C9" w:rsidP="001E1F81">
            <w:pPr>
              <w:ind w:left="720"/>
              <w:rPr>
                <w:b/>
              </w:rPr>
            </w:pPr>
          </w:p>
          <w:p w14:paraId="3A82981A" w14:textId="77777777" w:rsidR="00E127C9" w:rsidRDefault="00E127C9" w:rsidP="001E1F81">
            <w:pPr>
              <w:ind w:left="720"/>
              <w:rPr>
                <w:b/>
              </w:rPr>
            </w:pPr>
          </w:p>
          <w:p w14:paraId="3F11F7E2" w14:textId="77777777" w:rsidR="00E127C9" w:rsidRPr="002741B7" w:rsidRDefault="00E127C9" w:rsidP="001E1F81">
            <w:pPr>
              <w:ind w:left="720"/>
              <w:rPr>
                <w:b/>
              </w:rPr>
            </w:pPr>
          </w:p>
        </w:tc>
        <w:tc>
          <w:tcPr>
            <w:tcW w:w="3672" w:type="dxa"/>
            <w:shd w:val="clear" w:color="auto" w:fill="auto"/>
          </w:tcPr>
          <w:p w14:paraId="2F5F7C28" w14:textId="7CCCB3B3" w:rsidR="00E127C9" w:rsidRDefault="00E127C9" w:rsidP="00E127C9">
            <w:r w:rsidRPr="004C21A4">
              <w:rPr>
                <w:rFonts w:ascii="Wingdings" w:hAnsi="Wingdings"/>
                <w:color w:val="000000"/>
              </w:rPr>
              <w:t></w:t>
            </w:r>
            <w:r>
              <w:t xml:space="preserve"> Read CB</w:t>
            </w:r>
            <w:r w:rsidR="002D77AE">
              <w:t xml:space="preserve"> </w:t>
            </w:r>
            <w:r w:rsidR="005F79B7">
              <w:t>185-</w:t>
            </w:r>
            <w:r w:rsidR="00BC428C">
              <w:t>294</w:t>
            </w:r>
          </w:p>
          <w:p w14:paraId="7D2AE950" w14:textId="77777777" w:rsidR="00485573" w:rsidRPr="004C21A4" w:rsidRDefault="00485573" w:rsidP="00D11150">
            <w:pPr>
              <w:rPr>
                <w:rFonts w:ascii="Wingdings" w:hAnsi="Wingdings"/>
                <w:color w:val="000000"/>
              </w:rPr>
            </w:pPr>
          </w:p>
        </w:tc>
      </w:tr>
      <w:tr w:rsidR="005F79B7" w14:paraId="2C828742" w14:textId="77777777" w:rsidTr="00BC428C">
        <w:tc>
          <w:tcPr>
            <w:tcW w:w="908" w:type="dxa"/>
            <w:shd w:val="clear" w:color="auto" w:fill="auto"/>
          </w:tcPr>
          <w:p w14:paraId="73B964EF" w14:textId="43315380" w:rsidR="005F79B7" w:rsidRPr="005F79B7" w:rsidRDefault="00BC428C" w:rsidP="001E1F81">
            <w:pPr>
              <w:rPr>
                <w:bCs/>
              </w:rPr>
            </w:pPr>
            <w:r>
              <w:rPr>
                <w:bCs/>
              </w:rPr>
              <w:t>16</w:t>
            </w:r>
          </w:p>
        </w:tc>
        <w:tc>
          <w:tcPr>
            <w:tcW w:w="1416" w:type="dxa"/>
            <w:shd w:val="clear" w:color="auto" w:fill="auto"/>
          </w:tcPr>
          <w:p w14:paraId="2A622B2C" w14:textId="77777777" w:rsidR="005F79B7" w:rsidRDefault="005F79B7" w:rsidP="001E1F81">
            <w:pPr>
              <w:rPr>
                <w:bCs/>
              </w:rPr>
            </w:pPr>
          </w:p>
        </w:tc>
        <w:tc>
          <w:tcPr>
            <w:tcW w:w="2634" w:type="dxa"/>
            <w:shd w:val="clear" w:color="auto" w:fill="auto"/>
          </w:tcPr>
          <w:p w14:paraId="131F04B0" w14:textId="63366BE2" w:rsidR="005F79B7" w:rsidRDefault="005F79B7" w:rsidP="00857419">
            <w:pPr>
              <w:rPr>
                <w:bCs/>
              </w:rPr>
            </w:pPr>
            <w:r>
              <w:rPr>
                <w:bCs/>
              </w:rPr>
              <w:t>Hot Topics: Defamation</w:t>
            </w:r>
            <w:r w:rsidR="00947E44">
              <w:rPr>
                <w:bCs/>
              </w:rPr>
              <w:t xml:space="preserve"> Reform</w:t>
            </w:r>
          </w:p>
        </w:tc>
        <w:tc>
          <w:tcPr>
            <w:tcW w:w="3672" w:type="dxa"/>
            <w:shd w:val="clear" w:color="auto" w:fill="auto"/>
          </w:tcPr>
          <w:p w14:paraId="28039547" w14:textId="65E2FB9E" w:rsidR="004D6FB4" w:rsidRPr="004D6FB4" w:rsidRDefault="00270EA5" w:rsidP="00E127C9">
            <w:pPr>
              <w:rPr>
                <w:rFonts w:ascii="Source Sans Pro" w:hAnsi="Source Sans Pro"/>
                <w:color w:val="3D3D3D"/>
                <w:shd w:val="clear" w:color="auto" w:fill="FFFFFF"/>
              </w:rPr>
            </w:pPr>
            <w:hyperlink r:id="rId18" w:history="1">
              <w:r w:rsidR="004D6FB4" w:rsidRPr="004D6FB4">
                <w:rPr>
                  <w:rStyle w:val="Hyperlink"/>
                  <w:rFonts w:ascii="Source Sans Pro" w:hAnsi="Source Sans Pro"/>
                  <w:shd w:val="clear" w:color="auto" w:fill="FFFFFF"/>
                </w:rPr>
                <w:t>§ 2:3.50. Judicial critiques of New York Times v. Sullivan, 1 Law of Defamation § 2:3.50 (2d ed.)</w:t>
              </w:r>
            </w:hyperlink>
          </w:p>
        </w:tc>
      </w:tr>
      <w:tr w:rsidR="00FB31AE" w14:paraId="3042B8E3" w14:textId="77777777" w:rsidTr="00BC428C">
        <w:tc>
          <w:tcPr>
            <w:tcW w:w="908" w:type="dxa"/>
            <w:shd w:val="clear" w:color="auto" w:fill="auto"/>
          </w:tcPr>
          <w:p w14:paraId="73244B3F" w14:textId="2314EB0D" w:rsidR="00FB31AE" w:rsidRDefault="00BC428C" w:rsidP="00A7239A">
            <w:r>
              <w:t>17, 18</w:t>
            </w:r>
          </w:p>
        </w:tc>
        <w:tc>
          <w:tcPr>
            <w:tcW w:w="1416" w:type="dxa"/>
            <w:shd w:val="clear" w:color="auto" w:fill="auto"/>
          </w:tcPr>
          <w:p w14:paraId="526796EA" w14:textId="283E729E" w:rsidR="00FB31AE" w:rsidRDefault="00FB31AE" w:rsidP="00A7239A"/>
        </w:tc>
        <w:tc>
          <w:tcPr>
            <w:tcW w:w="2634" w:type="dxa"/>
            <w:shd w:val="clear" w:color="auto" w:fill="auto"/>
          </w:tcPr>
          <w:p w14:paraId="2DFFAE8B" w14:textId="2956F34E" w:rsidR="002D77AE" w:rsidRDefault="005F79B7" w:rsidP="005F79B7">
            <w:r>
              <w:t>V. Protecting Privacy</w:t>
            </w:r>
          </w:p>
        </w:tc>
        <w:tc>
          <w:tcPr>
            <w:tcW w:w="3672" w:type="dxa"/>
            <w:shd w:val="clear" w:color="auto" w:fill="auto"/>
          </w:tcPr>
          <w:p w14:paraId="44D7C9F6" w14:textId="4A89C4E2" w:rsidR="00FB31AE" w:rsidRDefault="00FB31AE" w:rsidP="00A7239A">
            <w:r w:rsidRPr="004C21A4">
              <w:rPr>
                <w:rFonts w:ascii="Wingdings" w:hAnsi="Wingdings"/>
                <w:color w:val="000000"/>
              </w:rPr>
              <w:t></w:t>
            </w:r>
            <w:r w:rsidR="002D77AE">
              <w:t xml:space="preserve"> Read CB </w:t>
            </w:r>
            <w:r w:rsidR="005F79B7">
              <w:t>295-</w:t>
            </w:r>
            <w:r w:rsidR="00BC428C">
              <w:t>354</w:t>
            </w:r>
          </w:p>
          <w:p w14:paraId="256BB670" w14:textId="77777777" w:rsidR="00FB31AE" w:rsidRDefault="00FB31AE" w:rsidP="00A7239A">
            <w:r>
              <w:rPr>
                <w:rFonts w:ascii="Wingdings" w:hAnsi="Wingdings"/>
              </w:rPr>
              <w:t></w:t>
            </w:r>
          </w:p>
        </w:tc>
      </w:tr>
      <w:tr w:rsidR="00485573" w14:paraId="5A8EAD87" w14:textId="77777777" w:rsidTr="00BC428C">
        <w:tc>
          <w:tcPr>
            <w:tcW w:w="908" w:type="dxa"/>
            <w:shd w:val="clear" w:color="auto" w:fill="auto"/>
          </w:tcPr>
          <w:p w14:paraId="0ABB99E9" w14:textId="4028DFF1" w:rsidR="00485573" w:rsidRDefault="00BC428C" w:rsidP="001E1F81">
            <w:r>
              <w:t>19,20</w:t>
            </w:r>
          </w:p>
        </w:tc>
        <w:tc>
          <w:tcPr>
            <w:tcW w:w="1416" w:type="dxa"/>
            <w:shd w:val="clear" w:color="auto" w:fill="auto"/>
          </w:tcPr>
          <w:p w14:paraId="5A0C3105" w14:textId="77777777" w:rsidR="00485573" w:rsidRDefault="00485573" w:rsidP="001E1F81"/>
        </w:tc>
        <w:tc>
          <w:tcPr>
            <w:tcW w:w="2634" w:type="dxa"/>
            <w:shd w:val="clear" w:color="auto" w:fill="auto"/>
          </w:tcPr>
          <w:p w14:paraId="20C1818F" w14:textId="4702B560" w:rsidR="00485573" w:rsidRDefault="005F79B7" w:rsidP="005F79B7">
            <w:r>
              <w:t>VI. Liability for Emotional, Economic, &amp; Physical Harm</w:t>
            </w:r>
          </w:p>
        </w:tc>
        <w:tc>
          <w:tcPr>
            <w:tcW w:w="3672" w:type="dxa"/>
            <w:shd w:val="clear" w:color="auto" w:fill="auto"/>
          </w:tcPr>
          <w:p w14:paraId="45F09645" w14:textId="05EA0F17" w:rsidR="005F79B7" w:rsidRDefault="005F79B7" w:rsidP="005F79B7">
            <w:r w:rsidRPr="004C21A4">
              <w:rPr>
                <w:rFonts w:ascii="Wingdings" w:hAnsi="Wingdings"/>
                <w:color w:val="000000"/>
              </w:rPr>
              <w:t></w:t>
            </w:r>
            <w:r>
              <w:t xml:space="preserve"> Read CB 355</w:t>
            </w:r>
            <w:r w:rsidR="00BC428C">
              <w:t>-406</w:t>
            </w:r>
          </w:p>
          <w:p w14:paraId="3A93FE47" w14:textId="303932E1" w:rsidR="00437AC5" w:rsidRPr="005F79B7" w:rsidRDefault="00437AC5" w:rsidP="00D11150">
            <w:pPr>
              <w:rPr>
                <w:color w:val="000000"/>
              </w:rPr>
            </w:pPr>
          </w:p>
        </w:tc>
      </w:tr>
      <w:tr w:rsidR="00BC428C" w14:paraId="4D12B02D" w14:textId="77777777" w:rsidTr="00BC428C">
        <w:tc>
          <w:tcPr>
            <w:tcW w:w="908" w:type="dxa"/>
            <w:shd w:val="clear" w:color="auto" w:fill="auto"/>
          </w:tcPr>
          <w:p w14:paraId="13036214" w14:textId="7C7A70B1" w:rsidR="00BC428C" w:rsidRDefault="00BC428C" w:rsidP="001E1F81">
            <w:r>
              <w:t>21</w:t>
            </w:r>
          </w:p>
        </w:tc>
        <w:tc>
          <w:tcPr>
            <w:tcW w:w="1416" w:type="dxa"/>
            <w:shd w:val="clear" w:color="auto" w:fill="auto"/>
          </w:tcPr>
          <w:p w14:paraId="03D64E8B" w14:textId="6FAAA0F3" w:rsidR="00BC428C" w:rsidRDefault="00BC428C" w:rsidP="001E1F81">
            <w:r>
              <w:t>Hot Topic</w:t>
            </w:r>
          </w:p>
        </w:tc>
        <w:tc>
          <w:tcPr>
            <w:tcW w:w="2634" w:type="dxa"/>
            <w:shd w:val="clear" w:color="auto" w:fill="auto"/>
          </w:tcPr>
          <w:p w14:paraId="4F8FE397" w14:textId="4FCE412D" w:rsidR="00BC428C" w:rsidRDefault="00BC428C" w:rsidP="005F79B7">
            <w:r>
              <w:t>TBA</w:t>
            </w:r>
          </w:p>
        </w:tc>
        <w:tc>
          <w:tcPr>
            <w:tcW w:w="3672" w:type="dxa"/>
            <w:shd w:val="clear" w:color="auto" w:fill="auto"/>
          </w:tcPr>
          <w:p w14:paraId="5E1B016E" w14:textId="411B7A71" w:rsidR="00BC428C" w:rsidRPr="00BC428C" w:rsidRDefault="00BC428C" w:rsidP="005F79B7">
            <w:pPr>
              <w:rPr>
                <w:rFonts w:ascii="Garamond" w:hAnsi="Garamond"/>
                <w:color w:val="000000"/>
              </w:rPr>
            </w:pPr>
            <w:r>
              <w:rPr>
                <w:rFonts w:ascii="Garamond" w:hAnsi="Garamond"/>
                <w:color w:val="000000"/>
              </w:rPr>
              <w:t>TBA</w:t>
            </w:r>
          </w:p>
        </w:tc>
      </w:tr>
      <w:tr w:rsidR="005F79B7" w14:paraId="0D4A061B" w14:textId="77777777" w:rsidTr="00BC428C">
        <w:tc>
          <w:tcPr>
            <w:tcW w:w="908" w:type="dxa"/>
            <w:shd w:val="clear" w:color="auto" w:fill="auto"/>
          </w:tcPr>
          <w:p w14:paraId="4AD46521" w14:textId="26D2EF3A" w:rsidR="005F79B7" w:rsidRDefault="00BC428C" w:rsidP="001E1F81">
            <w:r>
              <w:t>22</w:t>
            </w:r>
          </w:p>
        </w:tc>
        <w:tc>
          <w:tcPr>
            <w:tcW w:w="1416" w:type="dxa"/>
            <w:shd w:val="clear" w:color="auto" w:fill="auto"/>
          </w:tcPr>
          <w:p w14:paraId="51388691" w14:textId="77777777" w:rsidR="005F79B7" w:rsidRDefault="005F79B7" w:rsidP="001E1F81"/>
        </w:tc>
        <w:tc>
          <w:tcPr>
            <w:tcW w:w="2634" w:type="dxa"/>
            <w:shd w:val="clear" w:color="auto" w:fill="auto"/>
          </w:tcPr>
          <w:p w14:paraId="008F51E1" w14:textId="2937340A" w:rsidR="005F79B7" w:rsidRDefault="00BC428C" w:rsidP="005F79B7">
            <w:r>
              <w:t>Review Day</w:t>
            </w:r>
          </w:p>
        </w:tc>
        <w:tc>
          <w:tcPr>
            <w:tcW w:w="3672" w:type="dxa"/>
            <w:shd w:val="clear" w:color="auto" w:fill="auto"/>
          </w:tcPr>
          <w:p w14:paraId="1544D91E" w14:textId="77777777" w:rsidR="005F79B7" w:rsidRPr="004C21A4" w:rsidRDefault="005F79B7" w:rsidP="005F79B7">
            <w:pPr>
              <w:rPr>
                <w:rFonts w:ascii="Wingdings" w:hAnsi="Wingdings"/>
                <w:color w:val="000000"/>
              </w:rPr>
            </w:pPr>
          </w:p>
        </w:tc>
      </w:tr>
      <w:tr w:rsidR="001E1F81" w14:paraId="561CE402" w14:textId="77777777" w:rsidTr="00BC428C">
        <w:tc>
          <w:tcPr>
            <w:tcW w:w="908" w:type="dxa"/>
            <w:shd w:val="clear" w:color="auto" w:fill="auto"/>
          </w:tcPr>
          <w:p w14:paraId="2EA3F5AD" w14:textId="77777777" w:rsidR="001E1F81" w:rsidRDefault="001E1F81" w:rsidP="001E1F81"/>
          <w:p w14:paraId="6314BB52" w14:textId="25E9D342" w:rsidR="001E1F81" w:rsidRDefault="00BC428C" w:rsidP="001E1F81">
            <w:r>
              <w:t>23, 24</w:t>
            </w:r>
          </w:p>
        </w:tc>
        <w:tc>
          <w:tcPr>
            <w:tcW w:w="1416" w:type="dxa"/>
            <w:shd w:val="clear" w:color="auto" w:fill="auto"/>
          </w:tcPr>
          <w:p w14:paraId="2D6331F3" w14:textId="77777777" w:rsidR="001E1F81" w:rsidRDefault="001E1F81" w:rsidP="001E1F81"/>
          <w:p w14:paraId="5180061A" w14:textId="7EBFCD0B" w:rsidR="005D17BF" w:rsidRDefault="005D17BF" w:rsidP="001E1F81"/>
        </w:tc>
        <w:tc>
          <w:tcPr>
            <w:tcW w:w="2634" w:type="dxa"/>
            <w:shd w:val="clear" w:color="auto" w:fill="auto"/>
          </w:tcPr>
          <w:p w14:paraId="0B296A89" w14:textId="6D011842" w:rsidR="00437AC5" w:rsidRPr="005F79B7" w:rsidRDefault="005F79B7" w:rsidP="005F79B7">
            <w:pPr>
              <w:rPr>
                <w:bCs/>
                <w:iCs/>
              </w:rPr>
            </w:pPr>
            <w:r>
              <w:rPr>
                <w:bCs/>
                <w:iCs/>
              </w:rPr>
              <w:t>IX. Subpoenas and Searches</w:t>
            </w:r>
          </w:p>
        </w:tc>
        <w:tc>
          <w:tcPr>
            <w:tcW w:w="3672" w:type="dxa"/>
            <w:shd w:val="clear" w:color="auto" w:fill="auto"/>
          </w:tcPr>
          <w:p w14:paraId="4EE8BD78" w14:textId="6B6C201D" w:rsidR="002D77AE" w:rsidRDefault="00C3356D" w:rsidP="002D77AE">
            <w:r w:rsidRPr="004C21A4">
              <w:rPr>
                <w:rFonts w:ascii="Wingdings" w:hAnsi="Wingdings"/>
                <w:color w:val="000000"/>
              </w:rPr>
              <w:t></w:t>
            </w:r>
            <w:r>
              <w:t xml:space="preserve"> Read CB</w:t>
            </w:r>
            <w:r w:rsidR="00437AC5">
              <w:t xml:space="preserve"> </w:t>
            </w:r>
            <w:r w:rsidR="00BC428C">
              <w:t>509-560</w:t>
            </w:r>
          </w:p>
          <w:p w14:paraId="51B98B2B" w14:textId="77777777" w:rsidR="001E1F81" w:rsidRDefault="001E1F81" w:rsidP="001E1F81"/>
        </w:tc>
      </w:tr>
      <w:tr w:rsidR="00BC428C" w14:paraId="678220EA" w14:textId="77777777" w:rsidTr="00BC428C">
        <w:tc>
          <w:tcPr>
            <w:tcW w:w="908" w:type="dxa"/>
            <w:shd w:val="clear" w:color="auto" w:fill="auto"/>
          </w:tcPr>
          <w:p w14:paraId="2D641671" w14:textId="56F290A8" w:rsidR="00BC428C" w:rsidRDefault="00BC428C" w:rsidP="00BC428C">
            <w:r>
              <w:t>25</w:t>
            </w:r>
          </w:p>
          <w:p w14:paraId="73BDAE3C" w14:textId="77777777" w:rsidR="00BC428C" w:rsidRDefault="00BC428C" w:rsidP="00BC428C"/>
          <w:p w14:paraId="4ED2350C" w14:textId="77777777" w:rsidR="00BC428C" w:rsidRDefault="00BC428C" w:rsidP="00BC428C"/>
          <w:p w14:paraId="7149F3EF" w14:textId="77777777" w:rsidR="00BC428C" w:rsidRDefault="00BC428C" w:rsidP="00BC428C"/>
          <w:p w14:paraId="3D200B37" w14:textId="77777777" w:rsidR="00BC428C" w:rsidRDefault="00BC428C" w:rsidP="00BC428C"/>
          <w:p w14:paraId="115B0C55" w14:textId="77777777" w:rsidR="00BC428C" w:rsidRDefault="00BC428C" w:rsidP="00BC428C"/>
          <w:p w14:paraId="6CF4DA10" w14:textId="77777777" w:rsidR="00BC428C" w:rsidRDefault="00BC428C" w:rsidP="00BC428C"/>
          <w:p w14:paraId="085E9911" w14:textId="77777777" w:rsidR="00BC428C" w:rsidRDefault="00BC428C" w:rsidP="00BC428C"/>
        </w:tc>
        <w:tc>
          <w:tcPr>
            <w:tcW w:w="1416" w:type="dxa"/>
            <w:shd w:val="clear" w:color="auto" w:fill="auto"/>
          </w:tcPr>
          <w:p w14:paraId="3022E164" w14:textId="77777777" w:rsidR="00BC428C" w:rsidRDefault="00BC428C" w:rsidP="00BC428C"/>
        </w:tc>
        <w:tc>
          <w:tcPr>
            <w:tcW w:w="2634" w:type="dxa"/>
            <w:shd w:val="clear" w:color="auto" w:fill="auto"/>
          </w:tcPr>
          <w:p w14:paraId="7E882067" w14:textId="0EE09659" w:rsidR="00BC428C" w:rsidRDefault="00BC428C" w:rsidP="00BC428C">
            <w:r>
              <w:t>X. Access to Info</w:t>
            </w:r>
          </w:p>
        </w:tc>
        <w:tc>
          <w:tcPr>
            <w:tcW w:w="3672" w:type="dxa"/>
            <w:shd w:val="clear" w:color="auto" w:fill="auto"/>
          </w:tcPr>
          <w:p w14:paraId="39DBFB10" w14:textId="00E397BF" w:rsidR="00BC428C" w:rsidRDefault="00BC428C" w:rsidP="00BC428C">
            <w:r w:rsidRPr="004C21A4">
              <w:rPr>
                <w:rFonts w:ascii="Wingdings" w:hAnsi="Wingdings"/>
                <w:color w:val="000000"/>
              </w:rPr>
              <w:t></w:t>
            </w:r>
            <w:r>
              <w:t xml:space="preserve"> Read CB 561-576</w:t>
            </w:r>
          </w:p>
          <w:p w14:paraId="47501D55" w14:textId="5ACD19F5" w:rsidR="00BC428C" w:rsidRPr="004C21A4" w:rsidRDefault="00BC428C" w:rsidP="00BC428C">
            <w:pPr>
              <w:rPr>
                <w:rFonts w:ascii="Wingdings" w:hAnsi="Wingdings"/>
                <w:color w:val="000000"/>
              </w:rPr>
            </w:pPr>
          </w:p>
        </w:tc>
      </w:tr>
      <w:tr w:rsidR="00BC428C" w14:paraId="4D3483A1" w14:textId="77777777" w:rsidTr="00BC428C">
        <w:tc>
          <w:tcPr>
            <w:tcW w:w="908" w:type="dxa"/>
            <w:shd w:val="clear" w:color="auto" w:fill="auto"/>
          </w:tcPr>
          <w:p w14:paraId="0635A573" w14:textId="2BA02C3A" w:rsidR="00BC428C" w:rsidRDefault="00BC428C" w:rsidP="00BC428C">
            <w:r>
              <w:t>26, 27</w:t>
            </w:r>
          </w:p>
        </w:tc>
        <w:tc>
          <w:tcPr>
            <w:tcW w:w="1416" w:type="dxa"/>
            <w:shd w:val="clear" w:color="auto" w:fill="auto"/>
          </w:tcPr>
          <w:p w14:paraId="5318EA98" w14:textId="77777777" w:rsidR="00BC428C" w:rsidRDefault="00BC428C" w:rsidP="00BC428C"/>
        </w:tc>
        <w:tc>
          <w:tcPr>
            <w:tcW w:w="2634" w:type="dxa"/>
            <w:shd w:val="clear" w:color="auto" w:fill="auto"/>
          </w:tcPr>
          <w:p w14:paraId="7DEC9D6F" w14:textId="6A2EB86C" w:rsidR="00BC428C" w:rsidRDefault="00BC428C" w:rsidP="00BC428C">
            <w:r>
              <w:t>XI Access to Judicial Proceedings</w:t>
            </w:r>
          </w:p>
        </w:tc>
        <w:tc>
          <w:tcPr>
            <w:tcW w:w="3672" w:type="dxa"/>
            <w:shd w:val="clear" w:color="auto" w:fill="auto"/>
          </w:tcPr>
          <w:p w14:paraId="7960B1D1" w14:textId="62099927" w:rsidR="00BC428C" w:rsidRPr="00437AC5" w:rsidRDefault="00BC428C" w:rsidP="00BC428C">
            <w:pPr>
              <w:rPr>
                <w:rFonts w:ascii="Wingdings" w:hAnsi="Wingdings"/>
                <w:b/>
                <w:color w:val="000000"/>
              </w:rPr>
            </w:pPr>
            <w:r w:rsidRPr="004C21A4">
              <w:rPr>
                <w:rFonts w:ascii="Wingdings" w:hAnsi="Wingdings"/>
                <w:color w:val="000000"/>
              </w:rPr>
              <w:t></w:t>
            </w:r>
            <w:r>
              <w:t>Read CB 637-678</w:t>
            </w:r>
          </w:p>
          <w:p w14:paraId="0D92A0EE" w14:textId="77777777" w:rsidR="00BC428C" w:rsidRPr="00437AC5" w:rsidRDefault="00BC428C" w:rsidP="00BC428C">
            <w:pPr>
              <w:rPr>
                <w:rFonts w:ascii="Wingdings" w:hAnsi="Wingdings"/>
                <w:b/>
                <w:color w:val="000000"/>
              </w:rPr>
            </w:pPr>
          </w:p>
        </w:tc>
      </w:tr>
      <w:tr w:rsidR="00BC428C" w14:paraId="1F703C20" w14:textId="77777777" w:rsidTr="00BC428C">
        <w:tc>
          <w:tcPr>
            <w:tcW w:w="908" w:type="dxa"/>
            <w:shd w:val="clear" w:color="auto" w:fill="auto"/>
          </w:tcPr>
          <w:p w14:paraId="72AAA807" w14:textId="41A2E06B" w:rsidR="00BC428C" w:rsidRDefault="00BC428C" w:rsidP="00BC428C">
            <w:r>
              <w:t>28</w:t>
            </w:r>
          </w:p>
          <w:p w14:paraId="17FD0E01" w14:textId="77777777" w:rsidR="00BC428C" w:rsidRDefault="00BC428C" w:rsidP="00BC428C"/>
        </w:tc>
        <w:tc>
          <w:tcPr>
            <w:tcW w:w="1416" w:type="dxa"/>
            <w:shd w:val="clear" w:color="auto" w:fill="auto"/>
          </w:tcPr>
          <w:p w14:paraId="749D7F8C" w14:textId="3FEAEE7D" w:rsidR="00BC428C" w:rsidRDefault="00CE1488" w:rsidP="00BC428C">
            <w:r>
              <w:t>FOIA Now</w:t>
            </w:r>
          </w:p>
        </w:tc>
        <w:tc>
          <w:tcPr>
            <w:tcW w:w="2634" w:type="dxa"/>
            <w:shd w:val="clear" w:color="auto" w:fill="auto"/>
          </w:tcPr>
          <w:p w14:paraId="7C781759" w14:textId="68116C2A" w:rsidR="00BC428C" w:rsidRDefault="00CE1488" w:rsidP="00BC428C">
            <w:r>
              <w:t>McBurney v. Young</w:t>
            </w:r>
          </w:p>
        </w:tc>
        <w:tc>
          <w:tcPr>
            <w:tcW w:w="3672" w:type="dxa"/>
            <w:shd w:val="clear" w:color="auto" w:fill="auto"/>
          </w:tcPr>
          <w:p w14:paraId="2624B309" w14:textId="65E0E70D" w:rsidR="00BC428C" w:rsidRDefault="00270EA5" w:rsidP="00BC428C">
            <w:hyperlink r:id="rId19" w:history="1">
              <w:r w:rsidR="00CE1488">
                <w:rPr>
                  <w:rStyle w:val="Hyperlink"/>
                  <w:rFonts w:ascii="Source Sans Pro" w:hAnsi="Source Sans Pro"/>
                  <w:color w:val="0E568C"/>
                  <w:bdr w:val="none" w:sz="0" w:space="0" w:color="auto" w:frame="1"/>
                </w:rPr>
                <w:t>McBurney v. Young, 569 U.S. 221, 133 S. Ct. 1709, 185 L. Ed. 2d 758 (2013)</w:t>
              </w:r>
            </w:hyperlink>
          </w:p>
          <w:p w14:paraId="68F523ED" w14:textId="77777777" w:rsidR="00BC428C" w:rsidRDefault="00BC428C" w:rsidP="00BC428C"/>
        </w:tc>
      </w:tr>
      <w:tr w:rsidR="00BC428C" w14:paraId="1A9A2302" w14:textId="77777777" w:rsidTr="00BC428C">
        <w:tc>
          <w:tcPr>
            <w:tcW w:w="908" w:type="dxa"/>
            <w:tcBorders>
              <w:top w:val="single" w:sz="4" w:space="0" w:color="auto"/>
              <w:left w:val="single" w:sz="4" w:space="0" w:color="auto"/>
              <w:bottom w:val="single" w:sz="4" w:space="0" w:color="auto"/>
              <w:right w:val="single" w:sz="4" w:space="0" w:color="auto"/>
            </w:tcBorders>
            <w:shd w:val="clear" w:color="auto" w:fill="auto"/>
          </w:tcPr>
          <w:p w14:paraId="0574748E" w14:textId="77777777" w:rsidR="00BC428C" w:rsidRDefault="00BC428C" w:rsidP="00BC428C"/>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A80BE1" w14:textId="77777777" w:rsidR="00BC428C" w:rsidRDefault="00BC428C" w:rsidP="00BC428C"/>
        </w:tc>
        <w:tc>
          <w:tcPr>
            <w:tcW w:w="2634" w:type="dxa"/>
            <w:tcBorders>
              <w:top w:val="single" w:sz="4" w:space="0" w:color="auto"/>
              <w:left w:val="single" w:sz="4" w:space="0" w:color="auto"/>
              <w:bottom w:val="single" w:sz="4" w:space="0" w:color="auto"/>
              <w:right w:val="single" w:sz="4" w:space="0" w:color="auto"/>
            </w:tcBorders>
            <w:shd w:val="clear" w:color="auto" w:fill="auto"/>
          </w:tcPr>
          <w:p w14:paraId="4CDC9B97" w14:textId="03406400" w:rsidR="00BC428C" w:rsidRPr="002741B7" w:rsidRDefault="00BC428C" w:rsidP="00BC428C"/>
        </w:tc>
        <w:tc>
          <w:tcPr>
            <w:tcW w:w="3672" w:type="dxa"/>
            <w:tcBorders>
              <w:top w:val="single" w:sz="4" w:space="0" w:color="auto"/>
              <w:left w:val="single" w:sz="4" w:space="0" w:color="auto"/>
              <w:bottom w:val="single" w:sz="4" w:space="0" w:color="auto"/>
              <w:right w:val="single" w:sz="4" w:space="0" w:color="auto"/>
            </w:tcBorders>
            <w:shd w:val="clear" w:color="auto" w:fill="auto"/>
          </w:tcPr>
          <w:p w14:paraId="4649DC6D" w14:textId="77777777" w:rsidR="00BC428C" w:rsidRPr="004C21A4" w:rsidRDefault="00BC428C" w:rsidP="00BC428C">
            <w:pPr>
              <w:rPr>
                <w:rFonts w:ascii="Wingdings" w:hAnsi="Wingdings"/>
                <w:color w:val="000000"/>
              </w:rPr>
            </w:pPr>
          </w:p>
        </w:tc>
      </w:tr>
      <w:tr w:rsidR="00BC428C" w14:paraId="50A6013E" w14:textId="77777777" w:rsidTr="00BC428C">
        <w:tc>
          <w:tcPr>
            <w:tcW w:w="908" w:type="dxa"/>
            <w:tcBorders>
              <w:top w:val="single" w:sz="4" w:space="0" w:color="auto"/>
              <w:left w:val="single" w:sz="4" w:space="0" w:color="auto"/>
              <w:bottom w:val="single" w:sz="4" w:space="0" w:color="auto"/>
              <w:right w:val="single" w:sz="4" w:space="0" w:color="auto"/>
            </w:tcBorders>
            <w:shd w:val="clear" w:color="auto" w:fill="auto"/>
          </w:tcPr>
          <w:p w14:paraId="263DBC4D" w14:textId="77777777" w:rsidR="00BC428C" w:rsidRDefault="00BC428C" w:rsidP="00BC428C"/>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6D8EC5" w14:textId="77777777" w:rsidR="00BC428C" w:rsidRDefault="00BC428C" w:rsidP="00BC428C"/>
        </w:tc>
        <w:tc>
          <w:tcPr>
            <w:tcW w:w="2634" w:type="dxa"/>
            <w:tcBorders>
              <w:top w:val="single" w:sz="4" w:space="0" w:color="auto"/>
              <w:left w:val="single" w:sz="4" w:space="0" w:color="auto"/>
              <w:bottom w:val="single" w:sz="4" w:space="0" w:color="auto"/>
              <w:right w:val="single" w:sz="4" w:space="0" w:color="auto"/>
            </w:tcBorders>
            <w:shd w:val="clear" w:color="auto" w:fill="auto"/>
          </w:tcPr>
          <w:p w14:paraId="6B0AE944" w14:textId="77777777" w:rsidR="00BC428C" w:rsidRPr="002741B7" w:rsidRDefault="00BC428C" w:rsidP="00BC428C">
            <w:r>
              <w:t>Review Session Room and Time TBA</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CA3BD68" w14:textId="77777777" w:rsidR="00BC428C" w:rsidRPr="004C21A4" w:rsidRDefault="00BC428C" w:rsidP="00BC428C">
            <w:pPr>
              <w:rPr>
                <w:rFonts w:ascii="Wingdings" w:hAnsi="Wingdings"/>
                <w:color w:val="000000"/>
              </w:rPr>
            </w:pPr>
          </w:p>
        </w:tc>
      </w:tr>
    </w:tbl>
    <w:p w14:paraId="0B8A85C9" w14:textId="77777777" w:rsidR="001E1F81" w:rsidRPr="00525BD2" w:rsidRDefault="001E1F81" w:rsidP="001E1F81"/>
    <w:p w14:paraId="5C3B36D3" w14:textId="77777777" w:rsidR="001E1F81" w:rsidRDefault="001E1F81" w:rsidP="001E1F81"/>
    <w:p w14:paraId="66B32F71" w14:textId="77777777" w:rsidR="009A684A" w:rsidRDefault="009A684A"/>
    <w:sectPr w:rsidR="009A684A">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6353" w14:textId="77777777" w:rsidR="00270EA5" w:rsidRDefault="00270EA5">
      <w:r>
        <w:separator/>
      </w:r>
    </w:p>
  </w:endnote>
  <w:endnote w:type="continuationSeparator" w:id="0">
    <w:p w14:paraId="10164A78" w14:textId="77777777" w:rsidR="00270EA5" w:rsidRDefault="0027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0216" w14:textId="77777777" w:rsidR="00622D54" w:rsidRDefault="00622D54" w:rsidP="001E1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F2F808" w14:textId="77777777" w:rsidR="00622D54" w:rsidRDefault="00622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26CC" w14:textId="77777777" w:rsidR="00622D54" w:rsidRDefault="00622D54" w:rsidP="001E1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AE0">
      <w:rPr>
        <w:rStyle w:val="PageNumber"/>
        <w:noProof/>
      </w:rPr>
      <w:t>1</w:t>
    </w:r>
    <w:r>
      <w:rPr>
        <w:rStyle w:val="PageNumber"/>
      </w:rPr>
      <w:fldChar w:fldCharType="end"/>
    </w:r>
  </w:p>
  <w:p w14:paraId="3CA23441" w14:textId="77777777" w:rsidR="00622D54" w:rsidRDefault="0062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6C1C" w14:textId="77777777" w:rsidR="00270EA5" w:rsidRDefault="00270EA5">
      <w:r>
        <w:separator/>
      </w:r>
    </w:p>
  </w:footnote>
  <w:footnote w:type="continuationSeparator" w:id="0">
    <w:p w14:paraId="7D312525" w14:textId="77777777" w:rsidR="00270EA5" w:rsidRDefault="00270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5D27"/>
    <w:multiLevelType w:val="hybridMultilevel"/>
    <w:tmpl w:val="9CFCF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F0604"/>
    <w:multiLevelType w:val="hybridMultilevel"/>
    <w:tmpl w:val="BE30AF88"/>
    <w:lvl w:ilvl="0" w:tplc="A088F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5590E"/>
    <w:multiLevelType w:val="hybridMultilevel"/>
    <w:tmpl w:val="D780DF84"/>
    <w:lvl w:ilvl="0" w:tplc="66E4CC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39B7EFD"/>
    <w:multiLevelType w:val="hybridMultilevel"/>
    <w:tmpl w:val="D780DF84"/>
    <w:lvl w:ilvl="0" w:tplc="66E4CC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34DD3C16"/>
    <w:multiLevelType w:val="hybridMultilevel"/>
    <w:tmpl w:val="A45E4B9E"/>
    <w:lvl w:ilvl="0" w:tplc="C6F64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AB3BA5"/>
    <w:multiLevelType w:val="hybridMultilevel"/>
    <w:tmpl w:val="6DF01C48"/>
    <w:lvl w:ilvl="0" w:tplc="248683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81C6D"/>
    <w:multiLevelType w:val="hybridMultilevel"/>
    <w:tmpl w:val="9CFCF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046D1"/>
    <w:multiLevelType w:val="hybridMultilevel"/>
    <w:tmpl w:val="D7768480"/>
    <w:lvl w:ilvl="0" w:tplc="179E89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F5F7A"/>
    <w:multiLevelType w:val="hybridMultilevel"/>
    <w:tmpl w:val="38A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A7974"/>
    <w:multiLevelType w:val="hybridMultilevel"/>
    <w:tmpl w:val="A350D20C"/>
    <w:lvl w:ilvl="0" w:tplc="05C83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3532486">
    <w:abstractNumId w:val="4"/>
  </w:num>
  <w:num w:numId="2" w16cid:durableId="1654871925">
    <w:abstractNumId w:val="8"/>
  </w:num>
  <w:num w:numId="3" w16cid:durableId="1014116596">
    <w:abstractNumId w:val="9"/>
  </w:num>
  <w:num w:numId="4" w16cid:durableId="869102255">
    <w:abstractNumId w:val="3"/>
  </w:num>
  <w:num w:numId="5" w16cid:durableId="709719071">
    <w:abstractNumId w:val="0"/>
  </w:num>
  <w:num w:numId="6" w16cid:durableId="69159799">
    <w:abstractNumId w:val="2"/>
  </w:num>
  <w:num w:numId="7" w16cid:durableId="651523859">
    <w:abstractNumId w:val="6"/>
  </w:num>
  <w:num w:numId="8" w16cid:durableId="949121832">
    <w:abstractNumId w:val="1"/>
  </w:num>
  <w:num w:numId="9" w16cid:durableId="1818034579">
    <w:abstractNumId w:val="5"/>
  </w:num>
  <w:num w:numId="10" w16cid:durableId="1083181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81"/>
    <w:rsid w:val="0002393A"/>
    <w:rsid w:val="000353A5"/>
    <w:rsid w:val="00095865"/>
    <w:rsid w:val="000C4AE0"/>
    <w:rsid w:val="000E19B6"/>
    <w:rsid w:val="00137F16"/>
    <w:rsid w:val="00140D95"/>
    <w:rsid w:val="0017031E"/>
    <w:rsid w:val="00180C49"/>
    <w:rsid w:val="001E1F81"/>
    <w:rsid w:val="001E2D47"/>
    <w:rsid w:val="001E6F15"/>
    <w:rsid w:val="00201F2A"/>
    <w:rsid w:val="0025337C"/>
    <w:rsid w:val="00270EA5"/>
    <w:rsid w:val="002741B7"/>
    <w:rsid w:val="002D77AE"/>
    <w:rsid w:val="00343EC4"/>
    <w:rsid w:val="003556D9"/>
    <w:rsid w:val="003D7FE1"/>
    <w:rsid w:val="0043213E"/>
    <w:rsid w:val="00437AC5"/>
    <w:rsid w:val="00485573"/>
    <w:rsid w:val="004D6FB4"/>
    <w:rsid w:val="005075CD"/>
    <w:rsid w:val="00542806"/>
    <w:rsid w:val="005772E5"/>
    <w:rsid w:val="005A32AF"/>
    <w:rsid w:val="005A50C7"/>
    <w:rsid w:val="005C60AC"/>
    <w:rsid w:val="005D17BF"/>
    <w:rsid w:val="005D4485"/>
    <w:rsid w:val="005E2405"/>
    <w:rsid w:val="005F79B7"/>
    <w:rsid w:val="00601301"/>
    <w:rsid w:val="00610E72"/>
    <w:rsid w:val="00622D54"/>
    <w:rsid w:val="0068261B"/>
    <w:rsid w:val="00683F6F"/>
    <w:rsid w:val="006C6A2B"/>
    <w:rsid w:val="0074095E"/>
    <w:rsid w:val="0076739B"/>
    <w:rsid w:val="007747EB"/>
    <w:rsid w:val="007E561B"/>
    <w:rsid w:val="00811129"/>
    <w:rsid w:val="00857419"/>
    <w:rsid w:val="008D68DD"/>
    <w:rsid w:val="00936543"/>
    <w:rsid w:val="00947E44"/>
    <w:rsid w:val="0098179A"/>
    <w:rsid w:val="009A684A"/>
    <w:rsid w:val="009B615C"/>
    <w:rsid w:val="009F23A9"/>
    <w:rsid w:val="00A31AB3"/>
    <w:rsid w:val="00A4277E"/>
    <w:rsid w:val="00B0430F"/>
    <w:rsid w:val="00B623B9"/>
    <w:rsid w:val="00B72AFF"/>
    <w:rsid w:val="00BC428C"/>
    <w:rsid w:val="00BC6F9C"/>
    <w:rsid w:val="00BF77E6"/>
    <w:rsid w:val="00C17C62"/>
    <w:rsid w:val="00C23E90"/>
    <w:rsid w:val="00C3356D"/>
    <w:rsid w:val="00C57840"/>
    <w:rsid w:val="00C754E8"/>
    <w:rsid w:val="00CC2E48"/>
    <w:rsid w:val="00CE1488"/>
    <w:rsid w:val="00D11150"/>
    <w:rsid w:val="00D711C3"/>
    <w:rsid w:val="00D721C0"/>
    <w:rsid w:val="00D73A8D"/>
    <w:rsid w:val="00DC6959"/>
    <w:rsid w:val="00E127C9"/>
    <w:rsid w:val="00E22731"/>
    <w:rsid w:val="00E4242C"/>
    <w:rsid w:val="00E447F9"/>
    <w:rsid w:val="00E45253"/>
    <w:rsid w:val="00EA3387"/>
    <w:rsid w:val="00EB3B14"/>
    <w:rsid w:val="00EC04AC"/>
    <w:rsid w:val="00EE772A"/>
    <w:rsid w:val="00F254E9"/>
    <w:rsid w:val="00F7260B"/>
    <w:rsid w:val="00F76226"/>
    <w:rsid w:val="00FA7348"/>
    <w:rsid w:val="00FB31AE"/>
    <w:rsid w:val="00FF1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6730A"/>
  <w14:defaultImageDpi w14:val="300"/>
  <w15:docId w15:val="{E73F7BBE-4C25-4732-A903-22DA9D11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1F81"/>
    <w:pPr>
      <w:tabs>
        <w:tab w:val="center" w:pos="4320"/>
        <w:tab w:val="right" w:pos="8640"/>
      </w:tabs>
    </w:pPr>
  </w:style>
  <w:style w:type="character" w:customStyle="1" w:styleId="FooterChar">
    <w:name w:val="Footer Char"/>
    <w:basedOn w:val="DefaultParagraphFont"/>
    <w:link w:val="Footer"/>
    <w:rsid w:val="001E1F81"/>
    <w:rPr>
      <w:rFonts w:ascii="Times New Roman" w:eastAsia="Times New Roman" w:hAnsi="Times New Roman" w:cs="Times New Roman"/>
    </w:rPr>
  </w:style>
  <w:style w:type="character" w:styleId="PageNumber">
    <w:name w:val="page number"/>
    <w:basedOn w:val="DefaultParagraphFont"/>
    <w:rsid w:val="001E1F81"/>
  </w:style>
  <w:style w:type="paragraph" w:styleId="ListParagraph">
    <w:name w:val="List Paragraph"/>
    <w:basedOn w:val="Normal"/>
    <w:uiPriority w:val="34"/>
    <w:qFormat/>
    <w:rsid w:val="003D7FE1"/>
    <w:pPr>
      <w:ind w:left="720"/>
      <w:contextualSpacing/>
    </w:pPr>
  </w:style>
  <w:style w:type="character" w:styleId="Hyperlink">
    <w:name w:val="Hyperlink"/>
    <w:basedOn w:val="DefaultParagraphFont"/>
    <w:uiPriority w:val="99"/>
    <w:unhideWhenUsed/>
    <w:rsid w:val="00DC6959"/>
    <w:rPr>
      <w:color w:val="0000FF"/>
      <w:u w:val="single"/>
    </w:rPr>
  </w:style>
  <w:style w:type="paragraph" w:customStyle="1" w:styleId="Normal1">
    <w:name w:val="Normal1"/>
    <w:basedOn w:val="Normal"/>
    <w:rsid w:val="00DC6959"/>
    <w:pPr>
      <w:spacing w:before="100" w:beforeAutospacing="1" w:after="100" w:afterAutospacing="1"/>
    </w:pPr>
  </w:style>
  <w:style w:type="character" w:customStyle="1" w:styleId="normal--char">
    <w:name w:val="normal--char"/>
    <w:basedOn w:val="DefaultParagraphFont"/>
    <w:rsid w:val="00DC6959"/>
  </w:style>
  <w:style w:type="character" w:styleId="UnresolvedMention">
    <w:name w:val="Unresolved Mention"/>
    <w:basedOn w:val="DefaultParagraphFont"/>
    <w:uiPriority w:val="99"/>
    <w:semiHidden/>
    <w:unhideWhenUsed/>
    <w:rsid w:val="00A4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sky@law.ufl.edu" TargetMode="External"/><Relationship Id="rId13" Type="http://schemas.openxmlformats.org/officeDocument/2006/relationships/hyperlink" Target="https://www.ca5.uscourts.gov/opinions/pub/21/21-51178-CV1.pdf" TargetMode="External"/><Relationship Id="rId18" Type="http://schemas.openxmlformats.org/officeDocument/2006/relationships/hyperlink" Target="https://www.westlaw.com/Document/I261791b2068411eab0d4b65dacfab196/View/FullText.html?transitionType=Default&amp;contextData=(sc.Default)&amp;VR=3.0&amp;RS=cblt1.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hyperlink" Target="https://www.westlaw.com/SharedLink/9e5db6f7fbe347a38f91a8c65b05f922?VR=3.0&amp;RS=cblt1.0" TargetMode="External"/><Relationship Id="rId2" Type="http://schemas.openxmlformats.org/officeDocument/2006/relationships/numbering" Target="numbering.xml"/><Relationship Id="rId16" Type="http://schemas.openxmlformats.org/officeDocument/2006/relationships/hyperlink" Target="https://reason.com/2023/01/02/twitter-files-reveal-politicians-officials-evading-the-constitutions-restri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bluera.com/ufl/" TargetMode="External"/><Relationship Id="rId5" Type="http://schemas.openxmlformats.org/officeDocument/2006/relationships/webSettings" Target="webSettings.xml"/><Relationship Id="rId15" Type="http://schemas.openxmlformats.org/officeDocument/2006/relationships/hyperlink" Target="https://www.ca5.uscourts.gov/opinions/pub/21/21-51178-CV1.pdf" TargetMode="External"/><Relationship Id="rId23" Type="http://schemas.openxmlformats.org/officeDocument/2006/relationships/theme" Target="theme/theme1.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1.next.westlaw.com/Document/Iacdb5390b0aa11e2a555d241dae65084/View/FullText.html?transitionType=Default&amp;contextData=(oc.Default)"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forms-applications/exam-delays-accommodations-form" TargetMode="External"/><Relationship Id="rId14" Type="http://schemas.openxmlformats.org/officeDocument/2006/relationships/hyperlink" Target="https://www.ca5.uscourts.gov/opinions/pub/21/21-51178-CV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BF36A7D-6BC4-4DB6-9C85-458DB877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Levi</dc:creator>
  <cp:lastModifiedBy>Lidsky,Lyrissa</cp:lastModifiedBy>
  <cp:revision>6</cp:revision>
  <cp:lastPrinted>2014-12-31T19:27:00Z</cp:lastPrinted>
  <dcterms:created xsi:type="dcterms:W3CDTF">2022-12-21T17:32:00Z</dcterms:created>
  <dcterms:modified xsi:type="dcterms:W3CDTF">2022-12-21T18:13:00Z</dcterms:modified>
</cp:coreProperties>
</file>