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457D" w14:textId="77777777" w:rsidR="001B6CDB" w:rsidRDefault="001B6CDB" w:rsidP="001B6CDB">
      <w:pPr>
        <w:rPr>
          <w:sz w:val="22"/>
          <w:szCs w:val="22"/>
        </w:rPr>
      </w:pPr>
      <w:r>
        <w:rPr>
          <w:sz w:val="22"/>
          <w:szCs w:val="22"/>
        </w:rPr>
        <w:t>The notes for the first reading assignments are:</w:t>
      </w:r>
    </w:p>
    <w:p w14:paraId="435ACCC3" w14:textId="77777777" w:rsidR="001B6CDB" w:rsidRDefault="001B6CDB" w:rsidP="001B6CDB">
      <w:pPr>
        <w:rPr>
          <w:sz w:val="22"/>
          <w:szCs w:val="22"/>
        </w:rPr>
      </w:pPr>
    </w:p>
    <w:p w14:paraId="0D6E3487" w14:textId="77777777" w:rsidR="001B6CDB" w:rsidRDefault="001B6CDB" w:rsidP="001B6CDB">
      <w:pPr>
        <w:pStyle w:val="Heading2"/>
        <w:spacing w:before="0" w:beforeAutospacing="0" w:after="120" w:afterAutospacing="0"/>
        <w:textAlignment w:val="baseline"/>
        <w:rPr>
          <w:rFonts w:ascii="Arial" w:eastAsia="Times New Roman" w:hAnsi="Arial" w:cs="Arial"/>
          <w:b w:val="0"/>
          <w:bCs w:val="0"/>
          <w:color w:val="243778"/>
          <w:sz w:val="44"/>
          <w:szCs w:val="44"/>
        </w:rPr>
      </w:pPr>
      <w:r>
        <w:rPr>
          <w:rFonts w:ascii="Arial" w:eastAsia="Times New Roman" w:hAnsi="Arial" w:cs="Arial"/>
          <w:b w:val="0"/>
          <w:bCs w:val="0"/>
          <w:color w:val="243778"/>
          <w:sz w:val="44"/>
          <w:szCs w:val="44"/>
        </w:rPr>
        <w:t>Course Description</w:t>
      </w:r>
    </w:p>
    <w:p w14:paraId="57E1D0CB" w14:textId="77777777" w:rsidR="001B6CDB" w:rsidRDefault="001B6CDB" w:rsidP="001B6CDB">
      <w:pPr>
        <w:pStyle w:val="NormalWeb"/>
        <w:spacing w:before="0" w:beforeAutospacing="0" w:after="288" w:afterAutospacing="0" w:line="336" w:lineRule="atLeast"/>
        <w:textAlignment w:val="baseline"/>
        <w:rPr>
          <w:rFonts w:ascii="Arial" w:hAnsi="Arial" w:cs="Arial"/>
          <w:color w:val="444444"/>
          <w:sz w:val="20"/>
          <w:szCs w:val="20"/>
        </w:rPr>
      </w:pPr>
      <w:r>
        <w:rPr>
          <w:rFonts w:ascii="Arial" w:hAnsi="Arial" w:cs="Arial"/>
          <w:color w:val="444444"/>
          <w:sz w:val="20"/>
          <w:szCs w:val="20"/>
        </w:rPr>
        <w:t>A general course on the Federal Rules of Evidence and related common law rules, as well as constitutional provisions applicable in this field, with special emphasis on recent Supreme Court rulings on the Sixth Amendment Confrontation Clause and its effect on the admissibility of hearsay. Four (4) Credits.</w:t>
      </w:r>
    </w:p>
    <w:p w14:paraId="0D13ECF7" w14:textId="77777777" w:rsidR="001B6CDB" w:rsidRDefault="001B6CDB" w:rsidP="001B6CDB">
      <w:pPr>
        <w:pStyle w:val="Heading2"/>
        <w:spacing w:before="0" w:beforeAutospacing="0" w:after="120" w:afterAutospacing="0"/>
        <w:textAlignment w:val="baseline"/>
        <w:rPr>
          <w:rFonts w:ascii="Arial" w:eastAsia="Times New Roman" w:hAnsi="Arial" w:cs="Arial"/>
          <w:b w:val="0"/>
          <w:bCs w:val="0"/>
          <w:color w:val="243778"/>
          <w:sz w:val="44"/>
          <w:szCs w:val="44"/>
        </w:rPr>
      </w:pPr>
      <w:r>
        <w:rPr>
          <w:rFonts w:ascii="Arial" w:eastAsia="Times New Roman" w:hAnsi="Arial" w:cs="Arial"/>
          <w:b w:val="0"/>
          <w:bCs w:val="0"/>
          <w:color w:val="243778"/>
          <w:sz w:val="44"/>
          <w:szCs w:val="44"/>
        </w:rPr>
        <w:t>Latest News Spring 2021: First Reading Assignments &amp; Class Materials</w:t>
      </w:r>
    </w:p>
    <w:p w14:paraId="507684D0" w14:textId="77777777" w:rsidR="001B6CDB" w:rsidRDefault="001B6CDB" w:rsidP="001B6CDB">
      <w:pPr>
        <w:numPr>
          <w:ilvl w:val="0"/>
          <w:numId w:val="1"/>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basic materials for the course such as assignment sheets and the course syllabus will be posted on my new webpage:</w:t>
      </w:r>
      <w:r>
        <w:rPr>
          <w:rStyle w:val="apple-converted-space"/>
          <w:rFonts w:ascii="Arial" w:eastAsia="Times New Roman" w:hAnsi="Arial" w:cs="Arial"/>
          <w:color w:val="444444"/>
          <w:sz w:val="20"/>
          <w:szCs w:val="20"/>
        </w:rPr>
        <w:t> </w:t>
      </w:r>
      <w:hyperlink r:id="rId5" w:tgtFrame="_blank" w:history="1">
        <w:r>
          <w:rPr>
            <w:rStyle w:val="Hyperlink"/>
            <w:rFonts w:ascii="Arial" w:eastAsia="Times New Roman" w:hAnsi="Arial" w:cs="Arial"/>
            <w:color w:val="243778"/>
            <w:sz w:val="20"/>
            <w:szCs w:val="20"/>
          </w:rPr>
          <w:t>http://plaza.ufl.edu/malavet</w:t>
        </w:r>
      </w:hyperlink>
    </w:p>
    <w:p w14:paraId="6DD20B88" w14:textId="77777777" w:rsidR="001B6CDB" w:rsidRDefault="001B6CDB" w:rsidP="001B6CDB">
      <w:pPr>
        <w:numPr>
          <w:ilvl w:val="1"/>
          <w:numId w:val="1"/>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assignments for the class sessions for our first weeks of the spring 2021 will be posted below.</w:t>
      </w:r>
    </w:p>
    <w:p w14:paraId="2E1156CB" w14:textId="77777777" w:rsidR="001B6CDB" w:rsidRDefault="001B6CDB" w:rsidP="001B6CDB">
      <w:pPr>
        <w:numPr>
          <w:ilvl w:val="1"/>
          <w:numId w:val="1"/>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Future assignments will be posted in the</w:t>
      </w:r>
      <w:r>
        <w:rPr>
          <w:rStyle w:val="apple-converted-space"/>
          <w:rFonts w:ascii="Arial" w:eastAsia="Times New Roman" w:hAnsi="Arial" w:cs="Arial"/>
          <w:color w:val="444444"/>
          <w:sz w:val="20"/>
          <w:szCs w:val="20"/>
        </w:rPr>
        <w:t> </w:t>
      </w:r>
      <w:hyperlink r:id="rId6" w:tgtFrame="_blank" w:history="1">
        <w:r>
          <w:rPr>
            <w:rStyle w:val="Hyperlink"/>
            <w:rFonts w:ascii="Arial" w:eastAsia="Times New Roman" w:hAnsi="Arial" w:cs="Arial"/>
            <w:color w:val="243778"/>
            <w:sz w:val="20"/>
            <w:szCs w:val="20"/>
          </w:rPr>
          <w:t>Assignments and Notes Page</w:t>
        </w:r>
      </w:hyperlink>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of the course webpage and another on the course canvas page.</w:t>
      </w:r>
    </w:p>
    <w:p w14:paraId="6A3B8348" w14:textId="77777777" w:rsidR="001B6CDB" w:rsidRDefault="001B6CDB" w:rsidP="001B6CDB">
      <w:pPr>
        <w:numPr>
          <w:ilvl w:val="2"/>
          <w:numId w:val="1"/>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calendar and lesson plans for the semester will be posted and updated regularly on this page. Only assignments with dates between</w:t>
      </w:r>
      <w:r>
        <w:rPr>
          <w:rStyle w:val="apple-converted-space"/>
          <w:rFonts w:ascii="Arial" w:eastAsia="Times New Roman" w:hAnsi="Arial" w:cs="Arial"/>
          <w:color w:val="444444"/>
          <w:sz w:val="20"/>
          <w:szCs w:val="20"/>
        </w:rPr>
        <w:t> </w:t>
      </w:r>
      <w:r>
        <w:rPr>
          <w:rStyle w:val="Strong"/>
          <w:rFonts w:ascii="Arial" w:eastAsia="Times New Roman" w:hAnsi="Arial" w:cs="Arial"/>
          <w:color w:val="444444"/>
          <w:sz w:val="20"/>
          <w:szCs w:val="20"/>
          <w:bdr w:val="none" w:sz="0" w:space="0" w:color="auto" w:frame="1"/>
        </w:rPr>
        <w:t>Wednesday, January 20, 2021, and ending on Monday, April 19, 2021</w:t>
      </w:r>
      <w:r>
        <w:rPr>
          <w:rFonts w:ascii="Arial" w:eastAsia="Times New Roman" w:hAnsi="Arial" w:cs="Arial"/>
          <w:color w:val="444444"/>
          <w:sz w:val="20"/>
          <w:szCs w:val="20"/>
        </w:rPr>
        <w:t>, will reflect updated information.</w:t>
      </w:r>
    </w:p>
    <w:p w14:paraId="082863AF" w14:textId="77777777" w:rsidR="001B6CDB" w:rsidRDefault="001B6CDB" w:rsidP="001B6CDB">
      <w:pPr>
        <w:numPr>
          <w:ilvl w:val="0"/>
          <w:numId w:val="1"/>
        </w:numPr>
        <w:ind w:right="360"/>
        <w:textAlignment w:val="baseline"/>
        <w:rPr>
          <w:rFonts w:ascii="Arial" w:eastAsia="Times New Roman" w:hAnsi="Arial" w:cs="Arial"/>
          <w:color w:val="444444"/>
          <w:sz w:val="20"/>
          <w:szCs w:val="20"/>
        </w:rPr>
      </w:pPr>
      <w:r>
        <w:rPr>
          <w:rFonts w:ascii="Arial" w:eastAsia="Times New Roman" w:hAnsi="Arial" w:cs="Arial"/>
          <w:b/>
          <w:bCs/>
          <w:color w:val="444444"/>
          <w:sz w:val="20"/>
          <w:szCs w:val="20"/>
          <w:bdr w:val="none" w:sz="0" w:space="0" w:color="auto" w:frame="1"/>
        </w:rPr>
        <w:t>The required class materials are:</w:t>
      </w:r>
      <w:r>
        <w:rPr>
          <w:rStyle w:val="apple-converted-space"/>
          <w:rFonts w:ascii="Arial" w:eastAsia="Times New Roman" w:hAnsi="Arial" w:cs="Arial"/>
          <w:b/>
          <w:bCs/>
          <w:color w:val="444444"/>
          <w:sz w:val="20"/>
          <w:szCs w:val="20"/>
          <w:bdr w:val="none" w:sz="0" w:space="0" w:color="auto" w:frame="1"/>
        </w:rPr>
        <w:t> </w:t>
      </w:r>
      <w:r>
        <w:rPr>
          <w:rFonts w:ascii="Arial" w:eastAsia="Times New Roman" w:hAnsi="Arial" w:cs="Arial"/>
          <w:color w:val="444444"/>
          <w:sz w:val="20"/>
          <w:szCs w:val="20"/>
        </w:rPr>
        <w:t xml:space="preserve">(1) Christopher B. Mueller, Laird C. Kirkpatrick and </w:t>
      </w:r>
      <w:proofErr w:type="spellStart"/>
      <w:r>
        <w:rPr>
          <w:rFonts w:ascii="Arial" w:eastAsia="Times New Roman" w:hAnsi="Arial" w:cs="Arial"/>
          <w:color w:val="444444"/>
          <w:sz w:val="20"/>
          <w:szCs w:val="20"/>
        </w:rPr>
        <w:t>Liesa</w:t>
      </w:r>
      <w:proofErr w:type="spellEnd"/>
      <w:r>
        <w:rPr>
          <w:rFonts w:ascii="Arial" w:eastAsia="Times New Roman" w:hAnsi="Arial" w:cs="Arial"/>
          <w:color w:val="444444"/>
          <w:sz w:val="20"/>
          <w:szCs w:val="20"/>
        </w:rPr>
        <w:t xml:space="preserve"> L. Richter, EVIDENCE UNDER THE RULES (</w:t>
      </w:r>
      <w:r>
        <w:rPr>
          <w:rFonts w:ascii="Arial" w:eastAsia="Times New Roman" w:hAnsi="Arial" w:cs="Arial"/>
          <w:b/>
          <w:bCs/>
          <w:i/>
          <w:iCs/>
          <w:color w:val="444444"/>
          <w:sz w:val="20"/>
          <w:szCs w:val="20"/>
          <w:bdr w:val="none" w:sz="0" w:space="0" w:color="auto" w:frame="1"/>
        </w:rPr>
        <w:t>9th.</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ed., Aspen Law &amp; Business</w:t>
      </w:r>
      <w:r>
        <w:rPr>
          <w:rStyle w:val="apple-converted-space"/>
          <w:rFonts w:ascii="Arial" w:eastAsia="Times New Roman" w:hAnsi="Arial" w:cs="Arial"/>
          <w:color w:val="444444"/>
          <w:sz w:val="20"/>
          <w:szCs w:val="20"/>
        </w:rPr>
        <w:t> </w:t>
      </w:r>
      <w:r>
        <w:rPr>
          <w:rFonts w:ascii="Arial" w:eastAsia="Times New Roman" w:hAnsi="Arial" w:cs="Arial"/>
          <w:b/>
          <w:bCs/>
          <w:color w:val="444444"/>
          <w:sz w:val="20"/>
          <w:szCs w:val="20"/>
          <w:bdr w:val="none" w:sz="0" w:space="0" w:color="auto" w:frame="1"/>
        </w:rPr>
        <w:t>2019</w:t>
      </w:r>
      <w:r>
        <w:rPr>
          <w:rFonts w:ascii="Arial" w:eastAsia="Times New Roman" w:hAnsi="Arial" w:cs="Arial"/>
          <w:color w:val="444444"/>
          <w:sz w:val="20"/>
          <w:szCs w:val="20"/>
        </w:rPr>
        <w:t>; ISBN: 978-1-5438-0544-4; (2) Mueller, Kirkpatrick &amp; Richter,</w:t>
      </w:r>
      <w:r>
        <w:rPr>
          <w:rStyle w:val="apple-converted-space"/>
          <w:rFonts w:ascii="Arial" w:eastAsia="Times New Roman" w:hAnsi="Arial" w:cs="Arial"/>
          <w:color w:val="444444"/>
          <w:sz w:val="20"/>
          <w:szCs w:val="20"/>
        </w:rPr>
        <w:t> </w:t>
      </w:r>
      <w:r>
        <w:rPr>
          <w:rStyle w:val="Strong"/>
          <w:rFonts w:ascii="Arial" w:eastAsia="Times New Roman" w:hAnsi="Arial" w:cs="Arial"/>
          <w:color w:val="444444"/>
          <w:sz w:val="20"/>
          <w:szCs w:val="20"/>
          <w:bdr w:val="none" w:sz="0" w:space="0" w:color="auto" w:frame="1"/>
        </w:rPr>
        <w:t>2020</w:t>
      </w:r>
      <w:r>
        <w:rPr>
          <w:rFonts w:ascii="Arial" w:eastAsia="Times New Roman" w:hAnsi="Arial" w:cs="Arial"/>
          <w:color w:val="444444"/>
          <w:sz w:val="20"/>
          <w:szCs w:val="20"/>
        </w:rPr>
        <w:t>: Federal Rules of Evidence: With Advisory Committee Notes and Legislative History (Aspen Law &amp; Business</w:t>
      </w:r>
      <w:r>
        <w:rPr>
          <w:rStyle w:val="apple-converted-space"/>
          <w:rFonts w:ascii="Arial" w:eastAsia="Times New Roman" w:hAnsi="Arial" w:cs="Arial"/>
          <w:color w:val="444444"/>
          <w:sz w:val="20"/>
          <w:szCs w:val="20"/>
        </w:rPr>
        <w:t> </w:t>
      </w:r>
      <w:r>
        <w:rPr>
          <w:rFonts w:ascii="Arial" w:eastAsia="Times New Roman" w:hAnsi="Arial" w:cs="Arial"/>
          <w:b/>
          <w:bCs/>
          <w:i/>
          <w:iCs/>
          <w:color w:val="444444"/>
          <w:sz w:val="20"/>
          <w:szCs w:val="20"/>
          <w:bdr w:val="none" w:sz="0" w:space="0" w:color="auto" w:frame="1"/>
        </w:rPr>
        <w:t>2020</w:t>
      </w:r>
      <w:r>
        <w:rPr>
          <w:rFonts w:ascii="Arial" w:eastAsia="Times New Roman" w:hAnsi="Arial" w:cs="Arial"/>
          <w:color w:val="444444"/>
          <w:sz w:val="20"/>
          <w:szCs w:val="20"/>
        </w:rPr>
        <w:t>; ISBN: 978-1543820423).</w:t>
      </w:r>
    </w:p>
    <w:p w14:paraId="1084F416" w14:textId="77777777" w:rsidR="001B6CDB" w:rsidRDefault="001B6CDB" w:rsidP="001B6CDB">
      <w:pPr>
        <w:numPr>
          <w:ilvl w:val="1"/>
          <w:numId w:val="1"/>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 xml:space="preserve">DO NOT PURCHASE A USED SUPPLEMENT: The Rules Supplement is the 2020 edition, </w:t>
      </w:r>
      <w:proofErr w:type="gramStart"/>
      <w:r>
        <w:rPr>
          <w:rStyle w:val="Strong"/>
          <w:rFonts w:ascii="Arial" w:eastAsia="Times New Roman" w:hAnsi="Arial" w:cs="Arial"/>
          <w:color w:val="444444"/>
          <w:sz w:val="20"/>
          <w:szCs w:val="20"/>
          <w:bdr w:val="none" w:sz="0" w:space="0" w:color="auto" w:frame="1"/>
        </w:rPr>
        <w:t>newly-issued</w:t>
      </w:r>
      <w:proofErr w:type="gramEnd"/>
      <w:r>
        <w:rPr>
          <w:rStyle w:val="Strong"/>
          <w:rFonts w:ascii="Arial" w:eastAsia="Times New Roman" w:hAnsi="Arial" w:cs="Arial"/>
          <w:color w:val="444444"/>
          <w:sz w:val="20"/>
          <w:szCs w:val="20"/>
          <w:bdr w:val="none" w:sz="0" w:space="0" w:color="auto" w:frame="1"/>
        </w:rPr>
        <w:t xml:space="preserve"> in the summer of 2020 as usual. You </w:t>
      </w:r>
      <w:proofErr w:type="gramStart"/>
      <w:r>
        <w:rPr>
          <w:rStyle w:val="Strong"/>
          <w:rFonts w:ascii="Arial" w:eastAsia="Times New Roman" w:hAnsi="Arial" w:cs="Arial"/>
          <w:color w:val="444444"/>
          <w:sz w:val="20"/>
          <w:szCs w:val="20"/>
          <w:bdr w:val="none" w:sz="0" w:space="0" w:color="auto" w:frame="1"/>
        </w:rPr>
        <w:t>are allowed to</w:t>
      </w:r>
      <w:proofErr w:type="gramEnd"/>
      <w:r>
        <w:rPr>
          <w:rStyle w:val="Strong"/>
          <w:rFonts w:ascii="Arial" w:eastAsia="Times New Roman" w:hAnsi="Arial" w:cs="Arial"/>
          <w:color w:val="444444"/>
          <w:sz w:val="20"/>
          <w:szCs w:val="20"/>
          <w:bdr w:val="none" w:sz="0" w:space="0" w:color="auto" w:frame="1"/>
        </w:rPr>
        <w:t xml:space="preserve"> annotate the supplement with your own outline and</w:t>
      </w:r>
      <w:r>
        <w:rPr>
          <w:rStyle w:val="apple-converted-space"/>
          <w:rFonts w:ascii="Arial" w:eastAsia="Times New Roman" w:hAnsi="Arial" w:cs="Arial"/>
          <w:b/>
          <w:bCs/>
          <w:color w:val="444444"/>
          <w:sz w:val="20"/>
          <w:szCs w:val="20"/>
          <w:bdr w:val="none" w:sz="0" w:space="0" w:color="auto" w:frame="1"/>
        </w:rPr>
        <w:t> </w:t>
      </w:r>
      <w:r>
        <w:rPr>
          <w:rFonts w:ascii="Arial" w:eastAsia="Times New Roman" w:hAnsi="Arial" w:cs="Arial"/>
          <w:b/>
          <w:bCs/>
          <w:color w:val="444444"/>
          <w:sz w:val="20"/>
          <w:szCs w:val="20"/>
          <w:bdr w:val="none" w:sz="0" w:space="0" w:color="auto" w:frame="1"/>
        </w:rPr>
        <w:t>no other supplement will be allowed in the examination room.</w:t>
      </w:r>
      <w:r>
        <w:rPr>
          <w:rStyle w:val="apple-converted-space"/>
          <w:rFonts w:ascii="Arial" w:eastAsia="Times New Roman" w:hAnsi="Arial" w:cs="Arial"/>
          <w:b/>
          <w:bCs/>
          <w:color w:val="444444"/>
          <w:sz w:val="20"/>
          <w:szCs w:val="20"/>
          <w:bdr w:val="none" w:sz="0" w:space="0" w:color="auto" w:frame="1"/>
        </w:rPr>
        <w:t> </w:t>
      </w:r>
      <w:r>
        <w:rPr>
          <w:rStyle w:val="Strong"/>
          <w:rFonts w:ascii="Arial" w:eastAsia="Times New Roman" w:hAnsi="Arial" w:cs="Arial"/>
          <w:color w:val="444444"/>
          <w:sz w:val="20"/>
          <w:szCs w:val="20"/>
          <w:bdr w:val="none" w:sz="0" w:space="0" w:color="auto" w:frame="1"/>
        </w:rPr>
        <w:t>You must purchase a printed version of the supplement if you wish to use it during the exam. Access to electronic versions will not be permitted during the examination.</w:t>
      </w:r>
    </w:p>
    <w:p w14:paraId="5794BCB8" w14:textId="77777777" w:rsidR="001B6CDB" w:rsidRDefault="001B6CDB" w:rsidP="001B6CDB">
      <w:pPr>
        <w:numPr>
          <w:ilvl w:val="1"/>
          <w:numId w:val="1"/>
        </w:numPr>
        <w:ind w:right="360"/>
        <w:textAlignment w:val="baseline"/>
        <w:rPr>
          <w:rFonts w:ascii="Arial" w:eastAsia="Times New Roman" w:hAnsi="Arial" w:cs="Arial"/>
          <w:color w:val="444444"/>
          <w:sz w:val="20"/>
          <w:szCs w:val="20"/>
        </w:rPr>
      </w:pPr>
      <w:r>
        <w:rPr>
          <w:rFonts w:ascii="Arial" w:eastAsia="Times New Roman" w:hAnsi="Arial" w:cs="Arial"/>
          <w:b/>
          <w:bCs/>
          <w:color w:val="444444"/>
          <w:sz w:val="20"/>
          <w:szCs w:val="20"/>
          <w:bdr w:val="none" w:sz="0" w:space="0" w:color="auto" w:frame="1"/>
        </w:rPr>
        <w:t>Open-Rules:</w:t>
      </w:r>
      <w:r>
        <w:rPr>
          <w:rStyle w:val="apple-converted-space"/>
          <w:rFonts w:ascii="Arial" w:eastAsia="Times New Roman" w:hAnsi="Arial" w:cs="Arial"/>
          <w:b/>
          <w:bCs/>
          <w:color w:val="444444"/>
          <w:sz w:val="20"/>
          <w:szCs w:val="20"/>
          <w:bdr w:val="none" w:sz="0" w:space="0" w:color="auto" w:frame="1"/>
        </w:rPr>
        <w:t> </w:t>
      </w:r>
      <w:r>
        <w:rPr>
          <w:rStyle w:val="Strong"/>
          <w:rFonts w:ascii="Arial" w:eastAsia="Times New Roman" w:hAnsi="Arial" w:cs="Arial"/>
          <w:color w:val="444444"/>
          <w:sz w:val="20"/>
          <w:szCs w:val="20"/>
          <w:bdr w:val="none" w:sz="0" w:space="0" w:color="auto" w:frame="1"/>
        </w:rPr>
        <w:t xml:space="preserve">If the College of Law again opts for online-only examinations, the exam will be open book. However, if we </w:t>
      </w:r>
      <w:proofErr w:type="gramStart"/>
      <w:r>
        <w:rPr>
          <w:rStyle w:val="Strong"/>
          <w:rFonts w:ascii="Arial" w:eastAsia="Times New Roman" w:hAnsi="Arial" w:cs="Arial"/>
          <w:color w:val="444444"/>
          <w:sz w:val="20"/>
          <w:szCs w:val="20"/>
          <w:bdr w:val="none" w:sz="0" w:space="0" w:color="auto" w:frame="1"/>
        </w:rPr>
        <w:t>are able to</w:t>
      </w:r>
      <w:proofErr w:type="gramEnd"/>
      <w:r>
        <w:rPr>
          <w:rStyle w:val="Strong"/>
          <w:rFonts w:ascii="Arial" w:eastAsia="Times New Roman" w:hAnsi="Arial" w:cs="Arial"/>
          <w:color w:val="444444"/>
          <w:sz w:val="20"/>
          <w:szCs w:val="20"/>
          <w:bdr w:val="none" w:sz="0" w:space="0" w:color="auto" w:frame="1"/>
        </w:rPr>
        <w:t xml:space="preserve"> have in-room exams, we will follow the Open-Rules system. “Open-Rules”</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means that you may have with you during the examination your required 2020 Mueller, Kirkpatrick &amp; Richter, Federal Rules of Evidence supplement. No substitutions will be allowed. Your supplements may be annotated with</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handwritten</w:t>
      </w:r>
      <w:r>
        <w:rPr>
          <w:rStyle w:val="apple-converted-space"/>
          <w:rFonts w:ascii="Arial" w:eastAsia="Times New Roman" w:hAnsi="Arial" w:cs="Arial"/>
          <w:color w:val="444444"/>
          <w:sz w:val="20"/>
          <w:szCs w:val="20"/>
        </w:rPr>
        <w:t> </w:t>
      </w:r>
      <w:proofErr w:type="gramStart"/>
      <w:r>
        <w:rPr>
          <w:rFonts w:ascii="Arial" w:eastAsia="Times New Roman" w:hAnsi="Arial" w:cs="Arial"/>
          <w:color w:val="444444"/>
          <w:sz w:val="20"/>
          <w:szCs w:val="20"/>
        </w:rPr>
        <w:t>notes, but</w:t>
      </w:r>
      <w:proofErr w:type="gramEnd"/>
      <w:r>
        <w:rPr>
          <w:rFonts w:ascii="Arial" w:eastAsia="Times New Roman" w:hAnsi="Arial" w:cs="Arial"/>
          <w:color w:val="444444"/>
          <w:sz w:val="20"/>
          <w:szCs w:val="20"/>
        </w:rPr>
        <w:t xml:space="preserve"> shall not have any attachments other than tabs to mark the location of specific material (the tabs may have on them numbers and the short titles of the referenced material and nothing more). Only handwriting may cover the blank spaces and the original printing on the supplements. The use of stick-on labels or paper, white-out or any other method to eliminate any of the original printing is prohibited. Other than the addition of handwritten notes and tabs, the supplements shall be in their original condition, no material may be </w:t>
      </w:r>
      <w:proofErr w:type="gramStart"/>
      <w:r>
        <w:rPr>
          <w:rFonts w:ascii="Arial" w:eastAsia="Times New Roman" w:hAnsi="Arial" w:cs="Arial"/>
          <w:color w:val="444444"/>
          <w:sz w:val="20"/>
          <w:szCs w:val="20"/>
        </w:rPr>
        <w:t>added</w:t>
      </w:r>
      <w:proofErr w:type="gramEnd"/>
      <w:r>
        <w:rPr>
          <w:rFonts w:ascii="Arial" w:eastAsia="Times New Roman" w:hAnsi="Arial" w:cs="Arial"/>
          <w:color w:val="444444"/>
          <w:sz w:val="20"/>
          <w:szCs w:val="20"/>
        </w:rPr>
        <w:t xml:space="preserve"> nor may any material be removed in any way. The supplements must be in their original bound form at the start of</w:t>
      </w:r>
      <w:r>
        <w:rPr>
          <w:rStyle w:val="apple-converted-space"/>
          <w:rFonts w:ascii="Arial" w:eastAsia="Times New Roman" w:hAnsi="Arial" w:cs="Arial"/>
          <w:color w:val="444444"/>
          <w:sz w:val="20"/>
          <w:szCs w:val="20"/>
        </w:rPr>
        <w:t> </w:t>
      </w:r>
      <w:r>
        <w:rPr>
          <w:rStyle w:val="Emphasis"/>
          <w:rFonts w:ascii="Arial" w:eastAsia="Times New Roman" w:hAnsi="Arial" w:cs="Arial"/>
          <w:b/>
          <w:bCs/>
          <w:color w:val="444444"/>
          <w:sz w:val="20"/>
          <w:szCs w:val="20"/>
          <w:bdr w:val="none" w:sz="0" w:space="0" w:color="auto" w:frame="1"/>
        </w:rPr>
        <w:t>and throughout</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 xml:space="preserve">the examination. Violations of the University Student Code of Conduct, the College of Law Honor Code or of the exam rules should be reported to me before or during the examination. Violation of these </w:t>
      </w:r>
      <w:r>
        <w:rPr>
          <w:rFonts w:ascii="Arial" w:eastAsia="Times New Roman" w:hAnsi="Arial" w:cs="Arial"/>
          <w:color w:val="444444"/>
          <w:sz w:val="20"/>
          <w:szCs w:val="20"/>
        </w:rPr>
        <w:lastRenderedPageBreak/>
        <w:t>rules shall result in a failing grade and in my referring the matter to the pertinent university or college authorities.</w:t>
      </w:r>
    </w:p>
    <w:p w14:paraId="0018B8B0" w14:textId="77777777" w:rsidR="001B6CDB" w:rsidRDefault="001B6CDB" w:rsidP="001B6CDB">
      <w:pPr>
        <w:pStyle w:val="NormalWeb"/>
        <w:spacing w:before="0" w:beforeAutospacing="0" w:after="0" w:afterAutospacing="0" w:line="336" w:lineRule="atLeast"/>
        <w:textAlignment w:val="baseline"/>
        <w:rPr>
          <w:rStyle w:val="Strong"/>
          <w:rFonts w:ascii="Georgia" w:hAnsi="Georgia"/>
          <w:i/>
          <w:iCs/>
          <w:color w:val="243778"/>
          <w:sz w:val="25"/>
          <w:szCs w:val="25"/>
          <w:bdr w:val="none" w:sz="0" w:space="0" w:color="auto" w:frame="1"/>
        </w:rPr>
      </w:pPr>
    </w:p>
    <w:p w14:paraId="4F71E33F" w14:textId="77777777" w:rsidR="001B6CDB" w:rsidRDefault="001B6CDB" w:rsidP="001B6CDB">
      <w:pPr>
        <w:pStyle w:val="NormalWeb"/>
        <w:spacing w:before="0" w:beforeAutospacing="0" w:after="0" w:afterAutospacing="0" w:line="336" w:lineRule="atLeast"/>
        <w:ind w:left="1080"/>
        <w:textAlignment w:val="baseline"/>
        <w:rPr>
          <w:rStyle w:val="apple-converted-space"/>
        </w:rPr>
      </w:pPr>
      <w:r>
        <w:rPr>
          <w:rStyle w:val="Strong"/>
          <w:rFonts w:ascii="Georgia" w:hAnsi="Georgia"/>
          <w:i/>
          <w:iCs/>
          <w:color w:val="243778"/>
          <w:sz w:val="25"/>
          <w:szCs w:val="25"/>
          <w:bdr w:val="none" w:sz="0" w:space="0" w:color="auto" w:frame="1"/>
        </w:rPr>
        <w:t>Online-Only Exam Will be Open Book</w:t>
      </w:r>
      <w:r>
        <w:rPr>
          <w:rFonts w:ascii="Georgia" w:hAnsi="Georgia"/>
          <w:i/>
          <w:iCs/>
          <w:color w:val="243778"/>
          <w:sz w:val="25"/>
          <w:szCs w:val="25"/>
        </w:rPr>
        <w:br/>
      </w:r>
      <w:r>
        <w:rPr>
          <w:rFonts w:ascii="Georgia" w:hAnsi="Georgia"/>
          <w:i/>
          <w:iCs/>
          <w:color w:val="243778"/>
          <w:sz w:val="25"/>
          <w:szCs w:val="25"/>
        </w:rPr>
        <w:br/>
        <w:t xml:space="preserve">If the college opts once again to have online-only exams at the end of the spring 2021 term, I will use </w:t>
      </w:r>
      <w:proofErr w:type="spellStart"/>
      <w:r>
        <w:rPr>
          <w:rFonts w:ascii="Georgia" w:hAnsi="Georgia"/>
          <w:i/>
          <w:iCs/>
          <w:color w:val="243778"/>
          <w:sz w:val="25"/>
          <w:szCs w:val="25"/>
        </w:rPr>
        <w:t>Examplify</w:t>
      </w:r>
      <w:proofErr w:type="spellEnd"/>
      <w:r>
        <w:rPr>
          <w:rFonts w:ascii="Georgia" w:hAnsi="Georgia"/>
          <w:i/>
          <w:iCs/>
          <w:color w:val="243778"/>
          <w:sz w:val="25"/>
          <w:szCs w:val="25"/>
        </w:rPr>
        <w:t xml:space="preserve"> as the electronic platform for the exam and it will be open book. </w:t>
      </w:r>
      <w:proofErr w:type="spellStart"/>
      <w:r>
        <w:rPr>
          <w:rFonts w:ascii="Georgia" w:hAnsi="Georgia"/>
          <w:i/>
          <w:iCs/>
          <w:color w:val="243778"/>
          <w:sz w:val="25"/>
          <w:szCs w:val="25"/>
        </w:rPr>
        <w:t>Examplify</w:t>
      </w:r>
      <w:proofErr w:type="spellEnd"/>
      <w:r>
        <w:rPr>
          <w:rFonts w:ascii="Georgia" w:hAnsi="Georgia"/>
          <w:i/>
          <w:iCs/>
          <w:color w:val="243778"/>
          <w:sz w:val="25"/>
          <w:szCs w:val="25"/>
        </w:rPr>
        <w:t xml:space="preserve"> will not lock you out of your computer and you </w:t>
      </w:r>
      <w:proofErr w:type="gramStart"/>
      <w:r>
        <w:rPr>
          <w:rFonts w:ascii="Georgia" w:hAnsi="Georgia"/>
          <w:i/>
          <w:iCs/>
          <w:color w:val="243778"/>
          <w:sz w:val="25"/>
          <w:szCs w:val="25"/>
        </w:rPr>
        <w:t>are allowed to</w:t>
      </w:r>
      <w:proofErr w:type="gramEnd"/>
      <w:r>
        <w:rPr>
          <w:rFonts w:ascii="Georgia" w:hAnsi="Georgia"/>
          <w:i/>
          <w:iCs/>
          <w:color w:val="243778"/>
          <w:sz w:val="25"/>
          <w:szCs w:val="25"/>
        </w:rPr>
        <w:t xml:space="preserve"> use any materials available to you except the assistance of another person. The exam will still be time-limited and there will be a character limit for essay question(s).</w:t>
      </w:r>
      <w:r>
        <w:rPr>
          <w:rStyle w:val="apple-converted-space"/>
          <w:rFonts w:ascii="Georgia" w:hAnsi="Georgia"/>
          <w:i/>
          <w:iCs/>
          <w:color w:val="243778"/>
          <w:sz w:val="25"/>
          <w:szCs w:val="25"/>
        </w:rPr>
        <w:t> </w:t>
      </w:r>
    </w:p>
    <w:p w14:paraId="5F27C147" w14:textId="77777777" w:rsidR="001B6CDB" w:rsidRDefault="001B6CDB" w:rsidP="001B6CDB">
      <w:pPr>
        <w:pStyle w:val="NormalWeb"/>
        <w:spacing w:before="0" w:beforeAutospacing="0" w:after="0" w:afterAutospacing="0" w:line="336" w:lineRule="atLeast"/>
        <w:textAlignment w:val="baseline"/>
      </w:pPr>
    </w:p>
    <w:p w14:paraId="132E9CA8" w14:textId="77777777" w:rsidR="001B6CDB" w:rsidRDefault="001B6CDB" w:rsidP="001B6CDB">
      <w:pPr>
        <w:pStyle w:val="Heading2"/>
        <w:spacing w:before="0" w:beforeAutospacing="0" w:after="120" w:afterAutospacing="0"/>
        <w:textAlignment w:val="baseline"/>
        <w:rPr>
          <w:rFonts w:ascii="Arial" w:eastAsia="Times New Roman" w:hAnsi="Arial" w:cs="Arial"/>
          <w:b w:val="0"/>
          <w:bCs w:val="0"/>
          <w:color w:val="243778"/>
          <w:sz w:val="44"/>
          <w:szCs w:val="44"/>
        </w:rPr>
      </w:pPr>
      <w:r>
        <w:rPr>
          <w:rFonts w:ascii="Arial" w:eastAsia="Times New Roman" w:hAnsi="Arial" w:cs="Arial"/>
          <w:b w:val="0"/>
          <w:bCs w:val="0"/>
          <w:color w:val="243778"/>
          <w:sz w:val="44"/>
          <w:szCs w:val="44"/>
        </w:rPr>
        <w:t>Week One: January 20, 2021</w:t>
      </w:r>
    </w:p>
    <w:p w14:paraId="7E3CA707" w14:textId="77777777" w:rsidR="001B6CDB" w:rsidRDefault="001B6CDB" w:rsidP="001B6CDB">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PRIOR To the Start of Classes</w:t>
      </w:r>
    </w:p>
    <w:p w14:paraId="77E0BB1D" w14:textId="77777777" w:rsidR="001B6CDB" w:rsidRDefault="001B6CDB" w:rsidP="001B6CDB">
      <w:pPr>
        <w:numPr>
          <w:ilvl w:val="1"/>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Please visit the course Canvas page (which will be published no later than Tuesday, January 12, 2021) and complete:</w:t>
      </w:r>
    </w:p>
    <w:p w14:paraId="0377463E" w14:textId="77777777" w:rsidR="001B6CDB" w:rsidRDefault="001B6CDB" w:rsidP="001B6CDB">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Syllabus Quiz</w:t>
      </w:r>
    </w:p>
    <w:p w14:paraId="11CE71FF" w14:textId="77777777" w:rsidR="001B6CDB" w:rsidRDefault="001B6CDB" w:rsidP="001B6CDB">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Preferred Prefix (</w:t>
      </w:r>
      <w:proofErr w:type="spellStart"/>
      <w:r>
        <w:rPr>
          <w:rFonts w:ascii="Arial" w:eastAsia="Times New Roman" w:hAnsi="Arial" w:cs="Arial"/>
          <w:color w:val="444444"/>
          <w:sz w:val="20"/>
          <w:szCs w:val="20"/>
        </w:rPr>
        <w:t>Ms</w:t>
      </w:r>
      <w:proofErr w:type="spellEnd"/>
      <w:r>
        <w:rPr>
          <w:rFonts w:ascii="Arial" w:eastAsia="Times New Roman" w:hAnsi="Arial" w:cs="Arial"/>
          <w:color w:val="444444"/>
          <w:sz w:val="20"/>
          <w:szCs w:val="20"/>
        </w:rPr>
        <w:t>/</w:t>
      </w:r>
      <w:proofErr w:type="spellStart"/>
      <w:r>
        <w:rPr>
          <w:rFonts w:ascii="Arial" w:eastAsia="Times New Roman" w:hAnsi="Arial" w:cs="Arial"/>
          <w:color w:val="444444"/>
          <w:sz w:val="20"/>
          <w:szCs w:val="20"/>
        </w:rPr>
        <w:t>Mr</w:t>
      </w:r>
      <w:proofErr w:type="spellEnd"/>
      <w:r>
        <w:rPr>
          <w:rFonts w:ascii="Arial" w:eastAsia="Times New Roman" w:hAnsi="Arial" w:cs="Arial"/>
          <w:color w:val="444444"/>
          <w:sz w:val="20"/>
          <w:szCs w:val="20"/>
        </w:rPr>
        <w:t>/Other) Survey</w:t>
      </w:r>
    </w:p>
    <w:p w14:paraId="37F80354" w14:textId="77777777" w:rsidR="001B6CDB" w:rsidRDefault="001B6CDB" w:rsidP="001B6CDB">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Chapter: </w:t>
      </w:r>
      <w:hyperlink r:id="rId7" w:anchor="anchor1611463" w:history="1">
        <w:r>
          <w:rPr>
            <w:rStyle w:val="Strong"/>
            <w:rFonts w:ascii="Arial" w:eastAsia="Times New Roman" w:hAnsi="Arial" w:cs="Arial"/>
            <w:color w:val="243778"/>
            <w:sz w:val="20"/>
            <w:szCs w:val="20"/>
            <w:bdr w:val="none" w:sz="0" w:space="0" w:color="auto" w:frame="1"/>
          </w:rPr>
          <w:t>1.0 Evidence Law and the System</w:t>
        </w:r>
      </w:hyperlink>
    </w:p>
    <w:p w14:paraId="40A47021" w14:textId="77777777" w:rsidR="001B6CDB" w:rsidRDefault="001B6CDB" w:rsidP="001B6CDB">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Monday, January 20, 2021</w:t>
      </w:r>
    </w:p>
    <w:p w14:paraId="7F6E67D1" w14:textId="77777777" w:rsidR="001B6CDB" w:rsidRDefault="001B6CDB" w:rsidP="001B6CDB">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Class Participation Sign Up (1) opens</w:t>
      </w:r>
    </w:p>
    <w:p w14:paraId="4991C838"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1-A</w:t>
      </w:r>
    </w:p>
    <w:p w14:paraId="78BAD997" w14:textId="77777777" w:rsidR="001B6CDB" w:rsidRDefault="001B6CDB" w:rsidP="001B6CDB">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Class rules, testing, grading and administrative matters.</w:t>
      </w:r>
      <w:r>
        <w:rPr>
          <w:rStyle w:val="apple-converted-space"/>
          <w:rFonts w:ascii="Arial" w:eastAsia="Times New Roman" w:hAnsi="Arial" w:cs="Arial"/>
          <w:color w:val="444444"/>
          <w:sz w:val="20"/>
          <w:szCs w:val="20"/>
        </w:rPr>
        <w:t> </w:t>
      </w:r>
    </w:p>
    <w:p w14:paraId="333A8079"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See the</w:t>
      </w:r>
      <w:r>
        <w:rPr>
          <w:rStyle w:val="apple-converted-space"/>
          <w:rFonts w:ascii="Arial" w:eastAsia="Times New Roman" w:hAnsi="Arial" w:cs="Arial"/>
          <w:color w:val="444444"/>
          <w:sz w:val="20"/>
          <w:szCs w:val="20"/>
        </w:rPr>
        <w:t> </w:t>
      </w:r>
      <w:hyperlink r:id="rId8" w:history="1">
        <w:r>
          <w:rPr>
            <w:rStyle w:val="Hyperlink"/>
            <w:rFonts w:ascii="Arial" w:eastAsia="Times New Roman" w:hAnsi="Arial" w:cs="Arial"/>
            <w:color w:val="243778"/>
            <w:sz w:val="20"/>
            <w:szCs w:val="20"/>
          </w:rPr>
          <w:t>Syllabus</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665F7D4B"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hyperlink r:id="rId9" w:anchor="anchorrecommendedreadings" w:history="1">
        <w:r>
          <w:rPr>
            <w:rStyle w:val="Hyperlink"/>
            <w:rFonts w:ascii="Arial" w:eastAsia="Times New Roman" w:hAnsi="Arial" w:cs="Arial"/>
            <w:color w:val="243778"/>
            <w:sz w:val="20"/>
            <w:szCs w:val="20"/>
          </w:rPr>
          <w:t>[Click here for my list of "Recommended Readings"</w:t>
        </w:r>
      </w:hyperlink>
      <w:r>
        <w:rPr>
          <w:rFonts w:ascii="Arial" w:eastAsia="Times New Roman" w:hAnsi="Arial" w:cs="Arial"/>
          <w:color w:val="444444"/>
          <w:sz w:val="20"/>
          <w:szCs w:val="20"/>
        </w:rPr>
        <w:t>]</w:t>
      </w:r>
    </w:p>
    <w:p w14:paraId="78569031"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1-A continued</w:t>
      </w:r>
    </w:p>
    <w:p w14:paraId="2BE6A1DC"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1.1</w:t>
      </w:r>
      <w:r>
        <w:rPr>
          <w:rStyle w:val="apple-converted-space"/>
          <w:rFonts w:ascii="Arial" w:eastAsia="Times New Roman" w:hAnsi="Arial" w:cs="Arial"/>
          <w:color w:val="444444"/>
          <w:sz w:val="20"/>
          <w:szCs w:val="20"/>
        </w:rPr>
        <w:t> </w:t>
      </w:r>
      <w:hyperlink r:id="rId10" w:anchor="anchor1617066" w:history="1">
        <w:r>
          <w:rPr>
            <w:rStyle w:val="Hyperlink"/>
            <w:rFonts w:ascii="Arial" w:eastAsia="Times New Roman" w:hAnsi="Arial" w:cs="Arial"/>
            <w:color w:val="243778"/>
            <w:sz w:val="20"/>
            <w:szCs w:val="20"/>
          </w:rPr>
          <w:t>Introduction: Why Evidence &amp; The Trial</w:t>
        </w:r>
      </w:hyperlink>
      <w:r>
        <w:rPr>
          <w:rFonts w:ascii="Arial" w:eastAsia="Times New Roman" w:hAnsi="Arial" w:cs="Arial"/>
          <w:color w:val="444444"/>
          <w:sz w:val="20"/>
          <w:szCs w:val="20"/>
        </w:rPr>
        <w:t>, 1-19</w:t>
      </w:r>
      <w:r>
        <w:rPr>
          <w:rStyle w:val="apple-converted-space"/>
          <w:rFonts w:ascii="Arial" w:eastAsia="Times New Roman" w:hAnsi="Arial" w:cs="Arial"/>
          <w:color w:val="444444"/>
          <w:sz w:val="20"/>
          <w:szCs w:val="20"/>
        </w:rPr>
        <w:t> </w:t>
      </w:r>
    </w:p>
    <w:p w14:paraId="49DC4AB7" w14:textId="77777777" w:rsidR="001B6CDB" w:rsidRDefault="001B6CDB" w:rsidP="001B6CDB">
      <w:pPr>
        <w:numPr>
          <w:ilvl w:val="3"/>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An introduction to the American Oral Jury Trial</w:t>
      </w:r>
    </w:p>
    <w:p w14:paraId="232B277F"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Pay special attention to</w:t>
      </w:r>
      <w:r>
        <w:rPr>
          <w:rStyle w:val="apple-converted-space"/>
          <w:rFonts w:ascii="Arial" w:eastAsia="Times New Roman" w:hAnsi="Arial" w:cs="Arial"/>
          <w:color w:val="444444"/>
          <w:sz w:val="20"/>
          <w:szCs w:val="20"/>
        </w:rPr>
        <w:t> </w:t>
      </w:r>
      <w:hyperlink r:id="rId11" w:anchor="anchorecommendedreadings" w:history="1">
        <w:r>
          <w:rPr>
            <w:rStyle w:val="Hyperlink"/>
            <w:rFonts w:ascii="Arial" w:eastAsia="Times New Roman" w:hAnsi="Arial" w:cs="Arial"/>
            <w:color w:val="243778"/>
            <w:sz w:val="20"/>
            <w:szCs w:val="20"/>
          </w:rPr>
          <w:t>What is the Record?, 13-19</w:t>
        </w:r>
        <w:r>
          <w:rPr>
            <w:rStyle w:val="apple-converted-space"/>
            <w:rFonts w:ascii="Arial" w:eastAsia="Times New Roman" w:hAnsi="Arial" w:cs="Arial"/>
            <w:color w:val="243778"/>
            <w:sz w:val="20"/>
            <w:szCs w:val="20"/>
          </w:rPr>
          <w:t> </w:t>
        </w:r>
      </w:hyperlink>
    </w:p>
    <w:p w14:paraId="499704E2"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hyperlink r:id="rId12" w:anchor="anchorecommendedreadings" w:history="1">
        <w:r>
          <w:rPr>
            <w:rStyle w:val="Hyperlink"/>
            <w:rFonts w:ascii="Arial" w:eastAsia="Times New Roman" w:hAnsi="Arial" w:cs="Arial"/>
            <w:color w:val="243778"/>
            <w:sz w:val="20"/>
            <w:szCs w:val="20"/>
          </w:rPr>
          <w:t>1.2 Making the Record &amp; Admitting Evidence, 20-31</w:t>
        </w:r>
        <w:r>
          <w:rPr>
            <w:rStyle w:val="apple-converted-space"/>
            <w:rFonts w:ascii="Arial" w:eastAsia="Times New Roman" w:hAnsi="Arial" w:cs="Arial"/>
            <w:color w:val="243778"/>
            <w:sz w:val="20"/>
            <w:szCs w:val="20"/>
          </w:rPr>
          <w:t> </w:t>
        </w:r>
      </w:hyperlink>
    </w:p>
    <w:p w14:paraId="41A33276"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13" w:anchor="anchor1675196" w:history="1">
        <w:r>
          <w:rPr>
            <w:rStyle w:val="Hyperlink"/>
            <w:rFonts w:ascii="Arial" w:eastAsia="Times New Roman" w:hAnsi="Arial" w:cs="Arial"/>
            <w:color w:val="243778"/>
            <w:sz w:val="20"/>
            <w:szCs w:val="20"/>
          </w:rPr>
          <w:t>Problem 1-A:</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How did it happen?</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25-26)</w:t>
        </w:r>
      </w:hyperlink>
    </w:p>
    <w:p w14:paraId="2CD3A2F9"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1-B</w:t>
      </w:r>
    </w:p>
    <w:p w14:paraId="4E1FF695"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hyperlink r:id="rId14" w:anchor="anchor1407434" w:history="1">
        <w:r>
          <w:rPr>
            <w:rStyle w:val="Hyperlink"/>
            <w:rFonts w:ascii="Arial" w:eastAsia="Times New Roman" w:hAnsi="Arial" w:cs="Arial"/>
            <w:color w:val="243778"/>
            <w:sz w:val="20"/>
            <w:szCs w:val="20"/>
          </w:rPr>
          <w:t>1.3 How Evidence is Excluded, 31-43</w:t>
        </w:r>
      </w:hyperlink>
    </w:p>
    <w:p w14:paraId="3B43A0F3" w14:textId="77777777" w:rsidR="001B6CDB" w:rsidRDefault="001B6CDB" w:rsidP="001B6CDB">
      <w:pPr>
        <w:numPr>
          <w:ilvl w:val="3"/>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Consequences of Evidential Error, 43-50</w:t>
      </w:r>
      <w:r>
        <w:rPr>
          <w:rStyle w:val="apple-converted-space"/>
          <w:rFonts w:ascii="Arial" w:eastAsia="Times New Roman" w:hAnsi="Arial" w:cs="Arial"/>
          <w:color w:val="444444"/>
          <w:sz w:val="20"/>
          <w:szCs w:val="20"/>
        </w:rPr>
        <w:t> </w:t>
      </w:r>
    </w:p>
    <w:p w14:paraId="2C82568E" w14:textId="77777777" w:rsidR="001B6CDB" w:rsidRDefault="001B6CDB" w:rsidP="001B6CDB">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Obtaining Review of Evidence Points, 50-51</w:t>
      </w:r>
      <w:r>
        <w:rPr>
          <w:rStyle w:val="apple-converted-space"/>
          <w:rFonts w:ascii="Arial" w:eastAsia="Times New Roman" w:hAnsi="Arial" w:cs="Arial"/>
          <w:color w:val="444444"/>
          <w:sz w:val="20"/>
          <w:szCs w:val="20"/>
        </w:rPr>
        <w:t> </w:t>
      </w:r>
    </w:p>
    <w:p w14:paraId="1F3F5BFB"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15" w:anchor="anchor1883350" w:history="1">
        <w:r>
          <w:rPr>
            <w:rStyle w:val="Hyperlink"/>
            <w:rFonts w:ascii="Arial" w:eastAsia="Times New Roman" w:hAnsi="Arial" w:cs="Arial"/>
            <w:color w:val="243778"/>
            <w:sz w:val="20"/>
            <w:szCs w:val="20"/>
          </w:rPr>
          <w:t>Problem 1-B:</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He didn't object!</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46)</w:t>
        </w:r>
      </w:hyperlink>
    </w:p>
    <w:p w14:paraId="5CB87038" w14:textId="77777777" w:rsidR="001B6CDB" w:rsidRDefault="001B6CDB" w:rsidP="001B6CDB">
      <w:pPr>
        <w:pStyle w:val="Heading2"/>
        <w:spacing w:before="0" w:beforeAutospacing="0" w:after="120" w:afterAutospacing="0"/>
        <w:ind w:left="720" w:right="360"/>
        <w:textAlignment w:val="baseline"/>
        <w:rPr>
          <w:rFonts w:ascii="Arial" w:eastAsia="Times New Roman" w:hAnsi="Arial" w:cs="Arial"/>
          <w:b w:val="0"/>
          <w:bCs w:val="0"/>
          <w:color w:val="243778"/>
          <w:sz w:val="40"/>
          <w:szCs w:val="40"/>
        </w:rPr>
      </w:pPr>
    </w:p>
    <w:p w14:paraId="2AB5EB7D" w14:textId="77777777" w:rsidR="001B6CDB" w:rsidRDefault="001B6CDB" w:rsidP="001B6CDB">
      <w:pPr>
        <w:pStyle w:val="Heading2"/>
        <w:spacing w:before="0" w:beforeAutospacing="0" w:after="120" w:afterAutospacing="0"/>
        <w:ind w:left="720" w:right="360"/>
        <w:textAlignment w:val="baseline"/>
        <w:rPr>
          <w:rFonts w:ascii="Arial" w:eastAsia="Times New Roman" w:hAnsi="Arial" w:cs="Arial"/>
          <w:b w:val="0"/>
          <w:bCs w:val="0"/>
          <w:color w:val="243778"/>
          <w:sz w:val="40"/>
          <w:szCs w:val="40"/>
        </w:rPr>
      </w:pPr>
      <w:r>
        <w:rPr>
          <w:rFonts w:ascii="Arial" w:eastAsia="Times New Roman" w:hAnsi="Arial" w:cs="Arial"/>
          <w:b w:val="0"/>
          <w:bCs w:val="0"/>
          <w:color w:val="243778"/>
          <w:sz w:val="40"/>
          <w:szCs w:val="40"/>
        </w:rPr>
        <w:t>Week Two: January 25-27, 2021</w:t>
      </w:r>
    </w:p>
    <w:p w14:paraId="2017D767"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hyperlink r:id="rId16" w:anchor="anchor1531470" w:history="1">
        <w:r>
          <w:rPr>
            <w:rStyle w:val="Strong"/>
            <w:rFonts w:ascii="Arial" w:eastAsia="Times New Roman" w:hAnsi="Arial" w:cs="Arial"/>
            <w:color w:val="243778"/>
            <w:sz w:val="20"/>
            <w:szCs w:val="20"/>
            <w:bdr w:val="none" w:sz="0" w:space="0" w:color="auto" w:frame="1"/>
          </w:rPr>
          <w:t>Chapter: 2.0 Relevance</w:t>
        </w:r>
      </w:hyperlink>
    </w:p>
    <w:p w14:paraId="4DAF5EB6"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Monday, January 25, 2021</w:t>
      </w:r>
    </w:p>
    <w:p w14:paraId="5BD15338"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2-A</w:t>
      </w:r>
    </w:p>
    <w:p w14:paraId="087262CA"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17" w:anchor="anchor1532131" w:history="1">
        <w:r>
          <w:rPr>
            <w:rStyle w:val="Hyperlink"/>
            <w:rFonts w:ascii="Arial" w:eastAsia="Times New Roman" w:hAnsi="Arial" w:cs="Arial"/>
            <w:color w:val="243778"/>
            <w:sz w:val="20"/>
            <w:szCs w:val="20"/>
          </w:rPr>
          <w:t>2.1 Defining Relevance Under the Rules</w:t>
        </w:r>
      </w:hyperlink>
      <w:r>
        <w:rPr>
          <w:rFonts w:ascii="Arial" w:eastAsia="Times New Roman" w:hAnsi="Arial" w:cs="Arial"/>
          <w:color w:val="444444"/>
          <w:sz w:val="20"/>
          <w:szCs w:val="20"/>
        </w:rPr>
        <w:t>, 53-56, 56-60 (case lecture), 60-61 (Notes), 62-70 I will lecture on</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Old Chief</w:t>
      </w:r>
      <w:r>
        <w:rPr>
          <w:rStyle w:val="apple-converted-space"/>
          <w:rFonts w:ascii="Arial" w:eastAsia="Times New Roman" w:hAnsi="Arial" w:cs="Arial"/>
          <w:i/>
          <w:iCs/>
          <w:color w:val="444444"/>
          <w:sz w:val="20"/>
          <w:szCs w:val="20"/>
          <w:bdr w:val="none" w:sz="0" w:space="0" w:color="auto" w:frame="1"/>
        </w:rPr>
        <w:t> </w:t>
      </w:r>
      <w:r>
        <w:rPr>
          <w:rFonts w:ascii="Arial" w:eastAsia="Times New Roman" w:hAnsi="Arial" w:cs="Arial"/>
          <w:color w:val="444444"/>
          <w:sz w:val="20"/>
          <w:szCs w:val="20"/>
        </w:rPr>
        <w:t xml:space="preserve">at page 56, </w:t>
      </w:r>
      <w:r>
        <w:rPr>
          <w:rFonts w:ascii="Arial" w:eastAsia="Times New Roman" w:hAnsi="Arial" w:cs="Arial"/>
          <w:color w:val="444444"/>
          <w:sz w:val="20"/>
          <w:szCs w:val="20"/>
        </w:rPr>
        <w:lastRenderedPageBreak/>
        <w:t>and Problem 2-A. Too Much Wax on the Floor, at page 66, as to how they illustrated the liberality of the Relevance Standard.</w:t>
      </w:r>
      <w:r>
        <w:rPr>
          <w:rStyle w:val="apple-converted-space"/>
          <w:rFonts w:ascii="Arial" w:eastAsia="Times New Roman" w:hAnsi="Arial" w:cs="Arial"/>
          <w:color w:val="444444"/>
          <w:sz w:val="20"/>
          <w:szCs w:val="20"/>
        </w:rPr>
        <w:t> </w:t>
      </w:r>
    </w:p>
    <w:p w14:paraId="274491E3"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18" w:anchor="anchor1534707" w:history="1">
        <w:r>
          <w:rPr>
            <w:rStyle w:val="Hyperlink"/>
            <w:rFonts w:ascii="Arial" w:eastAsia="Times New Roman" w:hAnsi="Arial" w:cs="Arial"/>
            <w:color w:val="243778"/>
            <w:sz w:val="20"/>
            <w:szCs w:val="20"/>
          </w:rPr>
          <w:t>2-B:</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Was he going too fast?</w:t>
        </w:r>
        <w:r>
          <w:rPr>
            <w:rStyle w:val="apple-converted-space"/>
            <w:rFonts w:ascii="Arial" w:eastAsia="Times New Roman" w:hAnsi="Arial" w:cs="Arial"/>
            <w:i/>
            <w:iCs/>
            <w:color w:val="243778"/>
            <w:sz w:val="20"/>
            <w:szCs w:val="20"/>
            <w:bdr w:val="none" w:sz="0" w:space="0" w:color="auto" w:frame="1"/>
          </w:rPr>
          <w:t> </w:t>
        </w:r>
        <w:r>
          <w:rPr>
            <w:rStyle w:val="Hyperlink"/>
            <w:rFonts w:ascii="Arial" w:eastAsia="Times New Roman" w:hAnsi="Arial" w:cs="Arial"/>
            <w:color w:val="243778"/>
            <w:sz w:val="20"/>
            <w:szCs w:val="20"/>
          </w:rPr>
          <w:t>(p. 67)</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0C9D7547"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hyperlink r:id="rId19" w:anchor="anchorproblem02-bnew" w:history="1">
        <w:r>
          <w:rPr>
            <w:rStyle w:val="Hyperlink"/>
            <w:rFonts w:ascii="Arial" w:eastAsia="Times New Roman" w:hAnsi="Arial" w:cs="Arial"/>
            <w:color w:val="243778"/>
            <w:sz w:val="20"/>
            <w:szCs w:val="20"/>
          </w:rPr>
          <w:t>Problem 2-C: Boys on the Bridge</w:t>
        </w:r>
      </w:hyperlink>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(p. 68).</w:t>
      </w:r>
      <w:r>
        <w:rPr>
          <w:rStyle w:val="apple-converted-space"/>
          <w:rFonts w:ascii="Arial" w:eastAsia="Times New Roman" w:hAnsi="Arial" w:cs="Arial"/>
          <w:color w:val="444444"/>
          <w:sz w:val="20"/>
          <w:szCs w:val="20"/>
        </w:rPr>
        <w:t> </w:t>
      </w:r>
    </w:p>
    <w:p w14:paraId="0FA8E708"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20" w:anchor="anchor1300060" w:history="1">
        <w:r>
          <w:rPr>
            <w:rStyle w:val="Hyperlink"/>
            <w:rFonts w:ascii="Arial" w:eastAsia="Times New Roman" w:hAnsi="Arial" w:cs="Arial"/>
            <w:color w:val="243778"/>
            <w:sz w:val="20"/>
            <w:szCs w:val="20"/>
          </w:rPr>
          <w:t>FRE 401 (Annotated)</w:t>
        </w:r>
      </w:hyperlink>
    </w:p>
    <w:p w14:paraId="5DB3E742"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2-B</w:t>
      </w:r>
    </w:p>
    <w:p w14:paraId="59BBC882"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21" w:anchor="anchor1535559" w:history="1">
        <w:r>
          <w:rPr>
            <w:rStyle w:val="Hyperlink"/>
            <w:rFonts w:ascii="Arial" w:eastAsia="Times New Roman" w:hAnsi="Arial" w:cs="Arial"/>
            <w:color w:val="243778"/>
            <w:sz w:val="20"/>
            <w:szCs w:val="20"/>
          </w:rPr>
          <w:t>2.2 Excluding or Limiting Relevant Evidence: Pragmatic Relevance</w:t>
        </w:r>
      </w:hyperlink>
      <w:r>
        <w:rPr>
          <w:rFonts w:ascii="Arial" w:eastAsia="Times New Roman" w:hAnsi="Arial" w:cs="Arial"/>
          <w:color w:val="444444"/>
          <w:sz w:val="20"/>
          <w:szCs w:val="20"/>
        </w:rPr>
        <w:t>, 69-79, 79-82</w:t>
      </w:r>
      <w:r>
        <w:rPr>
          <w:rStyle w:val="apple-converted-space"/>
          <w:rFonts w:ascii="Arial" w:eastAsia="Times New Roman" w:hAnsi="Arial" w:cs="Arial"/>
          <w:color w:val="444444"/>
          <w:sz w:val="20"/>
          <w:szCs w:val="20"/>
        </w:rPr>
        <w:t> </w:t>
      </w:r>
    </w:p>
    <w:p w14:paraId="140814E5"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2" w:anchor="anchor1534963" w:history="1">
        <w:r>
          <w:rPr>
            <w:rStyle w:val="Hyperlink"/>
            <w:rFonts w:ascii="Arial" w:eastAsia="Times New Roman" w:hAnsi="Arial" w:cs="Arial"/>
            <w:color w:val="243778"/>
            <w:sz w:val="20"/>
            <w:szCs w:val="20"/>
          </w:rPr>
          <w:t>2-D: Flight and Guilt (p. 69)</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15165DBA"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Case:</w:t>
      </w:r>
      <w:r>
        <w:rPr>
          <w:rStyle w:val="apple-converted-space"/>
          <w:rFonts w:ascii="Arial" w:eastAsia="Times New Roman" w:hAnsi="Arial" w:cs="Arial"/>
          <w:color w:val="444444"/>
          <w:sz w:val="20"/>
          <w:szCs w:val="20"/>
        </w:rPr>
        <w:t> </w:t>
      </w:r>
      <w:hyperlink r:id="rId23" w:anchor="anchor1151173" w:history="1">
        <w:r>
          <w:rPr>
            <w:rStyle w:val="Emphasis"/>
            <w:rFonts w:ascii="Arial" w:eastAsia="Times New Roman" w:hAnsi="Arial" w:cs="Arial"/>
            <w:color w:val="243778"/>
            <w:sz w:val="20"/>
            <w:szCs w:val="20"/>
            <w:bdr w:val="none" w:sz="0" w:space="0" w:color="auto" w:frame="1"/>
          </w:rPr>
          <w:t>State v. Chapple</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71)</w:t>
        </w:r>
        <w:r>
          <w:rPr>
            <w:rStyle w:val="apple-converted-space"/>
            <w:rFonts w:ascii="Arial" w:eastAsia="Times New Roman" w:hAnsi="Arial" w:cs="Arial"/>
            <w:color w:val="243778"/>
            <w:sz w:val="20"/>
            <w:szCs w:val="20"/>
          </w:rPr>
          <w:t> </w:t>
        </w:r>
      </w:hyperlink>
    </w:p>
    <w:p w14:paraId="16165575"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i/>
          <w:iCs/>
          <w:color w:val="444444"/>
          <w:sz w:val="20"/>
          <w:szCs w:val="20"/>
          <w:bdr w:val="none" w:sz="0" w:space="0" w:color="auto" w:frame="1"/>
        </w:rPr>
        <w:t>Please be advised that I will show real crime-scene and autopsy photos to illustrate the issues in State v. Chapple.</w:t>
      </w:r>
    </w:p>
    <w:p w14:paraId="71D91569" w14:textId="77777777" w:rsidR="001B6CDB" w:rsidRDefault="001B6CDB" w:rsidP="001B6CDB">
      <w:pPr>
        <w:numPr>
          <w:ilvl w:val="5"/>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This material is quite disturbing and anyone who does not wish to see the images is certainly welcome to look away and even leave the classroom while they are being shown.</w:t>
      </w:r>
    </w:p>
    <w:p w14:paraId="301747EB"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I will again lecture on</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Old Chief II,</w:t>
      </w:r>
      <w:r>
        <w:rPr>
          <w:rStyle w:val="apple-converted-space"/>
          <w:rFonts w:ascii="Arial" w:eastAsia="Times New Roman" w:hAnsi="Arial" w:cs="Arial"/>
          <w:i/>
          <w:iCs/>
          <w:color w:val="444444"/>
          <w:sz w:val="20"/>
          <w:szCs w:val="20"/>
          <w:bdr w:val="none" w:sz="0" w:space="0" w:color="auto" w:frame="1"/>
        </w:rPr>
        <w:t> </w:t>
      </w:r>
      <w:r>
        <w:rPr>
          <w:rFonts w:ascii="Arial" w:eastAsia="Times New Roman" w:hAnsi="Arial" w:cs="Arial"/>
          <w:color w:val="444444"/>
          <w:sz w:val="20"/>
          <w:szCs w:val="20"/>
        </w:rPr>
        <w:t>pp. 74-79, to discuss what it stands for under FRE 403.</w:t>
      </w:r>
      <w:r>
        <w:rPr>
          <w:rStyle w:val="apple-converted-space"/>
          <w:rFonts w:ascii="Arial" w:eastAsia="Times New Roman" w:hAnsi="Arial" w:cs="Arial"/>
          <w:color w:val="444444"/>
          <w:sz w:val="20"/>
          <w:szCs w:val="20"/>
        </w:rPr>
        <w:t> </w:t>
      </w:r>
    </w:p>
    <w:p w14:paraId="082ED612"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Wednesday, January 27, 2021</w:t>
      </w:r>
    </w:p>
    <w:p w14:paraId="07D71FE6"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3-A</w:t>
      </w:r>
    </w:p>
    <w:p w14:paraId="62EF663C"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24" w:anchor="anchor02.4" w:history="1">
        <w:r>
          <w:rPr>
            <w:rStyle w:val="Hyperlink"/>
            <w:rFonts w:ascii="Arial" w:eastAsia="Times New Roman" w:hAnsi="Arial" w:cs="Arial"/>
            <w:color w:val="243778"/>
            <w:sz w:val="20"/>
            <w:szCs w:val="20"/>
          </w:rPr>
          <w:t>2.3 Excluding or Limiting Relevant Evidence (continued)</w:t>
        </w:r>
      </w:hyperlink>
      <w:r>
        <w:rPr>
          <w:rFonts w:ascii="Arial" w:eastAsia="Times New Roman" w:hAnsi="Arial" w:cs="Arial"/>
          <w:color w:val="444444"/>
          <w:sz w:val="20"/>
          <w:szCs w:val="20"/>
        </w:rPr>
        <w:t>, 82-95</w:t>
      </w:r>
      <w:r>
        <w:rPr>
          <w:rStyle w:val="apple-converted-space"/>
          <w:rFonts w:ascii="Arial" w:eastAsia="Times New Roman" w:hAnsi="Arial" w:cs="Arial"/>
          <w:color w:val="444444"/>
          <w:sz w:val="20"/>
          <w:szCs w:val="20"/>
        </w:rPr>
        <w:t> </w:t>
      </w:r>
    </w:p>
    <w:p w14:paraId="15320808"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5" w:anchor="anchor1544469" w:history="1">
        <w:r>
          <w:rPr>
            <w:rStyle w:val="Hyperlink"/>
            <w:rFonts w:ascii="Arial" w:eastAsia="Times New Roman" w:hAnsi="Arial" w:cs="Arial"/>
            <w:color w:val="243778"/>
            <w:sz w:val="20"/>
            <w:szCs w:val="20"/>
          </w:rPr>
          <w:t>2-E: The battered wife went to the shelter (pp. 82)</w:t>
        </w:r>
        <w:r>
          <w:rPr>
            <w:rStyle w:val="apple-converted-space"/>
            <w:rFonts w:ascii="Arial" w:eastAsia="Times New Roman" w:hAnsi="Arial" w:cs="Arial"/>
            <w:color w:val="243778"/>
            <w:sz w:val="20"/>
            <w:szCs w:val="20"/>
          </w:rPr>
          <w:t> </w:t>
        </w:r>
      </w:hyperlink>
    </w:p>
    <w:p w14:paraId="3B6AD487"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hyperlink r:id="rId26" w:anchor="anchor1544149" w:history="1">
        <w:r>
          <w:rPr>
            <w:rStyle w:val="Hyperlink"/>
            <w:rFonts w:ascii="Arial" w:eastAsia="Times New Roman" w:hAnsi="Arial" w:cs="Arial"/>
            <w:color w:val="243778"/>
            <w:sz w:val="20"/>
            <w:szCs w:val="20"/>
          </w:rPr>
          <w:t>Problem 2-F: The exploding gas tank and the guilty plea (p. 83).</w:t>
        </w:r>
      </w:hyperlink>
    </w:p>
    <w:p w14:paraId="0C680CAC"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7" w:anchor="anchor1543711" w:history="1">
        <w:r>
          <w:rPr>
            <w:rStyle w:val="Hyperlink"/>
            <w:rFonts w:ascii="Arial" w:eastAsia="Times New Roman" w:hAnsi="Arial" w:cs="Arial"/>
            <w:color w:val="243778"/>
            <w:sz w:val="20"/>
            <w:szCs w:val="20"/>
          </w:rPr>
          <w:t>2-G:</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My insurance will cover it:</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Why saying "I'm sorry may cost you (p. 85).</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0EBADCDB" w14:textId="77777777" w:rsidR="001B6CDB" w:rsidRDefault="001B6CDB" w:rsidP="001B6CDB">
      <w:pPr>
        <w:numPr>
          <w:ilvl w:val="2"/>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3-B</w:t>
      </w:r>
    </w:p>
    <w:p w14:paraId="31B78424" w14:textId="77777777" w:rsidR="001B6CDB" w:rsidRDefault="001B6CDB" w:rsidP="001B6CDB">
      <w:pPr>
        <w:numPr>
          <w:ilvl w:val="3"/>
          <w:numId w:val="2"/>
        </w:numPr>
        <w:ind w:right="360"/>
        <w:textAlignment w:val="baseline"/>
        <w:rPr>
          <w:rFonts w:ascii="Arial" w:eastAsia="Times New Roman" w:hAnsi="Arial" w:cs="Arial"/>
          <w:color w:val="444444"/>
          <w:sz w:val="20"/>
          <w:szCs w:val="20"/>
        </w:rPr>
      </w:pPr>
      <w:hyperlink r:id="rId28" w:anchor="anchor02.4" w:history="1">
        <w:r>
          <w:rPr>
            <w:rStyle w:val="Hyperlink"/>
            <w:rFonts w:ascii="Arial" w:eastAsia="Times New Roman" w:hAnsi="Arial" w:cs="Arial"/>
            <w:color w:val="243778"/>
            <w:sz w:val="20"/>
            <w:szCs w:val="20"/>
          </w:rPr>
          <w:t>2.4 Excluding or Limiting Relevant Evidence (continued)</w:t>
        </w:r>
      </w:hyperlink>
      <w:r>
        <w:rPr>
          <w:rFonts w:ascii="Arial" w:eastAsia="Times New Roman" w:hAnsi="Arial" w:cs="Arial"/>
          <w:color w:val="444444"/>
          <w:sz w:val="20"/>
          <w:szCs w:val="20"/>
        </w:rPr>
        <w:t>, 82-95</w:t>
      </w:r>
      <w:r>
        <w:rPr>
          <w:rStyle w:val="apple-converted-space"/>
          <w:rFonts w:ascii="Arial" w:eastAsia="Times New Roman" w:hAnsi="Arial" w:cs="Arial"/>
          <w:color w:val="444444"/>
          <w:sz w:val="20"/>
          <w:szCs w:val="20"/>
        </w:rPr>
        <w:t> </w:t>
      </w:r>
    </w:p>
    <w:p w14:paraId="685536F6"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hyperlink r:id="rId29" w:anchor="anchor1587364" w:history="1">
        <w:r>
          <w:rPr>
            <w:rStyle w:val="Hyperlink"/>
            <w:rFonts w:ascii="Arial" w:eastAsia="Times New Roman" w:hAnsi="Arial" w:cs="Arial"/>
            <w:color w:val="243778"/>
            <w:sz w:val="20"/>
            <w:szCs w:val="20"/>
          </w:rPr>
          <w:t>Problem 2-H: Completeness:</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Power rollback caused the crash</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87-88)</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282A6C10"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hyperlink r:id="rId30" w:anchor="Problem_02_1" w:history="1">
        <w:r>
          <w:rPr>
            <w:rStyle w:val="Hyperlink"/>
            <w:rFonts w:ascii="Arial" w:eastAsia="Times New Roman" w:hAnsi="Arial" w:cs="Arial"/>
            <w:color w:val="243778"/>
            <w:sz w:val="20"/>
            <w:szCs w:val="20"/>
          </w:rPr>
          <w:t>Problem 2-I: Raid on the Cedar Woods Apartment</w:t>
        </w:r>
      </w:hyperlink>
      <w:r>
        <w:rPr>
          <w:rFonts w:ascii="Arial" w:eastAsia="Times New Roman" w:hAnsi="Arial" w:cs="Arial"/>
          <w:color w:val="444444"/>
          <w:sz w:val="20"/>
          <w:szCs w:val="20"/>
        </w:rPr>
        <w:t>, 91-93</w:t>
      </w:r>
      <w:r>
        <w:rPr>
          <w:rStyle w:val="apple-converted-space"/>
          <w:rFonts w:ascii="Arial" w:eastAsia="Times New Roman" w:hAnsi="Arial" w:cs="Arial"/>
          <w:color w:val="444444"/>
          <w:sz w:val="20"/>
          <w:szCs w:val="20"/>
        </w:rPr>
        <w:t> </w:t>
      </w:r>
    </w:p>
    <w:p w14:paraId="7E805C7A"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w:t>
      </w:r>
      <w:hyperlink r:id="rId31" w:anchor="anchorFRE104(a)(b)" w:history="1">
        <w:r>
          <w:rPr>
            <w:rStyle w:val="Hyperlink"/>
            <w:rFonts w:ascii="Arial" w:eastAsia="Times New Roman" w:hAnsi="Arial" w:cs="Arial"/>
            <w:color w:val="243778"/>
            <w:sz w:val="20"/>
            <w:szCs w:val="20"/>
          </w:rPr>
          <w:t>Click here to see the notes on 104(a) (</w:t>
        </w:r>
        <w:proofErr w:type="spellStart"/>
        <w:r>
          <w:rPr>
            <w:rStyle w:val="Hyperlink"/>
            <w:rFonts w:ascii="Arial" w:eastAsia="Times New Roman" w:hAnsi="Arial" w:cs="Arial"/>
            <w:color w:val="243778"/>
            <w:sz w:val="20"/>
            <w:szCs w:val="20"/>
          </w:rPr>
          <w:t>Bourjaily</w:t>
        </w:r>
        <w:proofErr w:type="spellEnd"/>
        <w:r>
          <w:rPr>
            <w:rStyle w:val="Hyperlink"/>
            <w:rFonts w:ascii="Arial" w:eastAsia="Times New Roman" w:hAnsi="Arial" w:cs="Arial"/>
            <w:color w:val="243778"/>
            <w:sz w:val="20"/>
            <w:szCs w:val="20"/>
          </w:rPr>
          <w:t>) and 104(b) (Huddleston) and "Conjunction" (combined probability) vs. "Coincidence" (overlap of Judge/Jury fact-finding)</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1D68BD24" w14:textId="77777777" w:rsidR="001B6CDB" w:rsidRDefault="001B6CDB" w:rsidP="001B6CDB">
      <w:pPr>
        <w:numPr>
          <w:ilvl w:val="4"/>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w:t>
      </w:r>
      <w:hyperlink r:id="rId32" w:anchor="conditionalupdate" w:history="1">
        <w:r>
          <w:rPr>
            <w:rStyle w:val="Hyperlink"/>
            <w:rFonts w:ascii="Arial" w:eastAsia="Times New Roman" w:hAnsi="Arial" w:cs="Arial"/>
            <w:color w:val="243778"/>
            <w:sz w:val="20"/>
            <w:szCs w:val="20"/>
          </w:rPr>
          <w:t>Click here to see the notes for conditional relevance in the 7th Edition</w:t>
        </w:r>
      </w:hyperlink>
      <w:r>
        <w:rPr>
          <w:rFonts w:ascii="Arial" w:eastAsia="Times New Roman" w:hAnsi="Arial" w:cs="Arial"/>
          <w:color w:val="444444"/>
          <w:sz w:val="20"/>
          <w:szCs w:val="20"/>
        </w:rPr>
        <w:t>]</w:t>
      </w:r>
    </w:p>
    <w:p w14:paraId="562CDBA1" w14:textId="77777777" w:rsidR="001B6CDB" w:rsidRDefault="001B6CDB" w:rsidP="001B6CDB">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Review: Standard FRE 403 Balancing &amp; Reverse 403 &amp; Automatic Admissibility Preview</w:t>
      </w:r>
    </w:p>
    <w:p w14:paraId="53F0C4F6" w14:textId="77777777" w:rsidR="00BF3F57" w:rsidRDefault="00BF3F57">
      <w:bookmarkStart w:id="0" w:name="_GoBack"/>
      <w:bookmarkEnd w:id="0"/>
    </w:p>
    <w:sectPr w:rsidR="00BF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E17"/>
    <w:multiLevelType w:val="multilevel"/>
    <w:tmpl w:val="6A4A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95EFC"/>
    <w:multiLevelType w:val="multilevel"/>
    <w:tmpl w:val="6E46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DB"/>
    <w:rsid w:val="001B6CDB"/>
    <w:rsid w:val="001F1538"/>
    <w:rsid w:val="00B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A169"/>
  <w15:chartTrackingRefBased/>
  <w15:docId w15:val="{82C5DC6A-C1FD-4509-AAEC-93BE383E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DB"/>
    <w:pPr>
      <w:spacing w:after="0" w:line="240" w:lineRule="auto"/>
    </w:pPr>
    <w:rPr>
      <w:rFonts w:ascii="Calibri" w:hAnsi="Calibri" w:cs="Calibri"/>
      <w:sz w:val="24"/>
      <w:szCs w:val="24"/>
    </w:rPr>
  </w:style>
  <w:style w:type="paragraph" w:styleId="Heading2">
    <w:name w:val="heading 2"/>
    <w:basedOn w:val="Normal"/>
    <w:link w:val="Heading2Char"/>
    <w:uiPriority w:val="9"/>
    <w:semiHidden/>
    <w:unhideWhenUsed/>
    <w:qFormat/>
    <w:rsid w:val="001B6C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6CDB"/>
    <w:rPr>
      <w:rFonts w:ascii="Calibri" w:hAnsi="Calibri" w:cs="Calibri"/>
      <w:b/>
      <w:bCs/>
      <w:sz w:val="36"/>
      <w:szCs w:val="36"/>
    </w:rPr>
  </w:style>
  <w:style w:type="character" w:styleId="Hyperlink">
    <w:name w:val="Hyperlink"/>
    <w:basedOn w:val="DefaultParagraphFont"/>
    <w:uiPriority w:val="99"/>
    <w:semiHidden/>
    <w:unhideWhenUsed/>
    <w:rsid w:val="001B6CDB"/>
    <w:rPr>
      <w:color w:val="0563C1"/>
      <w:u w:val="single"/>
    </w:rPr>
  </w:style>
  <w:style w:type="paragraph" w:styleId="NormalWeb">
    <w:name w:val="Normal (Web)"/>
    <w:basedOn w:val="Normal"/>
    <w:uiPriority w:val="99"/>
    <w:semiHidden/>
    <w:unhideWhenUsed/>
    <w:rsid w:val="001B6CDB"/>
    <w:pPr>
      <w:spacing w:before="100" w:beforeAutospacing="1" w:after="100" w:afterAutospacing="1"/>
    </w:pPr>
    <w:rPr>
      <w:sz w:val="22"/>
      <w:szCs w:val="22"/>
    </w:rPr>
  </w:style>
  <w:style w:type="character" w:customStyle="1" w:styleId="apple-converted-space">
    <w:name w:val="apple-converted-space"/>
    <w:basedOn w:val="DefaultParagraphFont"/>
    <w:rsid w:val="001B6CDB"/>
  </w:style>
  <w:style w:type="character" w:styleId="Strong">
    <w:name w:val="Strong"/>
    <w:basedOn w:val="DefaultParagraphFont"/>
    <w:uiPriority w:val="22"/>
    <w:qFormat/>
    <w:rsid w:val="001B6CDB"/>
    <w:rPr>
      <w:b/>
      <w:bCs/>
    </w:rPr>
  </w:style>
  <w:style w:type="character" w:styleId="Emphasis">
    <w:name w:val="Emphasis"/>
    <w:basedOn w:val="DefaultParagraphFont"/>
    <w:uiPriority w:val="20"/>
    <w:qFormat/>
    <w:rsid w:val="001B6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3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za.ufl.edu/malavet/evidence/evsyll.shtml" TargetMode="External"/><Relationship Id="rId13" Type="http://schemas.openxmlformats.org/officeDocument/2006/relationships/hyperlink" Target="http://plaza.ufl.edu/malavet/evidence/notes/evnotes01.shtml" TargetMode="External"/><Relationship Id="rId18" Type="http://schemas.openxmlformats.org/officeDocument/2006/relationships/hyperlink" Target="http://plaza.ufl.edu/malavet/evidence/notes/evnotes02.shtml" TargetMode="External"/><Relationship Id="rId26" Type="http://schemas.openxmlformats.org/officeDocument/2006/relationships/hyperlink" Target="http://plaza.ufl.edu/malavet/evidence/notes/evnotes02.shtml" TargetMode="External"/><Relationship Id="rId3" Type="http://schemas.openxmlformats.org/officeDocument/2006/relationships/settings" Target="settings.xml"/><Relationship Id="rId21" Type="http://schemas.openxmlformats.org/officeDocument/2006/relationships/hyperlink" Target="http://plaza.ufl.edu/malavet/evidence/notes/evnotes02.shtml" TargetMode="External"/><Relationship Id="rId34" Type="http://schemas.openxmlformats.org/officeDocument/2006/relationships/theme" Target="theme/theme1.xml"/><Relationship Id="rId7" Type="http://schemas.openxmlformats.org/officeDocument/2006/relationships/hyperlink" Target="http://plaza.ufl.edu/malavet/evidence/notes/evnotes01.shtml" TargetMode="External"/><Relationship Id="rId12" Type="http://schemas.openxmlformats.org/officeDocument/2006/relationships/hyperlink" Target="http://plaza.ufl.edu/malavet/evidence/notes/evnotes01.shtml" TargetMode="External"/><Relationship Id="rId17" Type="http://schemas.openxmlformats.org/officeDocument/2006/relationships/hyperlink" Target="http://plaza.ufl.edu/malavet/evidence/notes/evnotes02.shtml" TargetMode="External"/><Relationship Id="rId25" Type="http://schemas.openxmlformats.org/officeDocument/2006/relationships/hyperlink" Target="http://plaza.ufl.edu/malavet/evidence/notes/evnotes02.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za.ufl.edu/malavet/evidence/notes/evnotes02.shtml" TargetMode="External"/><Relationship Id="rId20" Type="http://schemas.openxmlformats.org/officeDocument/2006/relationships/hyperlink" Target="http://plaza.ufl.edu/malavet/evidence/notes/evnotes02.shtml" TargetMode="External"/><Relationship Id="rId29" Type="http://schemas.openxmlformats.org/officeDocument/2006/relationships/hyperlink" Target="http://plaza.ufl.edu/malavet/evidence/notes/evnotes02.shtml" TargetMode="External"/><Relationship Id="rId1" Type="http://schemas.openxmlformats.org/officeDocument/2006/relationships/numbering" Target="numbering.xml"/><Relationship Id="rId6" Type="http://schemas.openxmlformats.org/officeDocument/2006/relationships/hyperlink" Target="http://plaza.ufl.edu/malavet/evidence/notes/evnotes.shtml" TargetMode="External"/><Relationship Id="rId11" Type="http://schemas.openxmlformats.org/officeDocument/2006/relationships/hyperlink" Target="http://plaza.ufl.edu/malavet/evidence/notes/evnotes01.shtml" TargetMode="External"/><Relationship Id="rId24" Type="http://schemas.openxmlformats.org/officeDocument/2006/relationships/hyperlink" Target="http://plaza.ufl.edu/malavet/evidence/notes/evnotes02.shtml" TargetMode="External"/><Relationship Id="rId32" Type="http://schemas.openxmlformats.org/officeDocument/2006/relationships/hyperlink" Target="http://plaza.ufl.edu/malavet/evidence/notes/evnotes02.shtml" TargetMode="External"/><Relationship Id="rId5" Type="http://schemas.openxmlformats.org/officeDocument/2006/relationships/hyperlink" Target="http://plaza.ufl.edu/malavet%20" TargetMode="External"/><Relationship Id="rId15" Type="http://schemas.openxmlformats.org/officeDocument/2006/relationships/hyperlink" Target="http://plaza.ufl.edu/malavet/evidence/notes/evnotes01.shtml" TargetMode="External"/><Relationship Id="rId23" Type="http://schemas.openxmlformats.org/officeDocument/2006/relationships/hyperlink" Target="http://plaza.ufl.edu/malavet/evidence/notes/evnotes02.shtml" TargetMode="External"/><Relationship Id="rId28" Type="http://schemas.openxmlformats.org/officeDocument/2006/relationships/hyperlink" Target="http://plaza.ufl.edu/malavet/evidence/notes/evnotes02.shtml" TargetMode="External"/><Relationship Id="rId10" Type="http://schemas.openxmlformats.org/officeDocument/2006/relationships/hyperlink" Target="http://plaza.ufl.edu/malavet/evidence/notes/evnotes01.shtml" TargetMode="External"/><Relationship Id="rId19" Type="http://schemas.openxmlformats.org/officeDocument/2006/relationships/hyperlink" Target="http://plaza.ufl.edu/malavet/evidence/notes/evnotes02.shtml" TargetMode="External"/><Relationship Id="rId31" Type="http://schemas.openxmlformats.org/officeDocument/2006/relationships/hyperlink" Target="http://plaza.ufl.edu/malavet/evidence/notes/evnotes02.shtml" TargetMode="External"/><Relationship Id="rId4" Type="http://schemas.openxmlformats.org/officeDocument/2006/relationships/webSettings" Target="webSettings.xml"/><Relationship Id="rId9" Type="http://schemas.openxmlformats.org/officeDocument/2006/relationships/hyperlink" Target="http://plaza.ufl.edu/malavet/evidence/notes/evnotes01.shtml" TargetMode="External"/><Relationship Id="rId14" Type="http://schemas.openxmlformats.org/officeDocument/2006/relationships/hyperlink" Target="http://plaza.ufl.edu/malavet/evidence/notes/evnotes01.shtml" TargetMode="External"/><Relationship Id="rId22" Type="http://schemas.openxmlformats.org/officeDocument/2006/relationships/hyperlink" Target="http://plaza.ufl.edu/malavet/evidence/notes/evnotes02.shtml" TargetMode="External"/><Relationship Id="rId27" Type="http://schemas.openxmlformats.org/officeDocument/2006/relationships/hyperlink" Target="http://plaza.ufl.edu/malavet/evidence/notes/evnotes02.shtml" TargetMode="External"/><Relationship Id="rId30" Type="http://schemas.openxmlformats.org/officeDocument/2006/relationships/hyperlink" Target="http://plaza.ufl.edu/malavet/evidence/notes/evnotes0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7833</Characters>
  <Application>Microsoft Office Word</Application>
  <DocSecurity>0</DocSecurity>
  <Lines>326</Lines>
  <Paragraphs>186</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1</cp:revision>
  <dcterms:created xsi:type="dcterms:W3CDTF">2021-01-05T21:18:00Z</dcterms:created>
  <dcterms:modified xsi:type="dcterms:W3CDTF">2021-01-05T21:19:00Z</dcterms:modified>
</cp:coreProperties>
</file>