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F89B" w14:textId="77777777" w:rsidR="005B0D26" w:rsidRDefault="005B0D26"/>
    <w:p w14:paraId="728A368F" w14:textId="77777777" w:rsidR="00195D7B" w:rsidRPr="00423960" w:rsidRDefault="00195D7B" w:rsidP="00195D7B">
      <w:pPr>
        <w:jc w:val="center"/>
        <w:rPr>
          <w:rFonts w:eastAsia="Times New Roman" w:cs="Times New Roman"/>
          <w:b/>
          <w:sz w:val="28"/>
          <w:szCs w:val="28"/>
        </w:rPr>
      </w:pPr>
      <w:r w:rsidRPr="00423960">
        <w:rPr>
          <w:rFonts w:eastAsia="Times New Roman" w:cs="Times New Roman"/>
          <w:b/>
          <w:sz w:val="40"/>
          <w:szCs w:val="28"/>
        </w:rPr>
        <w:t>SYLLABUS</w:t>
      </w:r>
    </w:p>
    <w:p w14:paraId="3B5C0D80" w14:textId="65AE5934" w:rsidR="00195D7B" w:rsidRPr="00401A87" w:rsidRDefault="00174694" w:rsidP="00195D7B">
      <w:pPr>
        <w:jc w:val="center"/>
        <w:rPr>
          <w:rFonts w:eastAsia="Times New Roman" w:cs="Times New Roman"/>
          <w:b/>
          <w:sz w:val="28"/>
          <w:szCs w:val="28"/>
        </w:rPr>
      </w:pPr>
      <w:r>
        <w:rPr>
          <w:rFonts w:eastAsia="Times New Roman" w:cs="Times New Roman"/>
          <w:b/>
          <w:sz w:val="28"/>
          <w:szCs w:val="28"/>
        </w:rPr>
        <w:t>MERGERS &amp; ACQUISITIONS</w:t>
      </w:r>
      <w:r w:rsidR="00195D7B">
        <w:rPr>
          <w:rFonts w:eastAsia="Times New Roman" w:cs="Times New Roman"/>
          <w:b/>
          <w:sz w:val="28"/>
          <w:szCs w:val="28"/>
        </w:rPr>
        <w:t xml:space="preserve"> (</w:t>
      </w:r>
      <w:r>
        <w:rPr>
          <w:rFonts w:eastAsia="Times New Roman" w:cs="Times New Roman"/>
          <w:b/>
          <w:sz w:val="28"/>
          <w:szCs w:val="28"/>
        </w:rPr>
        <w:t>Spring</w:t>
      </w:r>
      <w:r w:rsidR="00FF1C71">
        <w:rPr>
          <w:rFonts w:eastAsia="Times New Roman" w:cs="Times New Roman"/>
          <w:b/>
          <w:sz w:val="28"/>
          <w:szCs w:val="28"/>
        </w:rPr>
        <w:t xml:space="preserve"> 20</w:t>
      </w:r>
      <w:r w:rsidR="00711B94">
        <w:rPr>
          <w:rFonts w:eastAsia="Times New Roman" w:cs="Times New Roman"/>
          <w:b/>
          <w:sz w:val="28"/>
          <w:szCs w:val="28"/>
        </w:rPr>
        <w:t>2</w:t>
      </w:r>
      <w:r>
        <w:rPr>
          <w:rFonts w:eastAsia="Times New Roman" w:cs="Times New Roman"/>
          <w:b/>
          <w:sz w:val="28"/>
          <w:szCs w:val="28"/>
        </w:rPr>
        <w:t>3</w:t>
      </w:r>
      <w:r w:rsidR="00195D7B">
        <w:rPr>
          <w:rFonts w:eastAsia="Times New Roman" w:cs="Times New Roman"/>
          <w:b/>
          <w:sz w:val="28"/>
          <w:szCs w:val="28"/>
        </w:rPr>
        <w:t>)</w:t>
      </w:r>
    </w:p>
    <w:p w14:paraId="557EC396" w14:textId="5D8B91F0" w:rsidR="00195D7B" w:rsidRDefault="00195D7B" w:rsidP="00195D7B">
      <w:pPr>
        <w:ind w:right="-180"/>
        <w:jc w:val="both"/>
        <w:rPr>
          <w:rFonts w:ascii="Book Antiqua" w:eastAsia="Times New Roman" w:hAnsi="Book Antiqua" w:cs="Times New Roman"/>
          <w:sz w:val="26"/>
          <w:szCs w:val="26"/>
        </w:rPr>
      </w:pPr>
    </w:p>
    <w:p w14:paraId="4E6A9B9F" w14:textId="77777777" w:rsidR="00412943" w:rsidRDefault="00412943" w:rsidP="00195D7B">
      <w:pPr>
        <w:ind w:right="-180"/>
        <w:jc w:val="both"/>
        <w:rPr>
          <w:rFonts w:ascii="Book Antiqua" w:eastAsia="Times New Roman" w:hAnsi="Book Antiqua" w:cs="Times New Roman"/>
          <w:sz w:val="26"/>
          <w:szCs w:val="26"/>
        </w:rPr>
      </w:pPr>
    </w:p>
    <w:p w14:paraId="7B223465" w14:textId="77777777" w:rsidR="00195D7B" w:rsidRPr="00423960" w:rsidRDefault="00195D7B" w:rsidP="00195D7B">
      <w:pPr>
        <w:ind w:right="-180"/>
        <w:jc w:val="both"/>
        <w:rPr>
          <w:rFonts w:ascii="Book Antiqua" w:eastAsia="Times New Roman" w:hAnsi="Book Antiqua" w:cs="Times New Roman"/>
        </w:rPr>
      </w:pPr>
      <w:r>
        <w:rPr>
          <w:rFonts w:ascii="Book Antiqua" w:eastAsia="Times New Roman" w:hAnsi="Book Antiqua" w:cs="Times New Roman"/>
        </w:rPr>
        <w:t xml:space="preserve">PROFESSOR: </w:t>
      </w:r>
      <w:r>
        <w:rPr>
          <w:rFonts w:ascii="Book Antiqua" w:eastAsia="Times New Roman" w:hAnsi="Book Antiqua" w:cs="Times New Roman"/>
        </w:rPr>
        <w:tab/>
      </w:r>
      <w:r>
        <w:rPr>
          <w:rFonts w:ascii="Book Antiqua" w:eastAsia="Times New Roman" w:hAnsi="Book Antiqua" w:cs="Times New Roman"/>
        </w:rPr>
        <w:tab/>
      </w:r>
      <w:r w:rsidRPr="00423960">
        <w:rPr>
          <w:rFonts w:ascii="Book Antiqua" w:eastAsia="Times New Roman" w:hAnsi="Book Antiqua" w:cs="Times New Roman"/>
        </w:rPr>
        <w:t xml:space="preserve">Robert J. Rhee </w:t>
      </w:r>
    </w:p>
    <w:p w14:paraId="6A40FDE6" w14:textId="77777777" w:rsidR="00195D7B" w:rsidRDefault="00195D7B" w:rsidP="00195D7B">
      <w:pPr>
        <w:ind w:right="-180"/>
        <w:jc w:val="both"/>
        <w:rPr>
          <w:rFonts w:ascii="Book Antiqua" w:eastAsia="Times New Roman" w:hAnsi="Book Antiqua" w:cs="Times New Roman"/>
        </w:rPr>
      </w:pPr>
    </w:p>
    <w:p w14:paraId="5A596075" w14:textId="77777777" w:rsidR="00195D7B" w:rsidRPr="00423960" w:rsidRDefault="00195D7B" w:rsidP="002967FE">
      <w:pPr>
        <w:ind w:right="-180"/>
        <w:jc w:val="both"/>
        <w:rPr>
          <w:rFonts w:ascii="Book Antiqua" w:eastAsia="Times New Roman" w:hAnsi="Book Antiqua" w:cs="Times New Roman"/>
        </w:rPr>
      </w:pPr>
      <w:r w:rsidRPr="00423960">
        <w:rPr>
          <w:rFonts w:ascii="Book Antiqua" w:eastAsia="Times New Roman" w:hAnsi="Book Antiqua" w:cs="Times New Roman"/>
        </w:rPr>
        <w:t>CONTACT</w:t>
      </w:r>
      <w:r>
        <w:rPr>
          <w:rFonts w:ascii="Book Antiqua" w:eastAsia="Times New Roman" w:hAnsi="Book Antiqua" w:cs="Times New Roman"/>
        </w:rPr>
        <w:t>:</w:t>
      </w:r>
      <w:r>
        <w:rPr>
          <w:rFonts w:ascii="Book Antiqua" w:eastAsia="Times New Roman" w:hAnsi="Book Antiqua" w:cs="Times New Roman"/>
        </w:rPr>
        <w:tab/>
      </w:r>
      <w:r w:rsidRPr="00423960">
        <w:rPr>
          <w:rFonts w:ascii="Book Antiqua" w:eastAsia="Times New Roman" w:hAnsi="Book Antiqua" w:cs="Times New Roman"/>
        </w:rPr>
        <w:tab/>
      </w:r>
      <w:r w:rsidRPr="00423960">
        <w:rPr>
          <w:rFonts w:ascii="Book Antiqua" w:eastAsia="Times New Roman" w:hAnsi="Book Antiqua" w:cs="Times New Roman"/>
        </w:rPr>
        <w:tab/>
      </w:r>
      <w:r>
        <w:rPr>
          <w:rFonts w:ascii="Book Antiqua" w:eastAsia="Times New Roman" w:hAnsi="Book Antiqua" w:cs="Times New Roman"/>
        </w:rPr>
        <w:t>Holland Hall</w:t>
      </w:r>
      <w:r w:rsidRPr="00423960">
        <w:rPr>
          <w:rFonts w:ascii="Book Antiqua" w:eastAsia="Times New Roman" w:hAnsi="Book Antiqua" w:cs="Times New Roman"/>
        </w:rPr>
        <w:t xml:space="preserve"> # 378</w:t>
      </w:r>
      <w:r>
        <w:rPr>
          <w:rFonts w:ascii="Book Antiqua" w:eastAsia="Times New Roman" w:hAnsi="Book Antiqua" w:cs="Times New Roman"/>
        </w:rPr>
        <w:t xml:space="preserve">, </w:t>
      </w:r>
      <w:r w:rsidRPr="00423960">
        <w:rPr>
          <w:rFonts w:ascii="Book Antiqua" w:eastAsia="Times New Roman" w:hAnsi="Book Antiqua" w:cs="Times New Roman"/>
        </w:rPr>
        <w:t>352-273-</w:t>
      </w:r>
      <w:proofErr w:type="gramStart"/>
      <w:r w:rsidRPr="00423960">
        <w:rPr>
          <w:rFonts w:ascii="Book Antiqua" w:eastAsia="Times New Roman" w:hAnsi="Book Antiqua" w:cs="Times New Roman"/>
        </w:rPr>
        <w:t>0958</w:t>
      </w:r>
      <w:r w:rsidR="002967FE">
        <w:rPr>
          <w:rFonts w:ascii="Book Antiqua" w:eastAsia="Times New Roman" w:hAnsi="Book Antiqua" w:cs="Times New Roman"/>
        </w:rPr>
        <w:t xml:space="preserve">;  </w:t>
      </w:r>
      <w:r w:rsidRPr="00423960">
        <w:rPr>
          <w:rFonts w:ascii="Book Antiqua" w:eastAsia="Times New Roman" w:hAnsi="Book Antiqua" w:cs="Times New Roman"/>
        </w:rPr>
        <w:t>rhee@law.ufl.edu</w:t>
      </w:r>
      <w:proofErr w:type="gramEnd"/>
    </w:p>
    <w:p w14:paraId="31D644AB" w14:textId="77777777" w:rsidR="00195D7B" w:rsidRDefault="00195D7B" w:rsidP="00195D7B">
      <w:pPr>
        <w:ind w:right="-180"/>
        <w:jc w:val="both"/>
        <w:rPr>
          <w:rFonts w:ascii="Book Antiqua" w:eastAsia="Times New Roman" w:hAnsi="Book Antiqua" w:cs="Times New Roman"/>
        </w:rPr>
      </w:pPr>
    </w:p>
    <w:p w14:paraId="041517A3" w14:textId="3A062438" w:rsidR="00195D7B" w:rsidRPr="00423960" w:rsidRDefault="00195D7B" w:rsidP="00195D7B">
      <w:pPr>
        <w:ind w:right="-180"/>
        <w:jc w:val="both"/>
        <w:rPr>
          <w:rFonts w:ascii="Book Antiqua" w:eastAsia="Times New Roman" w:hAnsi="Book Antiqua" w:cs="Times New Roman"/>
        </w:rPr>
      </w:pPr>
      <w:r>
        <w:rPr>
          <w:rFonts w:ascii="Book Antiqua" w:eastAsia="Times New Roman" w:hAnsi="Book Antiqua" w:cs="Times New Roman"/>
        </w:rPr>
        <w:t xml:space="preserve">CLASSROOM: </w:t>
      </w:r>
      <w:r>
        <w:rPr>
          <w:rFonts w:ascii="Book Antiqua" w:eastAsia="Times New Roman" w:hAnsi="Book Antiqua" w:cs="Times New Roman"/>
        </w:rPr>
        <w:tab/>
      </w:r>
      <w:r w:rsidRPr="00423960">
        <w:rPr>
          <w:rFonts w:ascii="Book Antiqua" w:eastAsia="Times New Roman" w:hAnsi="Book Antiqua" w:cs="Times New Roman"/>
        </w:rPr>
        <w:tab/>
      </w:r>
      <w:r w:rsidR="004604BC">
        <w:rPr>
          <w:rFonts w:ascii="Book Antiqua" w:eastAsia="Times New Roman" w:hAnsi="Book Antiqua" w:cs="Times New Roman"/>
        </w:rPr>
        <w:t xml:space="preserve">Holland </w:t>
      </w:r>
      <w:r w:rsidR="00977006">
        <w:rPr>
          <w:rFonts w:ascii="Book Antiqua" w:eastAsia="Times New Roman" w:hAnsi="Book Antiqua" w:cs="Times New Roman"/>
        </w:rPr>
        <w:t>345</w:t>
      </w:r>
      <w:r w:rsidR="004604BC">
        <w:rPr>
          <w:rFonts w:ascii="Book Antiqua" w:eastAsia="Times New Roman" w:hAnsi="Book Antiqua" w:cs="Times New Roman"/>
        </w:rPr>
        <w:t xml:space="preserve"> </w:t>
      </w:r>
    </w:p>
    <w:p w14:paraId="38386E94" w14:textId="77777777" w:rsidR="00195D7B" w:rsidRDefault="00195D7B" w:rsidP="00195D7B">
      <w:pPr>
        <w:ind w:right="-187"/>
        <w:jc w:val="both"/>
        <w:rPr>
          <w:rFonts w:ascii="Book Antiqua" w:eastAsia="Times New Roman" w:hAnsi="Book Antiqua" w:cs="Times New Roman"/>
        </w:rPr>
      </w:pPr>
    </w:p>
    <w:p w14:paraId="614A81D1" w14:textId="77777777" w:rsidR="00AE74F2" w:rsidRDefault="00711B94" w:rsidP="00AE74F2">
      <w:pPr>
        <w:ind w:left="2880" w:right="-187" w:hanging="2880"/>
        <w:jc w:val="both"/>
        <w:rPr>
          <w:rFonts w:ascii="Book Antiqua" w:eastAsia="Times New Roman" w:hAnsi="Book Antiqua" w:cs="Times New Roman"/>
        </w:rPr>
      </w:pPr>
      <w:r>
        <w:rPr>
          <w:rFonts w:ascii="Book Antiqua" w:eastAsia="Times New Roman" w:hAnsi="Book Antiqua" w:cs="Times New Roman"/>
        </w:rPr>
        <w:t xml:space="preserve">CLASS TIME: </w:t>
      </w:r>
      <w:r>
        <w:rPr>
          <w:rFonts w:ascii="Book Antiqua" w:eastAsia="Times New Roman" w:hAnsi="Book Antiqua" w:cs="Times New Roman"/>
        </w:rPr>
        <w:tab/>
      </w:r>
      <w:r w:rsidR="00BF5891">
        <w:rPr>
          <w:rFonts w:ascii="Book Antiqua" w:eastAsia="Times New Roman" w:hAnsi="Book Antiqua" w:cs="Times New Roman"/>
        </w:rPr>
        <w:t>Monday   3</w:t>
      </w:r>
      <w:r>
        <w:rPr>
          <w:rFonts w:ascii="Book Antiqua" w:eastAsia="Times New Roman" w:hAnsi="Book Antiqua" w:cs="Times New Roman"/>
        </w:rPr>
        <w:t>:</w:t>
      </w:r>
      <w:r w:rsidR="00BF5891">
        <w:rPr>
          <w:rFonts w:ascii="Book Antiqua" w:eastAsia="Times New Roman" w:hAnsi="Book Antiqua" w:cs="Times New Roman"/>
        </w:rPr>
        <w:t>3</w:t>
      </w:r>
      <w:r>
        <w:rPr>
          <w:rFonts w:ascii="Book Antiqua" w:eastAsia="Times New Roman" w:hAnsi="Book Antiqua" w:cs="Times New Roman"/>
        </w:rPr>
        <w:t>0</w:t>
      </w:r>
      <w:r w:rsidR="00BF5891">
        <w:rPr>
          <w:rFonts w:ascii="Book Antiqua" w:eastAsia="Times New Roman" w:hAnsi="Book Antiqua" w:cs="Times New Roman"/>
        </w:rPr>
        <w:t>p</w:t>
      </w:r>
      <w:r>
        <w:rPr>
          <w:rFonts w:ascii="Book Antiqua" w:eastAsia="Times New Roman" w:hAnsi="Book Antiqua" w:cs="Times New Roman"/>
        </w:rPr>
        <w:t xml:space="preserve">m to </w:t>
      </w:r>
      <w:r w:rsidR="00BF5891">
        <w:rPr>
          <w:rFonts w:ascii="Book Antiqua" w:eastAsia="Times New Roman" w:hAnsi="Book Antiqua" w:cs="Times New Roman"/>
        </w:rPr>
        <w:t>5</w:t>
      </w:r>
      <w:r>
        <w:rPr>
          <w:rFonts w:ascii="Book Antiqua" w:eastAsia="Times New Roman" w:hAnsi="Book Antiqua" w:cs="Times New Roman"/>
        </w:rPr>
        <w:t>:</w:t>
      </w:r>
      <w:r w:rsidR="00BF5891">
        <w:rPr>
          <w:rFonts w:ascii="Book Antiqua" w:eastAsia="Times New Roman" w:hAnsi="Book Antiqua" w:cs="Times New Roman"/>
        </w:rPr>
        <w:t>3</w:t>
      </w:r>
      <w:r w:rsidR="00174694">
        <w:rPr>
          <w:rFonts w:ascii="Book Antiqua" w:eastAsia="Times New Roman" w:hAnsi="Book Antiqua" w:cs="Times New Roman"/>
        </w:rPr>
        <w:t>0p</w:t>
      </w:r>
      <w:r>
        <w:rPr>
          <w:rFonts w:ascii="Book Antiqua" w:eastAsia="Times New Roman" w:hAnsi="Book Antiqua" w:cs="Times New Roman"/>
        </w:rPr>
        <w:t>m</w:t>
      </w:r>
      <w:r w:rsidR="00174694">
        <w:rPr>
          <w:rFonts w:ascii="Book Antiqua" w:eastAsia="Times New Roman" w:hAnsi="Book Antiqua" w:cs="Times New Roman"/>
        </w:rPr>
        <w:t xml:space="preserve"> </w:t>
      </w:r>
    </w:p>
    <w:p w14:paraId="4420DA7F" w14:textId="5F5915B4" w:rsidR="00711B94" w:rsidRDefault="00174694" w:rsidP="00AE74F2">
      <w:pPr>
        <w:ind w:left="2880" w:right="-187"/>
        <w:jc w:val="both"/>
        <w:rPr>
          <w:rFonts w:ascii="Book Antiqua" w:eastAsia="Times New Roman" w:hAnsi="Book Antiqua" w:cs="Times New Roman"/>
        </w:rPr>
      </w:pPr>
      <w:r>
        <w:rPr>
          <w:rFonts w:ascii="Book Antiqua" w:eastAsia="Times New Roman" w:hAnsi="Book Antiqua" w:cs="Times New Roman"/>
        </w:rPr>
        <w:t>(</w:t>
      </w:r>
      <w:proofErr w:type="gramStart"/>
      <w:r w:rsidR="00AE74F2">
        <w:rPr>
          <w:rFonts w:ascii="Book Antiqua" w:eastAsia="Times New Roman" w:hAnsi="Book Antiqua" w:cs="Times New Roman"/>
        </w:rPr>
        <w:t>two</w:t>
      </w:r>
      <w:proofErr w:type="gramEnd"/>
      <w:r w:rsidR="00AE74F2">
        <w:rPr>
          <w:rFonts w:ascii="Book Antiqua" w:eastAsia="Times New Roman" w:hAnsi="Book Antiqua" w:cs="Times New Roman"/>
        </w:rPr>
        <w:t xml:space="preserve"> 55-minute sessions, and </w:t>
      </w:r>
      <w:r>
        <w:rPr>
          <w:rFonts w:ascii="Book Antiqua" w:eastAsia="Times New Roman" w:hAnsi="Book Antiqua" w:cs="Times New Roman"/>
        </w:rPr>
        <w:t>10</w:t>
      </w:r>
      <w:r w:rsidR="00BF5891">
        <w:rPr>
          <w:rFonts w:ascii="Book Antiqua" w:eastAsia="Times New Roman" w:hAnsi="Book Antiqua" w:cs="Times New Roman"/>
        </w:rPr>
        <w:t>-</w:t>
      </w:r>
      <w:r>
        <w:rPr>
          <w:rFonts w:ascii="Book Antiqua" w:eastAsia="Times New Roman" w:hAnsi="Book Antiqua" w:cs="Times New Roman"/>
        </w:rPr>
        <w:t>minute break</w:t>
      </w:r>
      <w:r w:rsidR="00E17337">
        <w:rPr>
          <w:rFonts w:ascii="Book Antiqua" w:eastAsia="Times New Roman" w:hAnsi="Book Antiqua" w:cs="Times New Roman"/>
        </w:rPr>
        <w:t xml:space="preserve"> between</w:t>
      </w:r>
      <w:r>
        <w:rPr>
          <w:rFonts w:ascii="Book Antiqua" w:eastAsia="Times New Roman" w:hAnsi="Book Antiqua" w:cs="Times New Roman"/>
        </w:rPr>
        <w:t xml:space="preserve">) </w:t>
      </w:r>
    </w:p>
    <w:p w14:paraId="3B6B1E9E" w14:textId="77777777" w:rsidR="00711B94" w:rsidRPr="00423960" w:rsidRDefault="00711B94" w:rsidP="00711B94">
      <w:pPr>
        <w:ind w:right="-187"/>
        <w:jc w:val="both"/>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p>
    <w:p w14:paraId="17825D21" w14:textId="3DE688B3" w:rsidR="00711B94" w:rsidRDefault="00711B94" w:rsidP="00711B94">
      <w:pPr>
        <w:ind w:right="-187"/>
        <w:jc w:val="both"/>
        <w:rPr>
          <w:rFonts w:ascii="Book Antiqua" w:eastAsia="Times New Roman" w:hAnsi="Book Antiqua" w:cs="Times New Roman"/>
        </w:rPr>
      </w:pPr>
      <w:r>
        <w:rPr>
          <w:rFonts w:ascii="Book Antiqua" w:eastAsia="Times New Roman" w:hAnsi="Book Antiqua" w:cs="Times New Roman"/>
        </w:rPr>
        <w:t xml:space="preserve">OFFICE HOURS: </w:t>
      </w:r>
      <w:r>
        <w:rPr>
          <w:rFonts w:ascii="Book Antiqua" w:eastAsia="Times New Roman" w:hAnsi="Book Antiqua" w:cs="Times New Roman"/>
        </w:rPr>
        <w:tab/>
      </w:r>
      <w:r>
        <w:rPr>
          <w:rFonts w:ascii="Book Antiqua" w:eastAsia="Times New Roman" w:hAnsi="Book Antiqua" w:cs="Times New Roman"/>
        </w:rPr>
        <w:tab/>
      </w:r>
      <w:r w:rsidR="00BF5891">
        <w:rPr>
          <w:rFonts w:ascii="Book Antiqua" w:eastAsia="Times New Roman" w:hAnsi="Book Antiqua" w:cs="Times New Roman"/>
        </w:rPr>
        <w:t xml:space="preserve">Mondays &amp; </w:t>
      </w:r>
      <w:proofErr w:type="gramStart"/>
      <w:r w:rsidR="00BF5891">
        <w:rPr>
          <w:rFonts w:ascii="Book Antiqua" w:eastAsia="Times New Roman" w:hAnsi="Book Antiqua" w:cs="Times New Roman"/>
        </w:rPr>
        <w:t xml:space="preserve">Tuesdays  </w:t>
      </w:r>
      <w:r>
        <w:rPr>
          <w:rFonts w:ascii="Book Antiqua" w:eastAsia="Times New Roman" w:hAnsi="Book Antiqua" w:cs="Times New Roman"/>
        </w:rPr>
        <w:t>1</w:t>
      </w:r>
      <w:r w:rsidR="00174694">
        <w:rPr>
          <w:rFonts w:ascii="Book Antiqua" w:eastAsia="Times New Roman" w:hAnsi="Book Antiqua" w:cs="Times New Roman"/>
        </w:rPr>
        <w:t>2</w:t>
      </w:r>
      <w:r>
        <w:rPr>
          <w:rFonts w:ascii="Book Antiqua" w:eastAsia="Times New Roman" w:hAnsi="Book Antiqua" w:cs="Times New Roman"/>
        </w:rPr>
        <w:t>:</w:t>
      </w:r>
      <w:r w:rsidR="00174694">
        <w:rPr>
          <w:rFonts w:ascii="Book Antiqua" w:eastAsia="Times New Roman" w:hAnsi="Book Antiqua" w:cs="Times New Roman"/>
        </w:rPr>
        <w:t>00</w:t>
      </w:r>
      <w:proofErr w:type="gramEnd"/>
      <w:r w:rsidR="00174694">
        <w:rPr>
          <w:rFonts w:ascii="Book Antiqua" w:eastAsia="Times New Roman" w:hAnsi="Book Antiqua" w:cs="Times New Roman"/>
        </w:rPr>
        <w:t>p</w:t>
      </w:r>
      <w:r>
        <w:rPr>
          <w:rFonts w:ascii="Book Antiqua" w:eastAsia="Times New Roman" w:hAnsi="Book Antiqua" w:cs="Times New Roman"/>
        </w:rPr>
        <w:t>m to 1:</w:t>
      </w:r>
      <w:r w:rsidR="00174694">
        <w:rPr>
          <w:rFonts w:ascii="Book Antiqua" w:eastAsia="Times New Roman" w:hAnsi="Book Antiqua" w:cs="Times New Roman"/>
        </w:rPr>
        <w:t>0</w:t>
      </w:r>
      <w:r>
        <w:rPr>
          <w:rFonts w:ascii="Book Antiqua" w:eastAsia="Times New Roman" w:hAnsi="Book Antiqua" w:cs="Times New Roman"/>
        </w:rPr>
        <w:t>0</w:t>
      </w:r>
      <w:r w:rsidR="00174694">
        <w:rPr>
          <w:rFonts w:ascii="Book Antiqua" w:eastAsia="Times New Roman" w:hAnsi="Book Antiqua" w:cs="Times New Roman"/>
        </w:rPr>
        <w:t>p</w:t>
      </w:r>
      <w:r>
        <w:rPr>
          <w:rFonts w:ascii="Book Antiqua" w:eastAsia="Times New Roman" w:hAnsi="Book Antiqua" w:cs="Times New Roman"/>
        </w:rPr>
        <w:t>m</w:t>
      </w:r>
    </w:p>
    <w:p w14:paraId="27D00C85" w14:textId="355815AA" w:rsidR="00292FBF" w:rsidRDefault="00292FBF">
      <w:pPr>
        <w:pStyle w:val="ListParagraph"/>
        <w:numPr>
          <w:ilvl w:val="4"/>
          <w:numId w:val="2"/>
        </w:numPr>
        <w:ind w:left="3240" w:right="-187"/>
        <w:jc w:val="both"/>
        <w:rPr>
          <w:rFonts w:ascii="Book Antiqua" w:eastAsia="Times New Roman" w:hAnsi="Book Antiqua" w:cs="Times New Roman"/>
        </w:rPr>
      </w:pPr>
      <w:r w:rsidRPr="00292FBF">
        <w:rPr>
          <w:rFonts w:ascii="Book Antiqua" w:eastAsia="Times New Roman" w:hAnsi="Book Antiqua" w:cs="Times New Roman"/>
        </w:rPr>
        <w:t>O</w:t>
      </w:r>
      <w:r w:rsidR="00407736" w:rsidRPr="00292FBF">
        <w:rPr>
          <w:rFonts w:ascii="Book Antiqua" w:eastAsia="Times New Roman" w:hAnsi="Book Antiqua" w:cs="Times New Roman"/>
        </w:rPr>
        <w:t xml:space="preserve">ffice hours will </w:t>
      </w:r>
      <w:r w:rsidR="00386A01">
        <w:rPr>
          <w:rFonts w:ascii="Book Antiqua" w:eastAsia="Times New Roman" w:hAnsi="Book Antiqua" w:cs="Times New Roman"/>
        </w:rPr>
        <w:t xml:space="preserve">always </w:t>
      </w:r>
      <w:r w:rsidR="00407736" w:rsidRPr="00292FBF">
        <w:rPr>
          <w:rFonts w:ascii="Book Antiqua" w:eastAsia="Times New Roman" w:hAnsi="Book Antiqua" w:cs="Times New Roman"/>
        </w:rPr>
        <w:t>be consistent with</w:t>
      </w:r>
      <w:r w:rsidR="00B1412B" w:rsidRPr="00292FBF">
        <w:rPr>
          <w:rFonts w:ascii="Book Antiqua" w:eastAsia="Times New Roman" w:hAnsi="Book Antiqua" w:cs="Times New Roman"/>
        </w:rPr>
        <w:t xml:space="preserve"> </w:t>
      </w:r>
      <w:r w:rsidR="00871196">
        <w:rPr>
          <w:rFonts w:ascii="Book Antiqua" w:eastAsia="Times New Roman" w:hAnsi="Book Antiqua" w:cs="Times New Roman"/>
        </w:rPr>
        <w:t xml:space="preserve">the </w:t>
      </w:r>
      <w:r w:rsidR="00B1412B" w:rsidRPr="00292FBF">
        <w:rPr>
          <w:rFonts w:ascii="Book Antiqua" w:eastAsia="Times New Roman" w:hAnsi="Book Antiqua" w:cs="Times New Roman"/>
        </w:rPr>
        <w:t>prevailing UF polic</w:t>
      </w:r>
      <w:r w:rsidR="00871196">
        <w:rPr>
          <w:rFonts w:ascii="Book Antiqua" w:eastAsia="Times New Roman" w:hAnsi="Book Antiqua" w:cs="Times New Roman"/>
        </w:rPr>
        <w:t xml:space="preserve">y. </w:t>
      </w:r>
    </w:p>
    <w:p w14:paraId="5523E1FA" w14:textId="0B5DA00A" w:rsidR="00C765BA" w:rsidRPr="00C765BA" w:rsidRDefault="00871196">
      <w:pPr>
        <w:pStyle w:val="ListParagraph"/>
        <w:numPr>
          <w:ilvl w:val="4"/>
          <w:numId w:val="2"/>
        </w:numPr>
        <w:ind w:left="3240" w:right="-187"/>
        <w:jc w:val="both"/>
        <w:rPr>
          <w:rFonts w:ascii="Book Antiqua" w:eastAsia="Times New Roman" w:hAnsi="Book Antiqua" w:cs="Times New Roman"/>
        </w:rPr>
      </w:pPr>
      <w:r>
        <w:rPr>
          <w:rFonts w:ascii="Book Antiqua" w:eastAsia="Times New Roman" w:hAnsi="Book Antiqua" w:cs="Times New Roman"/>
        </w:rPr>
        <w:t xml:space="preserve">Office hours can be through </w:t>
      </w:r>
      <w:r w:rsidR="00C765BA" w:rsidRPr="00292FBF">
        <w:rPr>
          <w:rFonts w:ascii="Book Antiqua" w:eastAsia="Times New Roman" w:hAnsi="Book Antiqua" w:cs="Times New Roman"/>
        </w:rPr>
        <w:t>Zoom, telephone, or in person</w:t>
      </w:r>
      <w:r w:rsidR="00386A01">
        <w:rPr>
          <w:rFonts w:ascii="Book Antiqua" w:eastAsia="Times New Roman" w:hAnsi="Book Antiqua" w:cs="Times New Roman"/>
        </w:rPr>
        <w:t xml:space="preserve"> (if UF policy permits)</w:t>
      </w:r>
      <w:r w:rsidR="00C765BA">
        <w:rPr>
          <w:rFonts w:ascii="Book Antiqua" w:eastAsia="Times New Roman" w:hAnsi="Book Antiqua" w:cs="Times New Roman"/>
        </w:rPr>
        <w:t xml:space="preserve">, </w:t>
      </w:r>
      <w:r>
        <w:rPr>
          <w:rFonts w:ascii="Book Antiqua" w:eastAsia="Times New Roman" w:hAnsi="Book Antiqua" w:cs="Times New Roman"/>
        </w:rPr>
        <w:t xml:space="preserve">and there are </w:t>
      </w:r>
      <w:r w:rsidR="00C765BA">
        <w:rPr>
          <w:rFonts w:ascii="Book Antiqua" w:eastAsia="Times New Roman" w:hAnsi="Book Antiqua" w:cs="Times New Roman"/>
        </w:rPr>
        <w:t>no restrictions on any of these methods</w:t>
      </w:r>
      <w:r>
        <w:rPr>
          <w:rFonts w:ascii="Book Antiqua" w:eastAsia="Times New Roman" w:hAnsi="Book Antiqua" w:cs="Times New Roman"/>
        </w:rPr>
        <w:t xml:space="preserve">. </w:t>
      </w:r>
      <w:r w:rsidR="00C765BA">
        <w:rPr>
          <w:rFonts w:ascii="Book Antiqua" w:eastAsia="Times New Roman" w:hAnsi="Book Antiqua" w:cs="Times New Roman"/>
        </w:rPr>
        <w:t xml:space="preserve"> </w:t>
      </w:r>
    </w:p>
    <w:p w14:paraId="2A426C47" w14:textId="77777777" w:rsidR="00711B94" w:rsidRPr="00423960" w:rsidRDefault="00711B94" w:rsidP="00711B94">
      <w:pPr>
        <w:ind w:right="-187"/>
        <w:jc w:val="both"/>
        <w:rPr>
          <w:rFonts w:ascii="Book Antiqua" w:eastAsia="Times New Roman" w:hAnsi="Book Antiqua" w:cs="Times New Roman"/>
        </w:rPr>
      </w:pPr>
    </w:p>
    <w:p w14:paraId="5140AA59" w14:textId="627E3EEF" w:rsidR="00711B94" w:rsidRDefault="00711B94" w:rsidP="00711B94">
      <w:pPr>
        <w:autoSpaceDE w:val="0"/>
        <w:autoSpaceDN w:val="0"/>
        <w:adjustRightInd w:val="0"/>
        <w:ind w:left="2880" w:hanging="2880"/>
        <w:jc w:val="both"/>
      </w:pPr>
      <w:r>
        <w:rPr>
          <w:rFonts w:ascii="Book Antiqua" w:eastAsia="Times New Roman" w:hAnsi="Book Antiqua" w:cs="Times New Roman"/>
        </w:rPr>
        <w:t xml:space="preserve">FINAL EXAM:  </w:t>
      </w:r>
      <w:r>
        <w:rPr>
          <w:rFonts w:ascii="Book Antiqua" w:eastAsia="Times New Roman" w:hAnsi="Book Antiqua" w:cs="Times New Roman"/>
        </w:rPr>
        <w:tab/>
      </w:r>
      <w:r w:rsidR="00980D51">
        <w:rPr>
          <w:rFonts w:ascii="Book Antiqua" w:eastAsia="Times New Roman" w:hAnsi="Book Antiqua" w:cs="Times New Roman"/>
        </w:rPr>
        <w:t>TBD</w:t>
      </w:r>
      <w:r w:rsidR="00407736">
        <w:t xml:space="preserve"> (</w:t>
      </w:r>
      <w:r w:rsidR="00174694">
        <w:t>3</w:t>
      </w:r>
      <w:r w:rsidR="00407736">
        <w:t xml:space="preserve"> hours) </w:t>
      </w:r>
    </w:p>
    <w:p w14:paraId="4404A00B" w14:textId="77777777" w:rsidR="00E82630" w:rsidRPr="00A664FE" w:rsidRDefault="00E82630" w:rsidP="00B1412B">
      <w:pPr>
        <w:autoSpaceDE w:val="0"/>
        <w:autoSpaceDN w:val="0"/>
        <w:adjustRightInd w:val="0"/>
        <w:jc w:val="both"/>
      </w:pPr>
    </w:p>
    <w:p w14:paraId="399C9180" w14:textId="77777777" w:rsidR="0039279E" w:rsidRPr="00423960" w:rsidRDefault="0039279E" w:rsidP="00195D7B">
      <w:pPr>
        <w:jc w:val="both"/>
        <w:rPr>
          <w:rFonts w:ascii="Book Antiqua" w:eastAsia="Times New Roman" w:hAnsi="Book Antiqua" w:cs="Times New Roman"/>
        </w:rPr>
      </w:pPr>
    </w:p>
    <w:p w14:paraId="4686BC62" w14:textId="77777777" w:rsidR="00195D7B" w:rsidRPr="00423960" w:rsidRDefault="00195D7B" w:rsidP="00195D7B">
      <w:pPr>
        <w:jc w:val="both"/>
        <w:rPr>
          <w:rFonts w:ascii="Book Antiqua" w:eastAsia="Times New Roman" w:hAnsi="Book Antiqua" w:cs="Times New Roman"/>
          <w:b/>
        </w:rPr>
      </w:pPr>
      <w:r w:rsidRPr="00423960">
        <w:rPr>
          <w:rFonts w:ascii="Book Antiqua" w:eastAsia="Times New Roman" w:hAnsi="Book Antiqua" w:cs="Times New Roman"/>
          <w:b/>
        </w:rPr>
        <w:t xml:space="preserve">TEXTBOOKS </w:t>
      </w:r>
    </w:p>
    <w:p w14:paraId="39F5D01F" w14:textId="77777777" w:rsidR="00195D7B" w:rsidRPr="00423960" w:rsidRDefault="00195D7B" w:rsidP="00195D7B">
      <w:pPr>
        <w:jc w:val="both"/>
        <w:rPr>
          <w:rFonts w:ascii="Book Antiqua" w:eastAsia="Times New Roman" w:hAnsi="Book Antiqua" w:cs="Times New Roman"/>
          <w:b/>
        </w:rPr>
      </w:pPr>
    </w:p>
    <w:p w14:paraId="263E0AE8" w14:textId="6EFC8F4A" w:rsidR="00195D7B" w:rsidRDefault="00174694" w:rsidP="00195D7B">
      <w:pPr>
        <w:jc w:val="both"/>
      </w:pPr>
      <w:r>
        <w:t>Claire Hill, Brian Quinn &amp; Steven Solomon</w:t>
      </w:r>
      <w:r w:rsidR="00E17337">
        <w:t>, Mergers and Acquisitions: Law, Theory, and Practice</w:t>
      </w:r>
      <w:r w:rsidR="00AD33CD">
        <w:t xml:space="preserve"> (</w:t>
      </w:r>
      <w:r>
        <w:t>West 2d edition</w:t>
      </w:r>
      <w:r w:rsidR="00AD33CD">
        <w:t xml:space="preserve"> 201</w:t>
      </w:r>
      <w:r>
        <w:t>9</w:t>
      </w:r>
      <w:r w:rsidR="00AD33CD">
        <w:t xml:space="preserve">) </w:t>
      </w:r>
    </w:p>
    <w:p w14:paraId="6A11FA46" w14:textId="4EBB3AF4" w:rsidR="00412943" w:rsidRDefault="00412943" w:rsidP="00195D7B">
      <w:pPr>
        <w:jc w:val="both"/>
      </w:pPr>
    </w:p>
    <w:p w14:paraId="7FD16F37" w14:textId="2BBF1B6B" w:rsidR="00412943" w:rsidRDefault="00412943" w:rsidP="00195D7B">
      <w:pPr>
        <w:jc w:val="both"/>
      </w:pPr>
      <w:r>
        <w:t xml:space="preserve">The online appendix for the Hill, Quinn &amp; Solomon casebook is found at: </w:t>
      </w:r>
      <w:hyperlink r:id="rId6" w:history="1">
        <w:r w:rsidRPr="00611107">
          <w:rPr>
            <w:rStyle w:val="Hyperlink"/>
          </w:rPr>
          <w:t>http://www.hillmergersandacquisitions.com/public_resources.asp?ID=44</w:t>
        </w:r>
      </w:hyperlink>
      <w:r>
        <w:t xml:space="preserve">. See pages 833-34 of the casebook. </w:t>
      </w:r>
    </w:p>
    <w:p w14:paraId="0DC21991" w14:textId="6A5B82B3" w:rsidR="00302C91" w:rsidRDefault="00302C91" w:rsidP="00195D7B">
      <w:pPr>
        <w:jc w:val="both"/>
      </w:pPr>
    </w:p>
    <w:p w14:paraId="53B2019D" w14:textId="47D234D9" w:rsidR="00302C91" w:rsidRPr="00F41A69" w:rsidRDefault="00302C91" w:rsidP="00195D7B">
      <w:pPr>
        <w:jc w:val="both"/>
      </w:pPr>
      <w:r>
        <w:t xml:space="preserve">Additionally, M&amp;A deals are enabled by statutes and rules. The core substantive rules come from state corporation statutes. We will study principally Delaware General Corporation Law (DGCL). When the book refers to statutes, students should refer to the statute. It is the responsibility of students to review key provisions in the statute. The DGCL can be accessed at: </w:t>
      </w:r>
      <w:hyperlink r:id="rId7" w:history="1">
        <w:r w:rsidRPr="00172D55">
          <w:rPr>
            <w:rStyle w:val="Hyperlink"/>
          </w:rPr>
          <w:t>https://delcode.delaware.gov/title8/c001/</w:t>
        </w:r>
      </w:hyperlink>
      <w:r>
        <w:t xml:space="preserve">. The merger provisions are found in Subchapter IX.  </w:t>
      </w:r>
    </w:p>
    <w:p w14:paraId="57727787" w14:textId="77777777" w:rsidR="003042DC" w:rsidRDefault="003042DC" w:rsidP="003042DC">
      <w:pPr>
        <w:jc w:val="both"/>
        <w:rPr>
          <w:rFonts w:ascii="Book Antiqua" w:eastAsia="Times New Roman" w:hAnsi="Book Antiqua" w:cs="Times New Roman"/>
        </w:rPr>
      </w:pPr>
    </w:p>
    <w:p w14:paraId="5D6058F2" w14:textId="77777777" w:rsidR="003042DC" w:rsidRDefault="003042DC" w:rsidP="003042DC">
      <w:pPr>
        <w:jc w:val="both"/>
        <w:rPr>
          <w:rFonts w:ascii="Book Antiqua" w:eastAsia="Times New Roman" w:hAnsi="Book Antiqua" w:cs="Times New Roman"/>
          <w:b/>
        </w:rPr>
      </w:pPr>
      <w:r>
        <w:rPr>
          <w:rFonts w:ascii="Book Antiqua" w:eastAsia="Times New Roman" w:hAnsi="Book Antiqua" w:cs="Times New Roman"/>
          <w:b/>
        </w:rPr>
        <w:t>COURSE DESCRIPTION</w:t>
      </w:r>
    </w:p>
    <w:p w14:paraId="3478885D" w14:textId="77777777" w:rsidR="003042DC" w:rsidRDefault="003042DC" w:rsidP="003042DC">
      <w:pPr>
        <w:jc w:val="both"/>
        <w:rPr>
          <w:rFonts w:ascii="Georgia" w:eastAsia="Times New Roman" w:hAnsi="Georgia" w:cs="Times New Roman"/>
          <w:color w:val="333132"/>
          <w:sz w:val="27"/>
          <w:szCs w:val="27"/>
        </w:rPr>
      </w:pPr>
    </w:p>
    <w:p w14:paraId="64532C16" w14:textId="5906C478" w:rsidR="003042DC" w:rsidRDefault="00174694" w:rsidP="003042DC">
      <w:pPr>
        <w:jc w:val="both"/>
      </w:pPr>
      <w:r>
        <w:t>Mergers &amp; Acquisitions</w:t>
      </w:r>
      <w:r w:rsidR="003042DC">
        <w:t xml:space="preserve"> </w:t>
      </w:r>
      <w:r w:rsidR="003042DC" w:rsidRPr="006B5B38">
        <w:t xml:space="preserve">(LAW </w:t>
      </w:r>
      <w:r>
        <w:t>6067</w:t>
      </w:r>
      <w:r w:rsidR="003042DC" w:rsidRPr="006B5B38">
        <w:t>)</w:t>
      </w:r>
      <w:r w:rsidR="003042DC">
        <w:t xml:space="preserve">: </w:t>
      </w:r>
      <w:r w:rsidR="00FC4EBF">
        <w:t>This course is an</w:t>
      </w:r>
      <w:r w:rsidR="00FC4EBF" w:rsidRPr="00FC4EBF">
        <w:t xml:space="preserve"> advanced </w:t>
      </w:r>
      <w:r w:rsidR="00FC4EBF">
        <w:t xml:space="preserve">corporate </w:t>
      </w:r>
      <w:r w:rsidR="00FC4EBF" w:rsidRPr="00FC4EBF">
        <w:t xml:space="preserve">transactional </w:t>
      </w:r>
      <w:r w:rsidR="00FC4EBF">
        <w:t>course. It teaches the legal aspects of corporate combinations including mergers and acquisitions.</w:t>
      </w:r>
      <w:r w:rsidR="00FC4EBF" w:rsidRPr="00FC4EBF">
        <w:t xml:space="preserve"> Prerequisite: </w:t>
      </w:r>
      <w:r w:rsidR="00FC4EBF">
        <w:t xml:space="preserve">prior completion of </w:t>
      </w:r>
      <w:r w:rsidR="00FC4EBF" w:rsidRPr="00FC4EBF">
        <w:t xml:space="preserve">Corporations </w:t>
      </w:r>
      <w:r w:rsidR="00FC4EBF">
        <w:t xml:space="preserve">or Business Associations. </w:t>
      </w:r>
    </w:p>
    <w:p w14:paraId="3535315C" w14:textId="77777777" w:rsidR="00195D7B" w:rsidRDefault="00195D7B" w:rsidP="00195D7B">
      <w:pPr>
        <w:jc w:val="both"/>
        <w:rPr>
          <w:rFonts w:ascii="Book Antiqua" w:eastAsia="Times New Roman" w:hAnsi="Book Antiqua" w:cs="Times New Roman"/>
        </w:rPr>
      </w:pPr>
    </w:p>
    <w:p w14:paraId="575B0E2E" w14:textId="77777777" w:rsidR="00412943" w:rsidRDefault="00412943">
      <w:pPr>
        <w:rPr>
          <w:rFonts w:ascii="Book Antiqua" w:eastAsia="Times New Roman" w:hAnsi="Book Antiqua" w:cs="Times New Roman"/>
          <w:b/>
        </w:rPr>
      </w:pPr>
      <w:r>
        <w:rPr>
          <w:rFonts w:ascii="Book Antiqua" w:eastAsia="Times New Roman" w:hAnsi="Book Antiqua" w:cs="Times New Roman"/>
          <w:b/>
        </w:rPr>
        <w:br w:type="page"/>
      </w:r>
    </w:p>
    <w:p w14:paraId="54B37069" w14:textId="6AE11121" w:rsidR="00626746" w:rsidRPr="00800466" w:rsidRDefault="00626746" w:rsidP="00626746">
      <w:pPr>
        <w:jc w:val="both"/>
        <w:rPr>
          <w:rFonts w:ascii="Book Antiqua" w:eastAsia="Times New Roman" w:hAnsi="Book Antiqua" w:cs="Times New Roman"/>
          <w:b/>
        </w:rPr>
      </w:pPr>
      <w:r w:rsidRPr="00800466">
        <w:rPr>
          <w:rFonts w:ascii="Book Antiqua" w:eastAsia="Times New Roman" w:hAnsi="Book Antiqua" w:cs="Times New Roman"/>
          <w:b/>
        </w:rPr>
        <w:lastRenderedPageBreak/>
        <w:t xml:space="preserve">STUDENT LEARNING OUTCOMES </w:t>
      </w:r>
    </w:p>
    <w:p w14:paraId="02EC4BC2" w14:textId="77777777" w:rsidR="00DF53FF" w:rsidRPr="00423960" w:rsidRDefault="00DF53FF" w:rsidP="00DF53FF">
      <w:pPr>
        <w:jc w:val="both"/>
        <w:rPr>
          <w:rFonts w:ascii="Book Antiqua" w:eastAsia="Times New Roman" w:hAnsi="Book Antiqua" w:cs="Times New Roman"/>
        </w:rPr>
      </w:pPr>
    </w:p>
    <w:p w14:paraId="3E22FC43" w14:textId="01DBE827" w:rsidR="00DF53FF" w:rsidRDefault="00FC4EBF" w:rsidP="00195D7B">
      <w:pPr>
        <w:jc w:val="both"/>
        <w:rPr>
          <w:rFonts w:ascii="Book Antiqua" w:eastAsia="Times New Roman" w:hAnsi="Book Antiqua" w:cs="Times New Roman"/>
        </w:rPr>
      </w:pPr>
      <w:r>
        <w:rPr>
          <w:rFonts w:ascii="Book Antiqua" w:eastAsia="Times New Roman" w:hAnsi="Book Antiqua" w:cs="Times New Roman"/>
        </w:rPr>
        <w:t>Mergers and acquisitions</w:t>
      </w:r>
      <w:r w:rsidR="00DF53FF">
        <w:rPr>
          <w:rFonts w:ascii="Book Antiqua" w:eastAsia="Times New Roman" w:hAnsi="Book Antiqua" w:cs="Times New Roman"/>
        </w:rPr>
        <w:t xml:space="preserve"> transactions are some of the </w:t>
      </w:r>
      <w:r>
        <w:rPr>
          <w:rFonts w:ascii="Book Antiqua" w:eastAsia="Times New Roman" w:hAnsi="Book Antiqua" w:cs="Times New Roman"/>
        </w:rPr>
        <w:t>most important</w:t>
      </w:r>
      <w:r w:rsidR="00DF53FF">
        <w:rPr>
          <w:rFonts w:ascii="Book Antiqua" w:eastAsia="Times New Roman" w:hAnsi="Book Antiqua" w:cs="Times New Roman"/>
        </w:rPr>
        <w:t xml:space="preserve"> corporate transactions in the practice of business and corporate law. Whenever a corporate seeks </w:t>
      </w:r>
      <w:r>
        <w:rPr>
          <w:rFonts w:ascii="Book Antiqua" w:eastAsia="Times New Roman" w:hAnsi="Book Antiqua" w:cs="Times New Roman"/>
        </w:rPr>
        <w:t>to do an M&amp;A transaction</w:t>
      </w:r>
      <w:r w:rsidR="00DF53FF">
        <w:rPr>
          <w:rFonts w:ascii="Book Antiqua" w:eastAsia="Times New Roman" w:hAnsi="Book Antiqua" w:cs="Times New Roman"/>
        </w:rPr>
        <w:t xml:space="preserve">, the laws of </w:t>
      </w:r>
      <w:r>
        <w:rPr>
          <w:rFonts w:ascii="Book Antiqua" w:eastAsia="Times New Roman" w:hAnsi="Book Antiqua" w:cs="Times New Roman"/>
        </w:rPr>
        <w:t>mergers and acquisitions</w:t>
      </w:r>
      <w:r w:rsidR="00DF53FF">
        <w:rPr>
          <w:rFonts w:ascii="Book Antiqua" w:eastAsia="Times New Roman" w:hAnsi="Book Antiqua" w:cs="Times New Roman"/>
        </w:rPr>
        <w:t xml:space="preserve"> are always involved. This course teaches the basic legal </w:t>
      </w:r>
      <w:r>
        <w:rPr>
          <w:rFonts w:ascii="Book Antiqua" w:eastAsia="Times New Roman" w:hAnsi="Book Antiqua" w:cs="Times New Roman"/>
        </w:rPr>
        <w:t>and business issues involved in these kinds of transactions</w:t>
      </w:r>
      <w:r w:rsidR="00DF53FF">
        <w:rPr>
          <w:rFonts w:ascii="Book Antiqua" w:eastAsia="Times New Roman" w:hAnsi="Book Antiqua" w:cs="Times New Roman"/>
        </w:rPr>
        <w:t xml:space="preserve">. </w:t>
      </w:r>
    </w:p>
    <w:p w14:paraId="5F346551" w14:textId="77777777" w:rsidR="00626746" w:rsidRDefault="00626746" w:rsidP="00626746">
      <w:pPr>
        <w:jc w:val="both"/>
      </w:pPr>
    </w:p>
    <w:p w14:paraId="781FB023" w14:textId="77777777" w:rsidR="00626746" w:rsidRDefault="00626746" w:rsidP="00626746">
      <w:pPr>
        <w:jc w:val="both"/>
      </w:pPr>
      <w:r w:rsidRPr="0068569A">
        <w:t>After completing this course, students should be able to:</w:t>
      </w:r>
    </w:p>
    <w:p w14:paraId="72B51524" w14:textId="08472977" w:rsidR="00626746" w:rsidRDefault="00626746">
      <w:pPr>
        <w:pStyle w:val="ListParagraph"/>
        <w:numPr>
          <w:ilvl w:val="0"/>
          <w:numId w:val="1"/>
        </w:numPr>
        <w:jc w:val="both"/>
      </w:pPr>
      <w:r>
        <w:t xml:space="preserve">Know and analyze the legal </w:t>
      </w:r>
      <w:r w:rsidR="00FC4EBF">
        <w:t>issues</w:t>
      </w:r>
      <w:r w:rsidR="004300A5">
        <w:t xml:space="preserve"> related to various </w:t>
      </w:r>
      <w:r w:rsidR="00FC4EBF">
        <w:t>kinds of M&amp;A transactions and deal structures</w:t>
      </w:r>
      <w:r w:rsidR="004B24C1">
        <w:t>.</w:t>
      </w:r>
    </w:p>
    <w:p w14:paraId="27F8EB9C" w14:textId="14DCBCDF" w:rsidR="00626746" w:rsidRDefault="00626746">
      <w:pPr>
        <w:pStyle w:val="ListParagraph"/>
        <w:numPr>
          <w:ilvl w:val="0"/>
          <w:numId w:val="1"/>
        </w:numPr>
        <w:jc w:val="both"/>
      </w:pPr>
      <w:r>
        <w:t xml:space="preserve">Consider issues related to advising the board and officers of matters arising under </w:t>
      </w:r>
      <w:r w:rsidR="00FC4EBF">
        <w:t>M&amp;A deals</w:t>
      </w:r>
      <w:r>
        <w:t>, including issues related to their fiduciary duties</w:t>
      </w:r>
      <w:r w:rsidR="004B24C1">
        <w:t>.</w:t>
      </w:r>
    </w:p>
    <w:p w14:paraId="137377F2" w14:textId="76904D23" w:rsidR="00626746" w:rsidRDefault="00626746">
      <w:pPr>
        <w:pStyle w:val="ListParagraph"/>
        <w:numPr>
          <w:ilvl w:val="0"/>
          <w:numId w:val="1"/>
        </w:numPr>
        <w:jc w:val="both"/>
      </w:pPr>
      <w:r>
        <w:t xml:space="preserve">Know basic aspects of </w:t>
      </w:r>
      <w:r w:rsidR="00657103">
        <w:t xml:space="preserve">transaction structures including statutory mergers, triangular mergers, sale of all or substantially all assets. </w:t>
      </w:r>
    </w:p>
    <w:p w14:paraId="4FCD4233" w14:textId="7DABA6CA" w:rsidR="00626746" w:rsidRDefault="00626746">
      <w:pPr>
        <w:pStyle w:val="ListParagraph"/>
        <w:numPr>
          <w:ilvl w:val="0"/>
          <w:numId w:val="1"/>
        </w:numPr>
        <w:jc w:val="both"/>
      </w:pPr>
      <w:r>
        <w:t xml:space="preserve">Know and apply basic business concepts in accounting, finance, and economics specifically relevant and related to the understanding of corporations and </w:t>
      </w:r>
      <w:r w:rsidR="00FC4EBF">
        <w:t>transactions</w:t>
      </w:r>
      <w:r w:rsidR="00657103">
        <w:t xml:space="preserve">, including accounting and valuation issues. </w:t>
      </w:r>
    </w:p>
    <w:p w14:paraId="6CCA3851" w14:textId="4C9A5EF1" w:rsidR="00AB3EBA" w:rsidRPr="00800466" w:rsidRDefault="00626746">
      <w:pPr>
        <w:pStyle w:val="ListParagraph"/>
        <w:numPr>
          <w:ilvl w:val="0"/>
          <w:numId w:val="1"/>
        </w:numPr>
        <w:jc w:val="both"/>
      </w:pPr>
      <w:r>
        <w:t xml:space="preserve">Read and analyze essential corporate documents such as </w:t>
      </w:r>
      <w:r w:rsidR="003D0CC5">
        <w:t>merger proxies and acquisition agreements</w:t>
      </w:r>
      <w:r>
        <w:t xml:space="preserve">. </w:t>
      </w:r>
    </w:p>
    <w:p w14:paraId="24DF7257" w14:textId="77777777" w:rsidR="00626746" w:rsidRPr="00DF53FF" w:rsidRDefault="00626746" w:rsidP="00195D7B">
      <w:pPr>
        <w:jc w:val="both"/>
      </w:pPr>
    </w:p>
    <w:p w14:paraId="08543C59" w14:textId="77777777" w:rsidR="0052514D" w:rsidRPr="00423960" w:rsidRDefault="0052514D" w:rsidP="0052514D">
      <w:pPr>
        <w:jc w:val="both"/>
        <w:rPr>
          <w:rFonts w:ascii="Book Antiqua" w:eastAsia="Times New Roman" w:hAnsi="Book Antiqua" w:cs="Times New Roman"/>
          <w:b/>
        </w:rPr>
      </w:pPr>
      <w:r>
        <w:rPr>
          <w:rFonts w:ascii="Book Antiqua" w:eastAsia="Times New Roman" w:hAnsi="Book Antiqua" w:cs="Times New Roman"/>
          <w:b/>
        </w:rPr>
        <w:t>REQUIRED READING MATERIALS</w:t>
      </w:r>
      <w:r w:rsidRPr="00423960">
        <w:rPr>
          <w:rFonts w:ascii="Book Antiqua" w:eastAsia="Times New Roman" w:hAnsi="Book Antiqua" w:cs="Times New Roman"/>
          <w:b/>
        </w:rPr>
        <w:t xml:space="preserve"> </w:t>
      </w:r>
    </w:p>
    <w:p w14:paraId="229BD4FC" w14:textId="77777777" w:rsidR="0052514D" w:rsidRPr="00423960" w:rsidRDefault="0052514D" w:rsidP="0052514D">
      <w:pPr>
        <w:jc w:val="both"/>
        <w:rPr>
          <w:rFonts w:ascii="Book Antiqua" w:eastAsia="Times New Roman" w:hAnsi="Book Antiqua" w:cs="Times New Roman"/>
          <w:b/>
        </w:rPr>
      </w:pPr>
    </w:p>
    <w:p w14:paraId="4F46994B" w14:textId="77777777" w:rsidR="0052514D" w:rsidRPr="001D0D2C" w:rsidRDefault="0052514D" w:rsidP="0052514D">
      <w:pPr>
        <w:jc w:val="both"/>
      </w:pPr>
      <w:r w:rsidRPr="00F83637">
        <w:t>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p>
    <w:p w14:paraId="6273B29A" w14:textId="77777777" w:rsidR="0052514D" w:rsidRDefault="0052514D" w:rsidP="0052514D">
      <w:pPr>
        <w:rPr>
          <w:rFonts w:ascii="Book Antiqua" w:eastAsia="Times New Roman" w:hAnsi="Book Antiqua" w:cs="Times New Roman"/>
          <w:b/>
        </w:rPr>
      </w:pPr>
    </w:p>
    <w:p w14:paraId="0B97AE6B" w14:textId="77777777" w:rsidR="0052514D" w:rsidRPr="00423960" w:rsidRDefault="0052514D" w:rsidP="0052514D">
      <w:pPr>
        <w:rPr>
          <w:rFonts w:ascii="Book Antiqua" w:eastAsia="Times New Roman" w:hAnsi="Book Antiqua" w:cs="Times New Roman"/>
          <w:b/>
        </w:rPr>
      </w:pPr>
      <w:r>
        <w:rPr>
          <w:rFonts w:ascii="Book Antiqua" w:eastAsia="Times New Roman" w:hAnsi="Book Antiqua" w:cs="Times New Roman"/>
          <w:b/>
        </w:rPr>
        <w:t xml:space="preserve">COURSE EXPECTATIONS AND </w:t>
      </w:r>
      <w:r w:rsidRPr="00423960">
        <w:rPr>
          <w:rFonts w:ascii="Book Antiqua" w:eastAsia="Times New Roman" w:hAnsi="Book Antiqua" w:cs="Times New Roman"/>
          <w:b/>
        </w:rPr>
        <w:t>GRADING</w:t>
      </w:r>
      <w:r>
        <w:rPr>
          <w:rFonts w:ascii="Book Antiqua" w:eastAsia="Times New Roman" w:hAnsi="Book Antiqua" w:cs="Times New Roman"/>
          <w:b/>
        </w:rPr>
        <w:t xml:space="preserve"> EVALUATIONS</w:t>
      </w:r>
    </w:p>
    <w:p w14:paraId="550AE4A2" w14:textId="77777777" w:rsidR="0052514D" w:rsidRPr="00423960" w:rsidRDefault="0052514D" w:rsidP="0052514D">
      <w:pPr>
        <w:jc w:val="both"/>
        <w:rPr>
          <w:rFonts w:ascii="Book Antiqua" w:eastAsia="Times New Roman" w:hAnsi="Book Antiqua" w:cs="Times New Roman"/>
        </w:rPr>
      </w:pPr>
    </w:p>
    <w:p w14:paraId="1DF209AC" w14:textId="77777777" w:rsidR="0052514D" w:rsidRDefault="0052514D" w:rsidP="0052514D">
      <w:pPr>
        <w:jc w:val="both"/>
        <w:rPr>
          <w:rFonts w:ascii="Book Antiqua" w:eastAsia="Times New Roman" w:hAnsi="Book Antiqua" w:cs="Times New Roman"/>
        </w:rPr>
      </w:pPr>
      <w:r w:rsidRPr="00F83637">
        <w:rPr>
          <w:rFonts w:ascii="Book Antiqua" w:eastAsia="Times New Roman" w:hAnsi="Book Antiqua" w:cs="Times New Roman"/>
        </w:rPr>
        <w:t xml:space="preserve">Students will be evaluated based upon on a final exam. </w:t>
      </w:r>
      <w:r>
        <w:rPr>
          <w:rFonts w:ascii="Book Antiqua" w:eastAsia="Times New Roman" w:hAnsi="Book Antiqua" w:cs="Times New Roman"/>
        </w:rPr>
        <w:t xml:space="preserve">Grading will be consistent with College of Law policy. </w:t>
      </w:r>
      <w:r w:rsidRPr="00423960">
        <w:rPr>
          <w:rFonts w:ascii="Book Antiqua" w:eastAsia="Times New Roman" w:hAnsi="Book Antiqua" w:cs="Times New Roman"/>
        </w:rPr>
        <w:t xml:space="preserve">Your grade will be based on </w:t>
      </w:r>
      <w:r>
        <w:rPr>
          <w:rFonts w:ascii="Book Antiqua" w:eastAsia="Times New Roman" w:hAnsi="Book Antiqua" w:cs="Times New Roman"/>
        </w:rPr>
        <w:t>a final exam (100% of the final grade)</w:t>
      </w:r>
      <w:r w:rsidRPr="00423960">
        <w:rPr>
          <w:rFonts w:ascii="Book Antiqua" w:eastAsia="Times New Roman" w:hAnsi="Book Antiqua" w:cs="Times New Roman"/>
        </w:rPr>
        <w:t>. Exam grades are done on a blind basis. All grades are final. There will be no regrading or revisions from me, except to correct any mathematical or clerical errors in computing the final score.</w:t>
      </w:r>
    </w:p>
    <w:p w14:paraId="6969D7C2" w14:textId="77777777" w:rsidR="0052514D" w:rsidRDefault="0052514D" w:rsidP="0052514D">
      <w:pPr>
        <w:jc w:val="both"/>
        <w:rPr>
          <w:rFonts w:ascii="Book Antiqua" w:eastAsia="Times New Roman" w:hAnsi="Book Antiqua" w:cs="Times New Roman"/>
        </w:rPr>
      </w:pPr>
    </w:p>
    <w:p w14:paraId="1C872A3C" w14:textId="77777777" w:rsidR="0052514D" w:rsidRPr="00F83637" w:rsidRDefault="0052514D" w:rsidP="0052514D">
      <w:pPr>
        <w:jc w:val="both"/>
        <w:rPr>
          <w:rFonts w:ascii="Book Antiqua" w:eastAsia="Times New Roman" w:hAnsi="Book Antiqua" w:cs="Times New Roman"/>
          <w:b/>
          <w:bCs/>
        </w:rPr>
      </w:pPr>
      <w:r w:rsidRPr="00F83637">
        <w:rPr>
          <w:rFonts w:ascii="Book Antiqua" w:eastAsia="Times New Roman" w:hAnsi="Book Antiqua" w:cs="Times New Roman"/>
          <w:b/>
          <w:bCs/>
        </w:rPr>
        <w:t xml:space="preserve">COMPLIANCE WITH UF HONOR CODE </w:t>
      </w:r>
    </w:p>
    <w:p w14:paraId="086C03D6" w14:textId="77777777" w:rsidR="0052514D" w:rsidRDefault="0052514D" w:rsidP="0052514D">
      <w:pPr>
        <w:jc w:val="both"/>
        <w:rPr>
          <w:rFonts w:ascii="Book Antiqua" w:eastAsia="Times New Roman" w:hAnsi="Book Antiqua" w:cs="Times New Roman"/>
        </w:rPr>
      </w:pPr>
    </w:p>
    <w:p w14:paraId="32DBD986" w14:textId="77777777" w:rsidR="0052514D" w:rsidRPr="00F83637" w:rsidRDefault="0052514D" w:rsidP="0052514D">
      <w:pPr>
        <w:jc w:val="both"/>
      </w:pPr>
      <w:r w:rsidRPr="00F83637">
        <w:rPr>
          <w:rFonts w:eastAsia="Calibri"/>
        </w:rPr>
        <w:t>A</w:t>
      </w:r>
      <w:r w:rsidRPr="00F83637">
        <w:t xml:space="preserve">cademic honesty and integrity are fundamental values of the University community. Students should be sure that they understand the UF Law Honor Code located </w:t>
      </w:r>
      <w:hyperlink r:id="rId8" w:history="1">
        <w:r w:rsidRPr="00F83637">
          <w:rPr>
            <w:rStyle w:val="Hyperlink"/>
          </w:rPr>
          <w:t>here</w:t>
        </w:r>
      </w:hyperlink>
      <w:r w:rsidRPr="00F83637">
        <w:t xml:space="preserve">. </w:t>
      </w:r>
      <w:r w:rsidRPr="00F83637">
        <w:rPr>
          <w:color w:val="242424"/>
          <w:shd w:val="clear" w:color="auto" w:fill="FFFFFF"/>
        </w:rPr>
        <w:t xml:space="preserve">The UF Law Honor Code also prohibits use of artificial intelligence, including, but not limited to, </w:t>
      </w:r>
      <w:proofErr w:type="spellStart"/>
      <w:r w:rsidRPr="00F83637">
        <w:rPr>
          <w:color w:val="242424"/>
          <w:shd w:val="clear" w:color="auto" w:fill="FFFFFF"/>
        </w:rPr>
        <w:t>ChatGPT</w:t>
      </w:r>
      <w:proofErr w:type="spellEnd"/>
      <w:r w:rsidRPr="00F83637">
        <w:rPr>
          <w:color w:val="242424"/>
          <w:shd w:val="clear" w:color="auto" w:fill="FFFFFF"/>
        </w:rPr>
        <w:t xml:space="preserve"> and Harvey, to assist in completing quizzes, exams, papers, or other assessments.</w:t>
      </w:r>
    </w:p>
    <w:p w14:paraId="3734A6AC" w14:textId="77777777" w:rsidR="0052514D" w:rsidRPr="00F83637" w:rsidRDefault="0052514D" w:rsidP="0052514D">
      <w:pPr>
        <w:jc w:val="both"/>
        <w:rPr>
          <w:rFonts w:ascii="Book Antiqua" w:eastAsia="Times New Roman" w:hAnsi="Book Antiqua" w:cs="Times New Roman"/>
          <w:b/>
        </w:rPr>
      </w:pPr>
    </w:p>
    <w:p w14:paraId="79EAE8C7" w14:textId="77777777" w:rsidR="0052514D" w:rsidRPr="00423960" w:rsidRDefault="0052514D" w:rsidP="0052514D">
      <w:pPr>
        <w:jc w:val="both"/>
        <w:rPr>
          <w:rFonts w:ascii="Book Antiqua" w:eastAsia="Times New Roman" w:hAnsi="Book Antiqua" w:cs="Times New Roman"/>
          <w:b/>
        </w:rPr>
      </w:pPr>
      <w:r w:rsidRPr="00423960">
        <w:rPr>
          <w:rFonts w:ascii="Book Antiqua" w:eastAsia="Times New Roman" w:hAnsi="Book Antiqua" w:cs="Times New Roman"/>
          <w:b/>
        </w:rPr>
        <w:t xml:space="preserve">FINAL EXAM </w:t>
      </w:r>
      <w:r>
        <w:rPr>
          <w:rFonts w:ascii="Book Antiqua" w:eastAsia="Times New Roman" w:hAnsi="Book Antiqua" w:cs="Times New Roman"/>
          <w:b/>
        </w:rPr>
        <w:t xml:space="preserve">FORMAT </w:t>
      </w:r>
    </w:p>
    <w:p w14:paraId="43F10165" w14:textId="77777777" w:rsidR="0052514D" w:rsidRDefault="0052514D" w:rsidP="0052514D">
      <w:pPr>
        <w:jc w:val="both"/>
        <w:rPr>
          <w:rFonts w:ascii="Book Antiqua" w:eastAsia="Times New Roman" w:hAnsi="Book Antiqua" w:cs="Times New Roman"/>
        </w:rPr>
      </w:pPr>
    </w:p>
    <w:p w14:paraId="0FCF5723" w14:textId="05845BEC" w:rsidR="0052514D" w:rsidRPr="00735F3C" w:rsidRDefault="0052514D" w:rsidP="0052514D">
      <w:pPr>
        <w:jc w:val="both"/>
        <w:rPr>
          <w:rFonts w:ascii="Book Antiqua" w:eastAsia="Times New Roman" w:hAnsi="Book Antiqua" w:cs="Times New Roman"/>
          <w:sz w:val="22"/>
          <w:szCs w:val="22"/>
        </w:rPr>
      </w:pPr>
      <w:bookmarkStart w:id="0" w:name="_Hlk120736412"/>
      <w:r>
        <w:t xml:space="preserve">The final exam will follow UF’s “limited open-book” policy for in-class exams. That policy reads: </w:t>
      </w:r>
      <w:r w:rsidRPr="00657C65">
        <w:t>“</w:t>
      </w:r>
      <w:r w:rsidRPr="00657C65">
        <w:rPr>
          <w:b/>
          <w:bCs/>
        </w:rPr>
        <w:t xml:space="preserve">If a professor chooses this option, students may reference their </w:t>
      </w:r>
      <w:r w:rsidRPr="00657C65">
        <w:rPr>
          <w:b/>
          <w:bCs/>
        </w:rPr>
        <w:lastRenderedPageBreak/>
        <w:t>assigned casebook(s), supplements, or rulebooks in the course, as well as any handouts provided by the instructor during the course. Students may not bring notes or outlines to the exam, although books that are annotated by hand in the margins may be used. Students will not be permitted to access the internet or any of their computer files during the exam.</w:t>
      </w:r>
      <w:r w:rsidRPr="00657C65">
        <w:t>”</w:t>
      </w:r>
      <w:r>
        <w:rPr>
          <w:rFonts w:ascii="Book Antiqua" w:eastAsia="Times New Roman" w:hAnsi="Book Antiqua" w:cs="Times New Roman"/>
        </w:rPr>
        <w:t xml:space="preserve"> </w:t>
      </w:r>
      <w:r w:rsidRPr="00735F3C">
        <w:rPr>
          <w:rFonts w:ascii="Book Antiqua" w:hAnsi="Book Antiqua"/>
          <w:bCs/>
        </w:rPr>
        <w:t xml:space="preserve">This means that “students may </w:t>
      </w:r>
      <w:r w:rsidRPr="00735F3C">
        <w:rPr>
          <w:rFonts w:ascii="Book Antiqua" w:hAnsi="Book Antiqua"/>
          <w:b/>
        </w:rPr>
        <w:t>NOT</w:t>
      </w:r>
      <w:r w:rsidRPr="00735F3C">
        <w:rPr>
          <w:rFonts w:ascii="Book Antiqua" w:hAnsi="Book Antiqua"/>
          <w:bCs/>
        </w:rPr>
        <w:t xml:space="preserve"> bring notes or outlines to the exam” but </w:t>
      </w:r>
      <w:r w:rsidRPr="00735F3C">
        <w:rPr>
          <w:rFonts w:ascii="Book Antiqua" w:hAnsi="Book Antiqua"/>
          <w:b/>
        </w:rPr>
        <w:t>MAY</w:t>
      </w:r>
      <w:r w:rsidRPr="00735F3C">
        <w:rPr>
          <w:rFonts w:ascii="Book Antiqua" w:hAnsi="Book Antiqua"/>
          <w:bCs/>
        </w:rPr>
        <w:t xml:space="preserve"> use “assigned casebook(s) . . . as well as any handouts provided by the instructor during the course.” Handouts provided by the instructor includes the PPT slides that the professor provided (but you may </w:t>
      </w:r>
      <w:r w:rsidRPr="00735F3C">
        <w:rPr>
          <w:rFonts w:ascii="Book Antiqua" w:hAnsi="Book Antiqua"/>
          <w:b/>
        </w:rPr>
        <w:t>NOT</w:t>
      </w:r>
      <w:r w:rsidRPr="00735F3C">
        <w:rPr>
          <w:rFonts w:ascii="Book Antiqua" w:hAnsi="Book Antiqua"/>
          <w:bCs/>
        </w:rPr>
        <w:t xml:space="preserve"> annotate these handouts, and you are </w:t>
      </w:r>
      <w:r w:rsidRPr="00735F3C">
        <w:rPr>
          <w:rFonts w:ascii="Book Antiqua" w:hAnsi="Book Antiqua"/>
          <w:b/>
        </w:rPr>
        <w:t>only permitted to have hand annotations in your textbook</w:t>
      </w:r>
      <w:r w:rsidRPr="00735F3C">
        <w:rPr>
          <w:rFonts w:ascii="Book Antiqua" w:hAnsi="Book Antiqua"/>
          <w:bCs/>
        </w:rPr>
        <w:t xml:space="preserve">). </w:t>
      </w:r>
      <w:r>
        <w:rPr>
          <w:rFonts w:ascii="Book Antiqua" w:hAnsi="Book Antiqua"/>
          <w:bCs/>
        </w:rPr>
        <w:t xml:space="preserve">Students will not have access to their computer programs such as Word, PowerPoint, or Excel. </w:t>
      </w:r>
      <w:r w:rsidRPr="00735F3C">
        <w:rPr>
          <w:rFonts w:ascii="Book Antiqua" w:hAnsi="Book Antiqua"/>
          <w:bCs/>
        </w:rPr>
        <w:t xml:space="preserve">You </w:t>
      </w:r>
      <w:r w:rsidRPr="00735F3C">
        <w:rPr>
          <w:rFonts w:ascii="Book Antiqua" w:hAnsi="Book Antiqua"/>
          <w:b/>
        </w:rPr>
        <w:t>MAY</w:t>
      </w:r>
      <w:r w:rsidRPr="00735F3C">
        <w:rPr>
          <w:rFonts w:ascii="Book Antiqua" w:hAnsi="Book Antiqua"/>
          <w:bCs/>
        </w:rPr>
        <w:t xml:space="preserve"> use a handheld calculator</w:t>
      </w:r>
      <w:r>
        <w:rPr>
          <w:rFonts w:ascii="Book Antiqua" w:hAnsi="Book Antiqua"/>
          <w:bCs/>
        </w:rPr>
        <w:t xml:space="preserve"> if you wish</w:t>
      </w:r>
      <w:r w:rsidRPr="00735F3C">
        <w:rPr>
          <w:rFonts w:ascii="Book Antiqua" w:hAnsi="Book Antiqua"/>
          <w:bCs/>
        </w:rPr>
        <w:t xml:space="preserve">. </w:t>
      </w:r>
      <w:bookmarkEnd w:id="0"/>
    </w:p>
    <w:p w14:paraId="204E8C38" w14:textId="77777777" w:rsidR="0052514D" w:rsidRDefault="0052514D" w:rsidP="0052514D">
      <w:pPr>
        <w:jc w:val="both"/>
        <w:rPr>
          <w:rFonts w:ascii="Book Antiqua" w:eastAsia="Times New Roman" w:hAnsi="Book Antiqua" w:cs="Times New Roman"/>
        </w:rPr>
      </w:pPr>
    </w:p>
    <w:p w14:paraId="00660428" w14:textId="77777777" w:rsidR="0052514D" w:rsidRDefault="0052514D" w:rsidP="0052514D">
      <w:pPr>
        <w:jc w:val="both"/>
        <w:rPr>
          <w:rFonts w:ascii="Book Antiqua" w:eastAsia="Times New Roman" w:hAnsi="Book Antiqua" w:cs="Times New Roman"/>
        </w:rPr>
      </w:pPr>
      <w:r>
        <w:rPr>
          <w:rFonts w:ascii="Book Antiqua" w:eastAsia="Times New Roman" w:hAnsi="Book Antiqua" w:cs="Times New Roman"/>
        </w:rPr>
        <w:t xml:space="preserve">The final exam will have essay or essays, and </w:t>
      </w:r>
      <w:proofErr w:type="gramStart"/>
      <w:r>
        <w:rPr>
          <w:rFonts w:ascii="Book Antiqua" w:eastAsia="Times New Roman" w:hAnsi="Book Antiqua" w:cs="Times New Roman"/>
        </w:rPr>
        <w:t>multiple choice</w:t>
      </w:r>
      <w:proofErr w:type="gramEnd"/>
      <w:r>
        <w:rPr>
          <w:rFonts w:ascii="Book Antiqua" w:eastAsia="Times New Roman" w:hAnsi="Book Antiqua" w:cs="Times New Roman"/>
        </w:rPr>
        <w:t xml:space="preserve"> questions. Essay questions will be an issue-spotting, analysis, or problem-solving format typically seen in most law school exams. The issues and topics for exam questions will come from the course readings and class discussions. The exam will fairly reflect the work that is done in the course. This means that the best way to prepare for the exam is to do the class readings and to attend class.  </w:t>
      </w:r>
    </w:p>
    <w:p w14:paraId="64BA34C4" w14:textId="77777777" w:rsidR="0052514D" w:rsidRPr="00407736" w:rsidRDefault="0052514D" w:rsidP="0052514D">
      <w:pPr>
        <w:rPr>
          <w:rFonts w:ascii="Book Antiqua" w:hAnsi="Book Antiqua"/>
        </w:rPr>
      </w:pPr>
    </w:p>
    <w:p w14:paraId="568732EC" w14:textId="77777777" w:rsidR="0052514D" w:rsidRPr="008A5251" w:rsidRDefault="0052514D" w:rsidP="0052514D">
      <w:pPr>
        <w:jc w:val="both"/>
        <w:rPr>
          <w:rFonts w:ascii="Book Antiqua" w:eastAsia="Times New Roman" w:hAnsi="Book Antiqua" w:cs="Times New Roman"/>
          <w:b/>
        </w:rPr>
      </w:pPr>
      <w:r>
        <w:rPr>
          <w:rFonts w:ascii="Book Antiqua" w:eastAsia="Times New Roman" w:hAnsi="Book Antiqua" w:cs="Times New Roman"/>
          <w:b/>
        </w:rPr>
        <w:t>EXAM DELAYS AND ACCOMMODATIONS</w:t>
      </w:r>
    </w:p>
    <w:p w14:paraId="1BB9694B" w14:textId="77777777" w:rsidR="0052514D" w:rsidRDefault="0052514D" w:rsidP="0052514D">
      <w:pPr>
        <w:jc w:val="both"/>
        <w:rPr>
          <w:rFonts w:ascii="Book Antiqua" w:eastAsia="Times New Roman" w:hAnsi="Book Antiqua" w:cs="Times New Roman"/>
        </w:rPr>
      </w:pPr>
    </w:p>
    <w:p w14:paraId="330928C1" w14:textId="77777777" w:rsidR="0052514D" w:rsidRDefault="0052514D" w:rsidP="0052514D">
      <w:r w:rsidRPr="00F83637">
        <w:t xml:space="preserve">The law school policy on exam delays and accommodations can be found </w:t>
      </w:r>
      <w:hyperlink r:id="rId9" w:history="1">
        <w:r w:rsidRPr="00F83637">
          <w:rPr>
            <w:rStyle w:val="Hyperlink"/>
          </w:rPr>
          <w:t>here</w:t>
        </w:r>
      </w:hyperlink>
      <w:r w:rsidRPr="00F83637">
        <w:t>.</w:t>
      </w:r>
    </w:p>
    <w:p w14:paraId="016D4B09" w14:textId="77777777" w:rsidR="0052514D" w:rsidRPr="00407736" w:rsidRDefault="0052514D" w:rsidP="0052514D">
      <w:pPr>
        <w:rPr>
          <w:rFonts w:ascii="Book Antiqua" w:hAnsi="Book Antiqua"/>
        </w:rPr>
      </w:pPr>
    </w:p>
    <w:p w14:paraId="58E4405B" w14:textId="77777777" w:rsidR="0052514D" w:rsidRPr="00D01FEB" w:rsidRDefault="0052514D" w:rsidP="0052514D">
      <w:pPr>
        <w:rPr>
          <w:rFonts w:ascii="Book Antiqua" w:eastAsia="Times New Roman" w:hAnsi="Book Antiqua" w:cs="Times New Roman"/>
          <w:b/>
        </w:rPr>
      </w:pPr>
      <w:r w:rsidRPr="00D01FEB">
        <w:rPr>
          <w:rFonts w:ascii="Book Antiqua" w:eastAsia="Times New Roman" w:hAnsi="Book Antiqua" w:cs="Times New Roman"/>
          <w:b/>
        </w:rPr>
        <w:t xml:space="preserve">GRADING INFORMATION </w:t>
      </w:r>
    </w:p>
    <w:p w14:paraId="4785C3B8" w14:textId="77777777" w:rsidR="0052514D" w:rsidRPr="00D01FEB" w:rsidRDefault="0052514D" w:rsidP="0052514D"/>
    <w:p w14:paraId="71B234EB" w14:textId="77777777" w:rsidR="0052514D" w:rsidRDefault="0052514D" w:rsidP="0052514D">
      <w:pPr>
        <w:jc w:val="both"/>
      </w:pPr>
      <w:r w:rsidRPr="00D01FEB">
        <w:t>The Levin College of Law’s mean and mandatory distributions are posted on the College’s website and this class adheres to that posted grading policy. The following chart describes the specific letter grade/grade point equivalent in place:</w:t>
      </w:r>
    </w:p>
    <w:p w14:paraId="5CA51BB9" w14:textId="77777777" w:rsidR="0052514D" w:rsidRDefault="0052514D" w:rsidP="0052514D">
      <w:pPr>
        <w:jc w:val="both"/>
      </w:pPr>
    </w:p>
    <w:tbl>
      <w:tblPr>
        <w:tblStyle w:val="TableGrid"/>
        <w:tblW w:w="8406" w:type="dxa"/>
        <w:tblInd w:w="198" w:type="dxa"/>
        <w:tblLook w:val="04A0" w:firstRow="1" w:lastRow="0" w:firstColumn="1" w:lastColumn="0" w:noHBand="0" w:noVBand="1"/>
      </w:tblPr>
      <w:tblGrid>
        <w:gridCol w:w="2070"/>
        <w:gridCol w:w="2106"/>
        <w:gridCol w:w="2142"/>
        <w:gridCol w:w="2088"/>
      </w:tblGrid>
      <w:tr w:rsidR="0052514D" w14:paraId="0ACDCD48" w14:textId="77777777" w:rsidTr="00296A57">
        <w:tc>
          <w:tcPr>
            <w:tcW w:w="2070" w:type="dxa"/>
          </w:tcPr>
          <w:p w14:paraId="452567E4" w14:textId="77777777" w:rsidR="0052514D" w:rsidRPr="005302A1" w:rsidRDefault="0052514D" w:rsidP="00296A57">
            <w:pPr>
              <w:jc w:val="center"/>
              <w:rPr>
                <w:b/>
                <w:bCs/>
              </w:rPr>
            </w:pPr>
            <w:r w:rsidRPr="005302A1">
              <w:rPr>
                <w:b/>
                <w:bCs/>
              </w:rPr>
              <w:t>Letter Grade</w:t>
            </w:r>
          </w:p>
        </w:tc>
        <w:tc>
          <w:tcPr>
            <w:tcW w:w="2106" w:type="dxa"/>
          </w:tcPr>
          <w:p w14:paraId="470F6DF2" w14:textId="77777777" w:rsidR="0052514D" w:rsidRPr="005302A1" w:rsidRDefault="0052514D" w:rsidP="00296A57">
            <w:pPr>
              <w:jc w:val="center"/>
              <w:rPr>
                <w:b/>
                <w:bCs/>
              </w:rPr>
            </w:pPr>
            <w:r w:rsidRPr="005302A1">
              <w:rPr>
                <w:b/>
                <w:bCs/>
              </w:rPr>
              <w:t>Point Equivalent</w:t>
            </w:r>
          </w:p>
        </w:tc>
        <w:tc>
          <w:tcPr>
            <w:tcW w:w="2142" w:type="dxa"/>
          </w:tcPr>
          <w:p w14:paraId="35F9A7C5" w14:textId="77777777" w:rsidR="0052514D" w:rsidRPr="005302A1" w:rsidRDefault="0052514D" w:rsidP="00296A57">
            <w:pPr>
              <w:jc w:val="center"/>
              <w:rPr>
                <w:b/>
                <w:bCs/>
              </w:rPr>
            </w:pPr>
            <w:r w:rsidRPr="005302A1">
              <w:rPr>
                <w:b/>
                <w:bCs/>
              </w:rPr>
              <w:t>Letter Grade</w:t>
            </w:r>
          </w:p>
        </w:tc>
        <w:tc>
          <w:tcPr>
            <w:tcW w:w="2088" w:type="dxa"/>
          </w:tcPr>
          <w:p w14:paraId="45A5F5A6" w14:textId="77777777" w:rsidR="0052514D" w:rsidRPr="005302A1" w:rsidRDefault="0052514D" w:rsidP="00296A57">
            <w:pPr>
              <w:jc w:val="center"/>
              <w:rPr>
                <w:b/>
                <w:bCs/>
              </w:rPr>
            </w:pPr>
            <w:r w:rsidRPr="005302A1">
              <w:rPr>
                <w:b/>
                <w:bCs/>
              </w:rPr>
              <w:t>Point Equivalent</w:t>
            </w:r>
          </w:p>
        </w:tc>
      </w:tr>
      <w:tr w:rsidR="0052514D" w14:paraId="7C12A19D" w14:textId="77777777" w:rsidTr="00296A57">
        <w:tc>
          <w:tcPr>
            <w:tcW w:w="2070" w:type="dxa"/>
          </w:tcPr>
          <w:p w14:paraId="1448ECD2" w14:textId="77777777" w:rsidR="0052514D" w:rsidRDefault="0052514D" w:rsidP="00296A57">
            <w:pPr>
              <w:jc w:val="center"/>
            </w:pPr>
            <w:r w:rsidRPr="00D01FEB">
              <w:t>A (Excellent)</w:t>
            </w:r>
          </w:p>
        </w:tc>
        <w:tc>
          <w:tcPr>
            <w:tcW w:w="2106" w:type="dxa"/>
          </w:tcPr>
          <w:p w14:paraId="4CB1E777" w14:textId="77777777" w:rsidR="0052514D" w:rsidRDefault="0052514D" w:rsidP="00296A57">
            <w:pPr>
              <w:jc w:val="center"/>
            </w:pPr>
            <w:r w:rsidRPr="00D01FEB">
              <w:t>4.0</w:t>
            </w:r>
            <w:r>
              <w:t>0</w:t>
            </w:r>
          </w:p>
        </w:tc>
        <w:tc>
          <w:tcPr>
            <w:tcW w:w="2142" w:type="dxa"/>
          </w:tcPr>
          <w:p w14:paraId="60099C64" w14:textId="77777777" w:rsidR="0052514D" w:rsidRDefault="0052514D" w:rsidP="00296A57">
            <w:pPr>
              <w:jc w:val="center"/>
            </w:pPr>
            <w:r w:rsidRPr="00D01FEB">
              <w:t>C (Satisfactory)</w:t>
            </w:r>
          </w:p>
        </w:tc>
        <w:tc>
          <w:tcPr>
            <w:tcW w:w="2088" w:type="dxa"/>
          </w:tcPr>
          <w:p w14:paraId="6BC19233" w14:textId="77777777" w:rsidR="0052514D" w:rsidRDefault="0052514D" w:rsidP="00296A57">
            <w:pPr>
              <w:jc w:val="center"/>
            </w:pPr>
            <w:r w:rsidRPr="00D01FEB">
              <w:t>2.0</w:t>
            </w:r>
            <w:r>
              <w:t>0</w:t>
            </w:r>
          </w:p>
        </w:tc>
      </w:tr>
      <w:tr w:rsidR="0052514D" w14:paraId="24BE0998" w14:textId="77777777" w:rsidTr="00296A57">
        <w:tc>
          <w:tcPr>
            <w:tcW w:w="2070" w:type="dxa"/>
          </w:tcPr>
          <w:p w14:paraId="71CF043C" w14:textId="77777777" w:rsidR="0052514D" w:rsidRDefault="0052514D" w:rsidP="00296A57">
            <w:pPr>
              <w:jc w:val="center"/>
            </w:pPr>
            <w:r w:rsidRPr="00D01FEB">
              <w:t>A-</w:t>
            </w:r>
          </w:p>
        </w:tc>
        <w:tc>
          <w:tcPr>
            <w:tcW w:w="2106" w:type="dxa"/>
          </w:tcPr>
          <w:p w14:paraId="2DE269E9" w14:textId="77777777" w:rsidR="0052514D" w:rsidRDefault="0052514D" w:rsidP="00296A57">
            <w:pPr>
              <w:jc w:val="center"/>
            </w:pPr>
            <w:r w:rsidRPr="00D01FEB">
              <w:t>3.67</w:t>
            </w:r>
          </w:p>
        </w:tc>
        <w:tc>
          <w:tcPr>
            <w:tcW w:w="2142" w:type="dxa"/>
          </w:tcPr>
          <w:p w14:paraId="6205C9B6" w14:textId="77777777" w:rsidR="0052514D" w:rsidRDefault="0052514D" w:rsidP="00296A57">
            <w:pPr>
              <w:jc w:val="center"/>
            </w:pPr>
            <w:r w:rsidRPr="00D01FEB">
              <w:t>C-</w:t>
            </w:r>
          </w:p>
        </w:tc>
        <w:tc>
          <w:tcPr>
            <w:tcW w:w="2088" w:type="dxa"/>
          </w:tcPr>
          <w:p w14:paraId="1318428E" w14:textId="77777777" w:rsidR="0052514D" w:rsidRDefault="0052514D" w:rsidP="00296A57">
            <w:pPr>
              <w:jc w:val="center"/>
            </w:pPr>
            <w:r w:rsidRPr="00D01FEB">
              <w:t>1.67</w:t>
            </w:r>
          </w:p>
        </w:tc>
      </w:tr>
      <w:tr w:rsidR="0052514D" w14:paraId="7F83312E" w14:textId="77777777" w:rsidTr="00296A57">
        <w:tc>
          <w:tcPr>
            <w:tcW w:w="2070" w:type="dxa"/>
          </w:tcPr>
          <w:p w14:paraId="2982D50D" w14:textId="77777777" w:rsidR="0052514D" w:rsidRDefault="0052514D" w:rsidP="00296A57">
            <w:pPr>
              <w:jc w:val="center"/>
            </w:pPr>
            <w:r w:rsidRPr="00D01FEB">
              <w:t>B+</w:t>
            </w:r>
          </w:p>
        </w:tc>
        <w:tc>
          <w:tcPr>
            <w:tcW w:w="2106" w:type="dxa"/>
          </w:tcPr>
          <w:p w14:paraId="1B341C7B" w14:textId="77777777" w:rsidR="0052514D" w:rsidRDefault="0052514D" w:rsidP="00296A57">
            <w:pPr>
              <w:jc w:val="center"/>
            </w:pPr>
            <w:r w:rsidRPr="00D01FEB">
              <w:t>3.33</w:t>
            </w:r>
          </w:p>
        </w:tc>
        <w:tc>
          <w:tcPr>
            <w:tcW w:w="2142" w:type="dxa"/>
          </w:tcPr>
          <w:p w14:paraId="39355C79" w14:textId="77777777" w:rsidR="0052514D" w:rsidRDefault="0052514D" w:rsidP="00296A57">
            <w:pPr>
              <w:jc w:val="center"/>
            </w:pPr>
            <w:r w:rsidRPr="00D01FEB">
              <w:t>D+</w:t>
            </w:r>
          </w:p>
        </w:tc>
        <w:tc>
          <w:tcPr>
            <w:tcW w:w="2088" w:type="dxa"/>
          </w:tcPr>
          <w:p w14:paraId="4F2953DD" w14:textId="77777777" w:rsidR="0052514D" w:rsidRDefault="0052514D" w:rsidP="00296A57">
            <w:pPr>
              <w:jc w:val="center"/>
            </w:pPr>
            <w:r w:rsidRPr="00D01FEB">
              <w:t>1.33</w:t>
            </w:r>
          </w:p>
        </w:tc>
      </w:tr>
      <w:tr w:rsidR="0052514D" w14:paraId="27F25207" w14:textId="77777777" w:rsidTr="00296A57">
        <w:tc>
          <w:tcPr>
            <w:tcW w:w="2070" w:type="dxa"/>
          </w:tcPr>
          <w:p w14:paraId="6702A121" w14:textId="77777777" w:rsidR="0052514D" w:rsidRDefault="0052514D" w:rsidP="00296A57">
            <w:pPr>
              <w:jc w:val="center"/>
            </w:pPr>
            <w:r w:rsidRPr="00D01FEB">
              <w:t>B</w:t>
            </w:r>
          </w:p>
        </w:tc>
        <w:tc>
          <w:tcPr>
            <w:tcW w:w="2106" w:type="dxa"/>
          </w:tcPr>
          <w:p w14:paraId="6AEC4CB9" w14:textId="77777777" w:rsidR="0052514D" w:rsidRDefault="0052514D" w:rsidP="00296A57">
            <w:pPr>
              <w:jc w:val="center"/>
            </w:pPr>
            <w:r w:rsidRPr="00D01FEB">
              <w:t>3.0</w:t>
            </w:r>
            <w:r>
              <w:t>0</w:t>
            </w:r>
          </w:p>
        </w:tc>
        <w:tc>
          <w:tcPr>
            <w:tcW w:w="2142" w:type="dxa"/>
          </w:tcPr>
          <w:p w14:paraId="064837F7" w14:textId="77777777" w:rsidR="0052514D" w:rsidRDefault="0052514D" w:rsidP="00296A57">
            <w:pPr>
              <w:jc w:val="center"/>
            </w:pPr>
            <w:r w:rsidRPr="00D01FEB">
              <w:t>D (Poor)</w:t>
            </w:r>
          </w:p>
        </w:tc>
        <w:tc>
          <w:tcPr>
            <w:tcW w:w="2088" w:type="dxa"/>
          </w:tcPr>
          <w:p w14:paraId="1B97C1CB" w14:textId="77777777" w:rsidR="0052514D" w:rsidRDefault="0052514D" w:rsidP="00296A57">
            <w:pPr>
              <w:jc w:val="center"/>
            </w:pPr>
            <w:r w:rsidRPr="00D01FEB">
              <w:t>1.0</w:t>
            </w:r>
            <w:r>
              <w:t>0</w:t>
            </w:r>
          </w:p>
        </w:tc>
      </w:tr>
      <w:tr w:rsidR="0052514D" w14:paraId="70D67F7E" w14:textId="77777777" w:rsidTr="00296A57">
        <w:tc>
          <w:tcPr>
            <w:tcW w:w="2070" w:type="dxa"/>
          </w:tcPr>
          <w:p w14:paraId="1641A2BF" w14:textId="77777777" w:rsidR="0052514D" w:rsidRDefault="0052514D" w:rsidP="00296A57">
            <w:pPr>
              <w:jc w:val="center"/>
            </w:pPr>
            <w:r w:rsidRPr="00D01FEB">
              <w:t>B-</w:t>
            </w:r>
          </w:p>
        </w:tc>
        <w:tc>
          <w:tcPr>
            <w:tcW w:w="2106" w:type="dxa"/>
          </w:tcPr>
          <w:p w14:paraId="6F0D48CF" w14:textId="77777777" w:rsidR="0052514D" w:rsidRDefault="0052514D" w:rsidP="00296A57">
            <w:pPr>
              <w:jc w:val="center"/>
            </w:pPr>
            <w:r w:rsidRPr="00D01FEB">
              <w:t>2.67</w:t>
            </w:r>
          </w:p>
        </w:tc>
        <w:tc>
          <w:tcPr>
            <w:tcW w:w="2142" w:type="dxa"/>
          </w:tcPr>
          <w:p w14:paraId="6BAF1BB7" w14:textId="77777777" w:rsidR="0052514D" w:rsidRDefault="0052514D" w:rsidP="00296A57">
            <w:pPr>
              <w:jc w:val="center"/>
            </w:pPr>
            <w:r w:rsidRPr="00D01FEB">
              <w:t>D-</w:t>
            </w:r>
          </w:p>
        </w:tc>
        <w:tc>
          <w:tcPr>
            <w:tcW w:w="2088" w:type="dxa"/>
          </w:tcPr>
          <w:p w14:paraId="37C738B0" w14:textId="77777777" w:rsidR="0052514D" w:rsidRDefault="0052514D" w:rsidP="00296A57">
            <w:pPr>
              <w:jc w:val="center"/>
            </w:pPr>
            <w:r w:rsidRPr="00D01FEB">
              <w:t>0.67</w:t>
            </w:r>
          </w:p>
        </w:tc>
      </w:tr>
      <w:tr w:rsidR="0052514D" w14:paraId="76B8535C" w14:textId="77777777" w:rsidTr="00296A57">
        <w:tc>
          <w:tcPr>
            <w:tcW w:w="2070" w:type="dxa"/>
          </w:tcPr>
          <w:p w14:paraId="6FE5F085" w14:textId="77777777" w:rsidR="0052514D" w:rsidRDefault="0052514D" w:rsidP="00296A57">
            <w:pPr>
              <w:jc w:val="center"/>
            </w:pPr>
            <w:r w:rsidRPr="00D01FEB">
              <w:t>C+</w:t>
            </w:r>
          </w:p>
        </w:tc>
        <w:tc>
          <w:tcPr>
            <w:tcW w:w="2106" w:type="dxa"/>
          </w:tcPr>
          <w:p w14:paraId="6348FFF2" w14:textId="77777777" w:rsidR="0052514D" w:rsidRDefault="0052514D" w:rsidP="00296A57">
            <w:pPr>
              <w:jc w:val="center"/>
            </w:pPr>
            <w:r w:rsidRPr="00D01FEB">
              <w:t>2.33</w:t>
            </w:r>
          </w:p>
        </w:tc>
        <w:tc>
          <w:tcPr>
            <w:tcW w:w="2142" w:type="dxa"/>
          </w:tcPr>
          <w:p w14:paraId="028FDAD5" w14:textId="77777777" w:rsidR="0052514D" w:rsidRDefault="0052514D" w:rsidP="00296A57">
            <w:pPr>
              <w:jc w:val="center"/>
            </w:pPr>
            <w:r w:rsidRPr="00D01FEB">
              <w:t>E (Failure)</w:t>
            </w:r>
          </w:p>
        </w:tc>
        <w:tc>
          <w:tcPr>
            <w:tcW w:w="2088" w:type="dxa"/>
          </w:tcPr>
          <w:p w14:paraId="63CAD0C7" w14:textId="77777777" w:rsidR="0052514D" w:rsidRDefault="0052514D" w:rsidP="00296A57">
            <w:pPr>
              <w:jc w:val="center"/>
            </w:pPr>
            <w:r w:rsidRPr="00D01FEB">
              <w:t>0.0</w:t>
            </w:r>
            <w:r>
              <w:t>0</w:t>
            </w:r>
          </w:p>
        </w:tc>
      </w:tr>
    </w:tbl>
    <w:p w14:paraId="1862E4F0" w14:textId="77777777" w:rsidR="0052514D" w:rsidRDefault="0052514D" w:rsidP="0052514D">
      <w:pPr>
        <w:jc w:val="both"/>
      </w:pPr>
    </w:p>
    <w:p w14:paraId="24F5900C" w14:textId="77777777" w:rsidR="0052514D" w:rsidRPr="00F83637" w:rsidRDefault="0052514D" w:rsidP="0052514D">
      <w:pPr>
        <w:jc w:val="both"/>
      </w:pPr>
      <w:r w:rsidRPr="00F83637">
        <w:t xml:space="preserve">The law school grading policy is available </w:t>
      </w:r>
      <w:hyperlink r:id="rId10" w:history="1">
        <w:r w:rsidRPr="00F83637">
          <w:rPr>
            <w:rStyle w:val="Hyperlink"/>
          </w:rPr>
          <w:t>here</w:t>
        </w:r>
      </w:hyperlink>
      <w:r w:rsidRPr="00F83637">
        <w:t>.</w:t>
      </w:r>
    </w:p>
    <w:p w14:paraId="7BA3F36C" w14:textId="77777777" w:rsidR="0052514D" w:rsidRDefault="0052514D" w:rsidP="0052514D">
      <w:pPr>
        <w:jc w:val="both"/>
        <w:rPr>
          <w:rFonts w:ascii="Book Antiqua" w:eastAsia="Times New Roman" w:hAnsi="Book Antiqua" w:cs="Times New Roman"/>
        </w:rPr>
      </w:pPr>
    </w:p>
    <w:p w14:paraId="5BBE78FC" w14:textId="77777777" w:rsidR="0052514D" w:rsidRPr="001D0D2C" w:rsidRDefault="0052514D" w:rsidP="0052514D">
      <w:pPr>
        <w:jc w:val="both"/>
        <w:rPr>
          <w:rFonts w:ascii="Book Antiqua" w:eastAsia="Times New Roman" w:hAnsi="Book Antiqua" w:cs="Times New Roman"/>
          <w:b/>
          <w:sz w:val="28"/>
          <w:szCs w:val="28"/>
        </w:rPr>
      </w:pPr>
      <w:r w:rsidRPr="001D0D2C">
        <w:rPr>
          <w:b/>
        </w:rPr>
        <w:t>ABA OUT-OF-CLASS HOURS REQUIREMENTS</w:t>
      </w:r>
    </w:p>
    <w:p w14:paraId="3534340A" w14:textId="77777777" w:rsidR="0052514D" w:rsidRDefault="0052514D" w:rsidP="0052514D">
      <w:pPr>
        <w:jc w:val="both"/>
        <w:rPr>
          <w:rFonts w:ascii="Book Antiqua" w:eastAsia="Times New Roman" w:hAnsi="Book Antiqua" w:cs="Times New Roman"/>
        </w:rPr>
      </w:pPr>
    </w:p>
    <w:p w14:paraId="2EBD2AF7" w14:textId="77777777" w:rsidR="0052514D" w:rsidRDefault="0052514D" w:rsidP="0052514D">
      <w:pPr>
        <w:jc w:val="both"/>
      </w:pPr>
      <w:r w:rsidRPr="001D0D2C">
        <w:t xml:space="preserve">ABA Standard 310 requires that students devote 120 minutes to out-of-class preparation for every “classroom hour” of in-class instruction. </w:t>
      </w:r>
      <w:r>
        <w:t>For each 1 credit hour in the course, students are expected to devote at least 2 hours of out-of-class preparation</w:t>
      </w:r>
      <w:r w:rsidRPr="001D0D2C">
        <w:t xml:space="preserve"> including reading the assigned materials, writing critical analyses</w:t>
      </w:r>
      <w:r>
        <w:t xml:space="preserve"> (if any)</w:t>
      </w:r>
      <w:r w:rsidRPr="001D0D2C">
        <w:t>, and developing your final paper</w:t>
      </w:r>
      <w:r>
        <w:t xml:space="preserve"> (if any)</w:t>
      </w:r>
      <w:r w:rsidRPr="001D0D2C">
        <w:t>.</w:t>
      </w:r>
    </w:p>
    <w:p w14:paraId="2A261C93" w14:textId="77777777" w:rsidR="0052514D" w:rsidRPr="00800466" w:rsidRDefault="0052514D" w:rsidP="0052514D">
      <w:pPr>
        <w:jc w:val="both"/>
      </w:pPr>
    </w:p>
    <w:p w14:paraId="1322FAE3" w14:textId="77777777" w:rsidR="0052514D" w:rsidRPr="006B2D85" w:rsidRDefault="0052514D" w:rsidP="0052514D">
      <w:pPr>
        <w:jc w:val="both"/>
        <w:rPr>
          <w:rFonts w:ascii="Book Antiqua" w:eastAsia="Times New Roman" w:hAnsi="Book Antiqua" w:cs="Times New Roman"/>
          <w:b/>
        </w:rPr>
      </w:pPr>
      <w:r>
        <w:rPr>
          <w:rFonts w:ascii="Book Antiqua" w:eastAsia="Times New Roman" w:hAnsi="Book Antiqua" w:cs="Times New Roman"/>
          <w:b/>
        </w:rPr>
        <w:t xml:space="preserve">CLASS </w:t>
      </w:r>
      <w:r w:rsidRPr="006B2D85">
        <w:rPr>
          <w:rFonts w:ascii="Book Antiqua" w:eastAsia="Times New Roman" w:hAnsi="Book Antiqua" w:cs="Times New Roman"/>
          <w:b/>
        </w:rPr>
        <w:t xml:space="preserve">ATTENDANCE </w:t>
      </w:r>
      <w:r>
        <w:rPr>
          <w:rFonts w:ascii="Book Antiqua" w:eastAsia="Times New Roman" w:hAnsi="Book Antiqua" w:cs="Times New Roman"/>
          <w:b/>
        </w:rPr>
        <w:t xml:space="preserve">POLICY </w:t>
      </w:r>
    </w:p>
    <w:p w14:paraId="3FFF94E1" w14:textId="77777777" w:rsidR="0052514D" w:rsidRPr="006B2D85" w:rsidRDefault="0052514D" w:rsidP="0052514D">
      <w:pPr>
        <w:jc w:val="both"/>
        <w:rPr>
          <w:rFonts w:ascii="Book Antiqua" w:eastAsia="Times New Roman" w:hAnsi="Book Antiqua" w:cs="Times New Roman"/>
        </w:rPr>
      </w:pPr>
    </w:p>
    <w:p w14:paraId="4AFF6157" w14:textId="77777777" w:rsidR="0052514D" w:rsidRPr="00F83637" w:rsidRDefault="0052514D" w:rsidP="0052514D">
      <w:pPr>
        <w:jc w:val="both"/>
        <w:rPr>
          <w:rFonts w:ascii="Book Antiqua" w:hAnsi="Book Antiqua" w:cs="Times New Roman"/>
        </w:rPr>
      </w:pPr>
      <w:r w:rsidRPr="00F83637">
        <w:rPr>
          <w:rFonts w:ascii="Book Antiqua" w:hAnsi="Book Antiqua"/>
        </w:rPr>
        <w:t xml:space="preserve">Attendance in class is required by both the ABA and the Law School. Attendance will be taken at each class meeting.  Students are allowed </w:t>
      </w:r>
      <w:r w:rsidRPr="00F83637">
        <w:rPr>
          <w:rFonts w:ascii="Book Antiqua" w:hAnsi="Book Antiqua"/>
          <w:b/>
          <w:bCs/>
        </w:rPr>
        <w:t>six</w:t>
      </w:r>
      <w:r w:rsidRPr="00F83637">
        <w:rPr>
          <w:rFonts w:ascii="Book Antiqua" w:hAnsi="Book Antiqua"/>
        </w:rPr>
        <w:t xml:space="preserve"> absences during the course of the semester.  Students are responsible for ensuring that they are not recorded as absent if they come in late.  A student who fails to meet the attendance requirement will be dropped from the course. The law school’s policy on attendance can be found </w:t>
      </w:r>
      <w:hyperlink r:id="rId11" w:anchor=":~:text=co%2Dcurricular%20activities.-,Attendance,regular%20and%20punctual%20class%20attendance.&amp;text=UF%20Law%20policy%20permits%20dismissal,of%2012%20credits%20per%20semester." w:history="1">
        <w:r w:rsidRPr="00F83637">
          <w:rPr>
            <w:rStyle w:val="Hyperlink"/>
            <w:rFonts w:ascii="Book Antiqua" w:hAnsi="Book Antiqua"/>
          </w:rPr>
          <w:t>here</w:t>
        </w:r>
      </w:hyperlink>
      <w:r w:rsidRPr="00F83637">
        <w:rPr>
          <w:rFonts w:ascii="Book Antiqua" w:hAnsi="Book Antiqua"/>
        </w:rPr>
        <w:t>.</w:t>
      </w:r>
    </w:p>
    <w:p w14:paraId="42462C22" w14:textId="77777777" w:rsidR="0052514D" w:rsidRDefault="0052514D" w:rsidP="0052514D">
      <w:pPr>
        <w:jc w:val="both"/>
        <w:rPr>
          <w:rFonts w:cs="Times New Roman"/>
        </w:rPr>
      </w:pPr>
    </w:p>
    <w:p w14:paraId="1917F2EA" w14:textId="77777777" w:rsidR="0052514D" w:rsidRDefault="0052514D" w:rsidP="0052514D">
      <w:pPr>
        <w:jc w:val="both"/>
        <w:rPr>
          <w:rFonts w:ascii="Book Antiqua" w:eastAsia="Times New Roman" w:hAnsi="Book Antiqua" w:cs="Times New Roman"/>
        </w:rPr>
      </w:pPr>
      <w:r>
        <w:rPr>
          <w:rFonts w:ascii="Book Antiqua" w:eastAsia="Times New Roman" w:hAnsi="Book Antiqua" w:cs="Times New Roman"/>
        </w:rPr>
        <w:t xml:space="preserve">The single best thing that a student can do to maximize the possibility of doing well in the course in terms of a grade is to keep up with the class reading assignments and to attend class regularly. The final exam will draw from the work done in course and the class discussion. </w:t>
      </w:r>
    </w:p>
    <w:p w14:paraId="46CEB753" w14:textId="77777777" w:rsidR="0052514D" w:rsidRDefault="0052514D" w:rsidP="0052514D">
      <w:pPr>
        <w:jc w:val="both"/>
        <w:rPr>
          <w:rFonts w:ascii="Book Antiqua" w:eastAsia="Times New Roman" w:hAnsi="Book Antiqua" w:cs="Times New Roman"/>
        </w:rPr>
      </w:pPr>
    </w:p>
    <w:p w14:paraId="035BCD76" w14:textId="77777777" w:rsidR="0052514D" w:rsidRDefault="0052514D" w:rsidP="0052514D">
      <w:pPr>
        <w:jc w:val="both"/>
      </w:pPr>
      <w:r>
        <w:t xml:space="preserve">Attendance will be taken online. A student may access the online attendance form at the beginning of class from the law school quick links page: </w:t>
      </w:r>
      <w:hyperlink r:id="rId12" w:history="1">
        <w:r>
          <w:rPr>
            <w:rStyle w:val="Hyperlink"/>
          </w:rPr>
          <w:t>https://www.law.ufl.edu/student-life</w:t>
        </w:r>
      </w:hyperlink>
      <w:r>
        <w:t xml:space="preserve"> or the </w:t>
      </w:r>
      <w:hyperlink r:id="rId13" w:history="1">
        <w:r w:rsidRPr="00575FC5">
          <w:rPr>
            <w:rStyle w:val="Hyperlink"/>
          </w:rPr>
          <w:t>https://www.law.ufl.edu/attendance</w:t>
        </w:r>
      </w:hyperlink>
      <w:r>
        <w:t xml:space="preserve">.  You will enter the requested information, including your UFID number, </w:t>
      </w:r>
      <w:proofErr w:type="gramStart"/>
      <w:r>
        <w:t>name</w:t>
      </w:r>
      <w:proofErr w:type="gramEnd"/>
      <w:r>
        <w:t xml:space="preserve"> and attendance code. Your professor will provide the attendance code for each class.  The submissions are recorded. It is an Honor Code violation for giving the attendance code to a study who is not present in the class, either in person or online. Please do not violate this policy. </w:t>
      </w:r>
    </w:p>
    <w:p w14:paraId="73E5E754" w14:textId="77777777" w:rsidR="0052514D" w:rsidRDefault="0052514D" w:rsidP="0052514D">
      <w:pPr>
        <w:jc w:val="both"/>
      </w:pPr>
    </w:p>
    <w:p w14:paraId="55E87BF3" w14:textId="77777777" w:rsidR="0052514D" w:rsidRPr="00F83637" w:rsidRDefault="0052514D" w:rsidP="0052514D">
      <w:pPr>
        <w:jc w:val="both"/>
        <w:rPr>
          <w:b/>
          <w:bCs/>
        </w:rPr>
      </w:pPr>
      <w:r w:rsidRPr="00F83637">
        <w:rPr>
          <w:b/>
          <w:bCs/>
        </w:rPr>
        <w:t xml:space="preserve">OBSERVANCE OF RELIGIOUS HOLIDAYS </w:t>
      </w:r>
    </w:p>
    <w:p w14:paraId="52E7EB9F" w14:textId="77777777" w:rsidR="0052514D" w:rsidRDefault="0052514D" w:rsidP="0052514D">
      <w:pPr>
        <w:jc w:val="both"/>
      </w:pPr>
    </w:p>
    <w:p w14:paraId="26472481" w14:textId="77777777" w:rsidR="0052514D" w:rsidRPr="00F83637" w:rsidRDefault="0052514D" w:rsidP="0052514D">
      <w:r w:rsidRPr="00F83637">
        <w:t xml:space="preserve">UF Law respects students’ </w:t>
      </w:r>
      <w:hyperlink r:id="rId14" w:history="1">
        <w:r w:rsidRPr="00F83637">
          <w:rPr>
            <w:rStyle w:val="Hyperlink"/>
          </w:rPr>
          <w:t>observance of religious holidays</w:t>
        </w:r>
      </w:hyperlink>
      <w:r w:rsidRPr="00F83637">
        <w:t>.</w:t>
      </w:r>
    </w:p>
    <w:p w14:paraId="1250385E" w14:textId="77777777" w:rsidR="0052514D" w:rsidRPr="00F83637" w:rsidRDefault="0052514D" w:rsidP="0052514D">
      <w:pPr>
        <w:pStyle w:val="ListParagraph"/>
        <w:numPr>
          <w:ilvl w:val="0"/>
          <w:numId w:val="23"/>
        </w:numPr>
      </w:pPr>
      <w:r w:rsidRPr="00F83637">
        <w:t>Students, upon prior notification to their instructors, shall be excused from class or other scheduled academic activity to observe a religious holy day of their faith.</w:t>
      </w:r>
    </w:p>
    <w:p w14:paraId="2A8F16E9" w14:textId="77777777" w:rsidR="0052514D" w:rsidRPr="00F83637" w:rsidRDefault="0052514D" w:rsidP="0052514D">
      <w:pPr>
        <w:pStyle w:val="ListParagraph"/>
        <w:numPr>
          <w:ilvl w:val="0"/>
          <w:numId w:val="23"/>
        </w:numPr>
      </w:pPr>
      <w:r w:rsidRPr="00F83637">
        <w:t>Students shall be permitted a reasonable amount of time to make up the material or activities covered in their absence.</w:t>
      </w:r>
    </w:p>
    <w:p w14:paraId="4E6EBB4A" w14:textId="77777777" w:rsidR="0052514D" w:rsidRPr="00F83637" w:rsidRDefault="0052514D" w:rsidP="0052514D">
      <w:pPr>
        <w:pStyle w:val="ListParagraph"/>
        <w:numPr>
          <w:ilvl w:val="0"/>
          <w:numId w:val="23"/>
        </w:numPr>
      </w:pPr>
      <w:r w:rsidRPr="00F83637">
        <w:t>Students shall not be penalized due to absence from class or other scheduled academic activity because of religious observances.</w:t>
      </w:r>
    </w:p>
    <w:p w14:paraId="0913ED23" w14:textId="77777777" w:rsidR="0052514D" w:rsidRDefault="0052514D" w:rsidP="0052514D"/>
    <w:p w14:paraId="5C7D16BA" w14:textId="77777777" w:rsidR="0052514D" w:rsidRPr="00F83637" w:rsidRDefault="0052514D" w:rsidP="0052514D">
      <w:pPr>
        <w:jc w:val="both"/>
        <w:rPr>
          <w:b/>
        </w:rPr>
      </w:pPr>
      <w:r w:rsidRPr="00F83637">
        <w:rPr>
          <w:b/>
        </w:rPr>
        <w:t>STATEMENT RELATED TO ACCOMODATIONS FOR STUDENTS WITH DISABILITIES</w:t>
      </w:r>
    </w:p>
    <w:p w14:paraId="45DDD48E" w14:textId="77777777" w:rsidR="0052514D" w:rsidRDefault="0052514D" w:rsidP="0052514D">
      <w:pPr>
        <w:jc w:val="both"/>
        <w:rPr>
          <w:color w:val="000000"/>
        </w:rPr>
      </w:pPr>
    </w:p>
    <w:p w14:paraId="6A303682" w14:textId="77777777" w:rsidR="0052514D" w:rsidRPr="00F83637" w:rsidRDefault="0052514D" w:rsidP="0052514D">
      <w:pPr>
        <w:jc w:val="both"/>
      </w:pPr>
      <w:r w:rsidRPr="00F83637">
        <w:rPr>
          <w:color w:val="000000"/>
        </w:rPr>
        <w:t>Students requesting accommodations for disabilities must first register with the Disability Resource Center (https://disability.ufl.edu/). Once registered, students will receive an accommodation letter, which must be presented to the Assistant Dean for Student Affairs (Assistant Dean Brian Mitchell). Students with disabilities should follow this procedure as early as possible in the semester. It is important for students to share their accommodation letter with their instructor and discuss their access needs as early as possible in the semester</w:t>
      </w:r>
      <w:r w:rsidRPr="00F83637">
        <w:t xml:space="preserve">. </w:t>
      </w:r>
      <w:r w:rsidRPr="00F83637">
        <w:rPr>
          <w:color w:val="242424"/>
          <w:bdr w:val="none" w:sz="0" w:space="0" w:color="auto" w:frame="1"/>
        </w:rPr>
        <w:t>Students may access information about various resources on the UF Law Student Resources Canvas page, available at </w:t>
      </w:r>
      <w:hyperlink r:id="rId15" w:tgtFrame="_blank" w:tooltip="https://ufl.instructure.com/courses/427635" w:history="1">
        <w:r w:rsidRPr="00F83637">
          <w:rPr>
            <w:rStyle w:val="Hyperlink"/>
            <w:bdr w:val="none" w:sz="0" w:space="0" w:color="auto" w:frame="1"/>
          </w:rPr>
          <w:t>https://ufl.instructure.com/courses/427635</w:t>
        </w:r>
      </w:hyperlink>
      <w:r w:rsidRPr="00F83637">
        <w:rPr>
          <w:color w:val="242424"/>
          <w:bdr w:val="none" w:sz="0" w:space="0" w:color="auto" w:frame="1"/>
        </w:rPr>
        <w:t>.</w:t>
      </w:r>
    </w:p>
    <w:p w14:paraId="56A7FAC8" w14:textId="77777777" w:rsidR="0052514D" w:rsidRDefault="0052514D" w:rsidP="0052514D">
      <w:pPr>
        <w:jc w:val="both"/>
      </w:pPr>
    </w:p>
    <w:p w14:paraId="054CB788" w14:textId="77777777" w:rsidR="0052514D" w:rsidRPr="00922676" w:rsidRDefault="0052514D" w:rsidP="0052514D">
      <w:pPr>
        <w:jc w:val="both"/>
        <w:rPr>
          <w:b/>
          <w:bCs/>
        </w:rPr>
      </w:pPr>
      <w:r>
        <w:rPr>
          <w:b/>
          <w:bCs/>
        </w:rPr>
        <w:t>STUDENT</w:t>
      </w:r>
      <w:r w:rsidRPr="00922676">
        <w:rPr>
          <w:b/>
          <w:bCs/>
        </w:rPr>
        <w:t xml:space="preserve"> COURSE EVALUATIONS</w:t>
      </w:r>
    </w:p>
    <w:p w14:paraId="6B298CF5" w14:textId="77777777" w:rsidR="0052514D" w:rsidRPr="00B1412B" w:rsidRDefault="0052514D" w:rsidP="0052514D">
      <w:pPr>
        <w:jc w:val="both"/>
        <w:rPr>
          <w:rFonts w:cs="Times New Roman"/>
        </w:rPr>
      </w:pPr>
    </w:p>
    <w:p w14:paraId="341187D1" w14:textId="77777777" w:rsidR="0052514D" w:rsidRPr="00F83637" w:rsidRDefault="0052514D" w:rsidP="0052514D">
      <w:pPr>
        <w:jc w:val="both"/>
        <w:rPr>
          <w:rFonts w:cs="Times New Roman"/>
        </w:rPr>
      </w:pPr>
      <w:r w:rsidRPr="00F83637">
        <w:t xml:space="preserve">Students are expected to provide professional and respectful feedback on the quality of instruction in this course by completing course evaluations online via </w:t>
      </w:r>
      <w:proofErr w:type="spellStart"/>
      <w:r w:rsidRPr="00F83637">
        <w:t>GatorEvals</w:t>
      </w:r>
      <w:proofErr w:type="spellEnd"/>
      <w:r w:rsidRPr="00F83637">
        <w:t xml:space="preserve">. Click </w:t>
      </w:r>
      <w:hyperlink r:id="rId16" w:history="1">
        <w:r w:rsidRPr="00F83637">
          <w:rPr>
            <w:rStyle w:val="Hyperlink"/>
          </w:rPr>
          <w:t>here</w:t>
        </w:r>
      </w:hyperlink>
      <w:r w:rsidRPr="00F83637">
        <w:t xml:space="preserve"> for guidance on how to give feedback in a professional and respectful manner. Students will be notified when the evaluation period opens and may complete evaluations through the </w:t>
      </w:r>
      <w:proofErr w:type="gramStart"/>
      <w:r w:rsidRPr="00F83637">
        <w:t>email</w:t>
      </w:r>
      <w:proofErr w:type="gramEnd"/>
      <w:r w:rsidRPr="00F83637">
        <w:t xml:space="preserve"> they receive from </w:t>
      </w:r>
      <w:proofErr w:type="spellStart"/>
      <w:r w:rsidRPr="00F83637">
        <w:t>GatorEvals</w:t>
      </w:r>
      <w:proofErr w:type="spellEnd"/>
      <w:r w:rsidRPr="00F83637">
        <w:t xml:space="preserve">, in their Canvas course menu under </w:t>
      </w:r>
      <w:proofErr w:type="spellStart"/>
      <w:r w:rsidRPr="00F83637">
        <w:t>GatorEvals</w:t>
      </w:r>
      <w:proofErr w:type="spellEnd"/>
      <w:r w:rsidRPr="00F83637">
        <w:t xml:space="preserve">, or via </w:t>
      </w:r>
      <w:hyperlink r:id="rId17" w:history="1">
        <w:r w:rsidRPr="00F83637">
          <w:rPr>
            <w:rStyle w:val="Hyperlink"/>
          </w:rPr>
          <w:t>https://ufl.bluera.com/ufl/</w:t>
        </w:r>
      </w:hyperlink>
      <w:r w:rsidRPr="00F83637">
        <w:t xml:space="preserve">. Summaries of course evaluation results are available to students </w:t>
      </w:r>
      <w:hyperlink r:id="rId18" w:history="1">
        <w:r w:rsidRPr="00F83637">
          <w:rPr>
            <w:rStyle w:val="Hyperlink"/>
          </w:rPr>
          <w:t>here</w:t>
        </w:r>
      </w:hyperlink>
      <w:r w:rsidRPr="00F83637">
        <w:rPr>
          <w:rStyle w:val="Hyperlink"/>
        </w:rPr>
        <w:t>.</w:t>
      </w:r>
    </w:p>
    <w:p w14:paraId="1F943DA9" w14:textId="77777777" w:rsidR="0052514D" w:rsidRPr="00B1412B" w:rsidRDefault="0052514D" w:rsidP="0052514D">
      <w:pPr>
        <w:jc w:val="both"/>
      </w:pPr>
    </w:p>
    <w:p w14:paraId="150E42FB" w14:textId="77777777" w:rsidR="0052514D" w:rsidRPr="00D01FEB" w:rsidRDefault="0052514D" w:rsidP="0052514D">
      <w:pPr>
        <w:jc w:val="both"/>
        <w:rPr>
          <w:rFonts w:ascii="Book Antiqua" w:eastAsia="Times New Roman" w:hAnsi="Book Antiqua" w:cs="Times New Roman"/>
          <w:b/>
        </w:rPr>
      </w:pPr>
      <w:r>
        <w:rPr>
          <w:rFonts w:ascii="Book Antiqua" w:eastAsia="Times New Roman" w:hAnsi="Book Antiqua" w:cs="Times New Roman"/>
          <w:b/>
        </w:rPr>
        <w:t xml:space="preserve">RECORDING OF CLASS </w:t>
      </w:r>
    </w:p>
    <w:p w14:paraId="5F2C4EB4" w14:textId="77777777" w:rsidR="0052514D" w:rsidRPr="00292FBF" w:rsidRDefault="0052514D" w:rsidP="0052514D">
      <w:pPr>
        <w:jc w:val="both"/>
        <w:rPr>
          <w:rFonts w:ascii="Book Antiqua" w:hAnsi="Book Antiqua" w:cs="Times New Roman"/>
        </w:rPr>
      </w:pPr>
    </w:p>
    <w:p w14:paraId="41D44015" w14:textId="77777777" w:rsidR="0052514D" w:rsidRDefault="0052514D" w:rsidP="0052514D">
      <w:pPr>
        <w:jc w:val="both"/>
        <w:rPr>
          <w:rFonts w:ascii="Book Antiqua" w:hAnsi="Book Antiqua" w:cs="Times New Roman"/>
        </w:rPr>
      </w:pPr>
      <w:r w:rsidRPr="001D0D2C">
        <w:rPr>
          <w:rFonts w:ascii="Book Antiqua" w:hAnsi="Book Antiqua" w:cs="Times New Roman"/>
        </w:rPr>
        <w:t xml:space="preserve">All classes will be recorded via </w:t>
      </w:r>
      <w:proofErr w:type="spellStart"/>
      <w:r w:rsidRPr="001D0D2C">
        <w:rPr>
          <w:rFonts w:ascii="Book Antiqua" w:hAnsi="Book Antiqua" w:cs="Times New Roman"/>
        </w:rPr>
        <w:t>Mediasite</w:t>
      </w:r>
      <w:proofErr w:type="spellEnd"/>
      <w:r w:rsidRPr="001D0D2C">
        <w:rPr>
          <w:rFonts w:ascii="Book Antiqua" w:hAnsi="Book Antiqua" w:cs="Times New Roman"/>
        </w:rPr>
        <w:t xml:space="preserve"> in case students must miss class for health reasons. The Office of Student Affairs will work with faculty to determine when students may have access to these recordings, and the recordings will be password protected. It is the student’s responsibility to contact the Office of Student Affairs as soon as possible after an absence.</w:t>
      </w:r>
    </w:p>
    <w:p w14:paraId="06AB46AA" w14:textId="77777777" w:rsidR="0052514D" w:rsidRDefault="0052514D" w:rsidP="0052514D">
      <w:pPr>
        <w:jc w:val="both"/>
        <w:rPr>
          <w:rFonts w:ascii="Book Antiqua" w:hAnsi="Book Antiqua" w:cs="Times New Roman"/>
        </w:rPr>
      </w:pPr>
    </w:p>
    <w:p w14:paraId="73C2A3D9" w14:textId="77777777" w:rsidR="0052514D" w:rsidRPr="00292FBF" w:rsidRDefault="0052514D" w:rsidP="0052514D">
      <w:pPr>
        <w:jc w:val="both"/>
        <w:rPr>
          <w:rFonts w:ascii="Book Antiqua" w:hAnsi="Book Antiqua" w:cs="Times New Roman"/>
        </w:rPr>
      </w:pPr>
      <w:r w:rsidRPr="00292FBF">
        <w:rPr>
          <w:rFonts w:ascii="Book Antiqua" w:hAnsi="Book Antiqua" w:cs="Times New Roman"/>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0D14AF9A" w14:textId="77777777" w:rsidR="0052514D" w:rsidRDefault="0052514D" w:rsidP="0052514D">
      <w:pPr>
        <w:jc w:val="both"/>
        <w:rPr>
          <w:rFonts w:ascii="Book Antiqua" w:hAnsi="Book Antiqua" w:cs="Times New Roman"/>
        </w:rPr>
      </w:pPr>
    </w:p>
    <w:p w14:paraId="6DA14C7B" w14:textId="77777777" w:rsidR="0052514D" w:rsidRPr="00292FBF" w:rsidRDefault="0052514D" w:rsidP="0052514D">
      <w:pPr>
        <w:jc w:val="both"/>
        <w:rPr>
          <w:rFonts w:ascii="Book Antiqua" w:hAnsi="Book Antiqua" w:cs="Times New Roman"/>
        </w:rPr>
      </w:pPr>
      <w:r w:rsidRPr="00292FBF">
        <w:rPr>
          <w:rFonts w:ascii="Book Antiqua" w:hAnsi="Book Antiqua" w:cs="Times New Roman"/>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60000AF6" w14:textId="77777777" w:rsidR="0052514D" w:rsidRDefault="0052514D" w:rsidP="0052514D">
      <w:pPr>
        <w:jc w:val="both"/>
        <w:rPr>
          <w:rFonts w:ascii="Book Antiqua" w:hAnsi="Book Antiqua" w:cs="Times New Roman"/>
        </w:rPr>
      </w:pPr>
    </w:p>
    <w:p w14:paraId="7CB15801" w14:textId="77777777" w:rsidR="0052514D" w:rsidRDefault="0052514D" w:rsidP="0052514D">
      <w:pPr>
        <w:jc w:val="both"/>
        <w:rPr>
          <w:rFonts w:ascii="Book Antiqua" w:hAnsi="Book Antiqua" w:cs="Times New Roman"/>
        </w:rPr>
      </w:pPr>
      <w:r w:rsidRPr="00292FBF">
        <w:rPr>
          <w:rFonts w:ascii="Book Antiqua" w:hAnsi="Book Antiqua" w:cs="Times New Roman"/>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292FBF">
        <w:rPr>
          <w:rFonts w:ascii="Book Antiqua" w:hAnsi="Book Antiqua" w:cs="Times New Roman"/>
        </w:rPr>
        <w:t>third party</w:t>
      </w:r>
      <w:proofErr w:type="gramEnd"/>
      <w:r w:rsidRPr="00292FBF">
        <w:rPr>
          <w:rFonts w:ascii="Book Antiqua" w:hAnsi="Book Antiqua" w:cs="Times New Roman"/>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3A8A19FF" w14:textId="77777777" w:rsidR="0052514D" w:rsidRDefault="0052514D" w:rsidP="0052514D">
      <w:pPr>
        <w:jc w:val="both"/>
        <w:rPr>
          <w:rFonts w:ascii="Book Antiqua" w:hAnsi="Book Antiqua" w:cs="Times New Roman"/>
        </w:rPr>
      </w:pPr>
    </w:p>
    <w:p w14:paraId="5F141A63" w14:textId="77777777" w:rsidR="0052514D" w:rsidRPr="0007750B" w:rsidRDefault="0052514D" w:rsidP="0052514D">
      <w:pPr>
        <w:jc w:val="both"/>
        <w:rPr>
          <w:b/>
          <w:bCs/>
        </w:rPr>
      </w:pPr>
      <w:r w:rsidRPr="0007750B">
        <w:rPr>
          <w:b/>
          <w:bCs/>
        </w:rPr>
        <w:t>COVID POLICY</w:t>
      </w:r>
    </w:p>
    <w:p w14:paraId="21451E22" w14:textId="77777777" w:rsidR="0052514D" w:rsidRPr="00B1412B" w:rsidRDefault="0052514D" w:rsidP="0052514D">
      <w:pPr>
        <w:jc w:val="both"/>
        <w:rPr>
          <w:rFonts w:ascii="Book Antiqua" w:hAnsi="Book Antiqua"/>
        </w:rPr>
      </w:pPr>
    </w:p>
    <w:p w14:paraId="73A1D3D8" w14:textId="77777777" w:rsidR="0052514D" w:rsidRPr="00292FBF" w:rsidRDefault="0052514D" w:rsidP="0052514D">
      <w:pPr>
        <w:jc w:val="both"/>
        <w:rPr>
          <w:rFonts w:ascii="Book Antiqua" w:hAnsi="Book Antiqua" w:cs="Times New Roman"/>
        </w:rPr>
      </w:pPr>
      <w:r>
        <w:rPr>
          <w:rFonts w:ascii="Book Antiqua" w:hAnsi="Book Antiqua" w:cs="Times New Roman"/>
        </w:rPr>
        <w:t xml:space="preserve">The Covid-19 policy for the course is the prevailing University of Florida’s policy in effect during the entire pendency of the course. If the UF policy changes, the policy in effect for the course will also change. </w:t>
      </w:r>
    </w:p>
    <w:p w14:paraId="36A40653" w14:textId="77777777" w:rsidR="003042DC" w:rsidRPr="00292FBF" w:rsidRDefault="003042DC" w:rsidP="00292FBF">
      <w:pPr>
        <w:jc w:val="both"/>
        <w:rPr>
          <w:rFonts w:ascii="Book Antiqua" w:hAnsi="Book Antiqua" w:cs="Times New Roman"/>
        </w:rPr>
      </w:pPr>
    </w:p>
    <w:p w14:paraId="0F574011" w14:textId="77777777" w:rsidR="00711B94" w:rsidRPr="00D01FEB" w:rsidRDefault="00711B94" w:rsidP="00711B94">
      <w:pPr>
        <w:jc w:val="both"/>
        <w:rPr>
          <w:rFonts w:ascii="Book Antiqua" w:eastAsia="Times New Roman" w:hAnsi="Book Antiqua" w:cs="Times New Roman"/>
          <w:b/>
        </w:rPr>
      </w:pPr>
      <w:r>
        <w:rPr>
          <w:rFonts w:ascii="Book Antiqua" w:eastAsia="Times New Roman" w:hAnsi="Book Antiqua" w:cs="Times New Roman"/>
          <w:b/>
        </w:rPr>
        <w:t xml:space="preserve">ONLINE (ZOOM) CLASS SESSIONS </w:t>
      </w:r>
      <w:r w:rsidRPr="00D01FEB">
        <w:rPr>
          <w:rFonts w:ascii="Book Antiqua" w:eastAsia="Times New Roman" w:hAnsi="Book Antiqua" w:cs="Times New Roman"/>
          <w:b/>
        </w:rPr>
        <w:t xml:space="preserve"> </w:t>
      </w:r>
    </w:p>
    <w:p w14:paraId="2141868C" w14:textId="77777777" w:rsidR="00711B94" w:rsidRDefault="00711B94" w:rsidP="00711B94">
      <w:pPr>
        <w:jc w:val="both"/>
        <w:rPr>
          <w:rFonts w:ascii="Book Antiqua" w:eastAsia="Times New Roman" w:hAnsi="Book Antiqua" w:cs="Times New Roman"/>
        </w:rPr>
      </w:pPr>
    </w:p>
    <w:p w14:paraId="35B37F5A" w14:textId="4631D85D" w:rsidR="003D6337" w:rsidRDefault="00711B94" w:rsidP="000D5898">
      <w:pPr>
        <w:jc w:val="both"/>
      </w:pPr>
      <w:r>
        <w:t xml:space="preserve">Per law school policy, our course must </w:t>
      </w:r>
      <w:r w:rsidR="000D5898">
        <w:t>be mostly</w:t>
      </w:r>
      <w:r>
        <w:t xml:space="preserve"> in-person class sessions</w:t>
      </w:r>
      <w:r w:rsidR="000D5898">
        <w:t>, at least 2/3 of all class sessions</w:t>
      </w:r>
      <w:r>
        <w:t xml:space="preserve">. Consistent with this policy, we </w:t>
      </w:r>
      <w:r w:rsidR="000D5898">
        <w:t xml:space="preserve">can have </w:t>
      </w:r>
      <w:r w:rsidR="00BF5891">
        <w:t>up to</w:t>
      </w:r>
      <w:r w:rsidR="000D5898">
        <w:t xml:space="preserve"> 1/3 of class sessions online through Zoom or other means</w:t>
      </w:r>
      <w:r>
        <w:t>.</w:t>
      </w:r>
      <w:r w:rsidR="003D6337">
        <w:t xml:space="preserve"> </w:t>
      </w:r>
      <w:bookmarkStart w:id="1" w:name="_Hlk118814734"/>
      <w:r w:rsidR="003D6337">
        <w:t xml:space="preserve">The following are scheduled Zoom classes. </w:t>
      </w:r>
      <w:bookmarkEnd w:id="1"/>
      <w:r w:rsidR="003D6337">
        <w:t xml:space="preserve"> </w:t>
      </w:r>
    </w:p>
    <w:p w14:paraId="014649CC" w14:textId="0089BAB4" w:rsidR="003D6337" w:rsidRDefault="003D6337" w:rsidP="000D5898">
      <w:pPr>
        <w:jc w:val="both"/>
      </w:pPr>
    </w:p>
    <w:p w14:paraId="3ECC4995" w14:textId="7664FC83" w:rsidR="003D6337" w:rsidRPr="00610C7F" w:rsidRDefault="003D6337" w:rsidP="000D5898">
      <w:pPr>
        <w:jc w:val="both"/>
        <w:rPr>
          <w:b/>
          <w:bCs/>
        </w:rPr>
      </w:pPr>
      <w:r w:rsidRPr="00610C7F">
        <w:rPr>
          <w:b/>
          <w:bCs/>
        </w:rPr>
        <w:t xml:space="preserve">February 6, Monday </w:t>
      </w:r>
    </w:p>
    <w:p w14:paraId="1B382E2B" w14:textId="417FA00C" w:rsidR="003D6337" w:rsidRPr="00610C7F" w:rsidRDefault="003D6337" w:rsidP="000D5898">
      <w:pPr>
        <w:jc w:val="both"/>
        <w:rPr>
          <w:b/>
          <w:bCs/>
        </w:rPr>
      </w:pPr>
      <w:r w:rsidRPr="00610C7F">
        <w:rPr>
          <w:b/>
          <w:bCs/>
        </w:rPr>
        <w:t xml:space="preserve">February 9, Thursday (makeup class) </w:t>
      </w:r>
    </w:p>
    <w:p w14:paraId="582BCE4A" w14:textId="62C7437B" w:rsidR="003D6337" w:rsidRPr="00610C7F" w:rsidRDefault="003D6337" w:rsidP="000D5898">
      <w:pPr>
        <w:jc w:val="both"/>
        <w:rPr>
          <w:b/>
          <w:bCs/>
        </w:rPr>
      </w:pPr>
      <w:r w:rsidRPr="00610C7F">
        <w:rPr>
          <w:b/>
          <w:bCs/>
        </w:rPr>
        <w:t xml:space="preserve">February 16, Thursday (makeup class) </w:t>
      </w:r>
    </w:p>
    <w:p w14:paraId="1174ACF0" w14:textId="2B934A15" w:rsidR="003D6337" w:rsidRPr="00610C7F" w:rsidRDefault="00FB222B" w:rsidP="000D5898">
      <w:pPr>
        <w:jc w:val="both"/>
        <w:rPr>
          <w:b/>
          <w:bCs/>
        </w:rPr>
      </w:pPr>
      <w:r w:rsidRPr="00610C7F">
        <w:rPr>
          <w:b/>
          <w:bCs/>
        </w:rPr>
        <w:t xml:space="preserve">March 20, Monday </w:t>
      </w:r>
    </w:p>
    <w:p w14:paraId="3255D3C5" w14:textId="21A9F09A" w:rsidR="00C677D0" w:rsidRDefault="00C677D0" w:rsidP="000D5898">
      <w:pPr>
        <w:jc w:val="both"/>
      </w:pPr>
    </w:p>
    <w:p w14:paraId="0F801B17" w14:textId="36BB8BBB" w:rsidR="00C677D0" w:rsidRPr="00C677D0" w:rsidRDefault="00C677D0" w:rsidP="000D5898">
      <w:pPr>
        <w:jc w:val="both"/>
        <w:rPr>
          <w:b/>
          <w:bCs/>
        </w:rPr>
      </w:pPr>
      <w:bookmarkStart w:id="2" w:name="_Hlk118813086"/>
      <w:r>
        <w:rPr>
          <w:b/>
          <w:bCs/>
        </w:rPr>
        <w:t xml:space="preserve">CLASS CANCELATION AND </w:t>
      </w:r>
      <w:r w:rsidRPr="00C677D0">
        <w:rPr>
          <w:b/>
          <w:bCs/>
        </w:rPr>
        <w:t xml:space="preserve">MAKEUP CLASSES </w:t>
      </w:r>
    </w:p>
    <w:p w14:paraId="786D9129" w14:textId="1E66B926" w:rsidR="00C677D0" w:rsidRDefault="00C677D0" w:rsidP="000D5898">
      <w:pPr>
        <w:jc w:val="both"/>
      </w:pPr>
    </w:p>
    <w:p w14:paraId="3674B885" w14:textId="77777777" w:rsidR="00345474" w:rsidRDefault="00C677D0" w:rsidP="000D5898">
      <w:pPr>
        <w:jc w:val="both"/>
      </w:pPr>
      <w:r w:rsidRPr="003B0E7D">
        <w:rPr>
          <w:b/>
          <w:bCs/>
        </w:rPr>
        <w:t xml:space="preserve">Class on Monday, February 13 (Class #4) is </w:t>
      </w:r>
      <w:r w:rsidRPr="003B0E7D">
        <w:rPr>
          <w:b/>
          <w:bCs/>
          <w:u w:val="single"/>
        </w:rPr>
        <w:t>cancelled</w:t>
      </w:r>
      <w:r w:rsidRPr="003B0E7D">
        <w:rPr>
          <w:b/>
          <w:bCs/>
        </w:rPr>
        <w:t xml:space="preserve">. </w:t>
      </w:r>
      <w:r w:rsidRPr="00C677D0">
        <w:rPr>
          <w:b/>
          <w:bCs/>
        </w:rPr>
        <w:t xml:space="preserve">Makeup class is on </w:t>
      </w:r>
      <w:r w:rsidRPr="003B0E7D">
        <w:rPr>
          <w:b/>
          <w:bCs/>
          <w:u w:val="single"/>
        </w:rPr>
        <w:t>Thursday, February 9, 3:30pm to 5:50pm, via Zoom</w:t>
      </w:r>
      <w:r w:rsidRPr="00C677D0">
        <w:rPr>
          <w:b/>
          <w:bCs/>
        </w:rPr>
        <w:t xml:space="preserve"> (this class session will be recorded and made available to all students).</w:t>
      </w:r>
      <w:bookmarkEnd w:id="2"/>
    </w:p>
    <w:p w14:paraId="0813FC9F" w14:textId="01CF1EC8" w:rsidR="00345474" w:rsidRDefault="00345474" w:rsidP="000D5898">
      <w:pPr>
        <w:jc w:val="both"/>
      </w:pPr>
    </w:p>
    <w:p w14:paraId="3A8D7F5D" w14:textId="097C4E0E" w:rsidR="00345474" w:rsidRPr="003B0E7D" w:rsidRDefault="00345474" w:rsidP="003B0E7D">
      <w:pPr>
        <w:jc w:val="both"/>
      </w:pPr>
      <w:bookmarkStart w:id="3" w:name="_Hlk118813664"/>
      <w:r w:rsidRPr="003B0E7D">
        <w:rPr>
          <w:b/>
          <w:bCs/>
        </w:rPr>
        <w:t xml:space="preserve">Class on Monday, April 24 (Class #13) is </w:t>
      </w:r>
      <w:r w:rsidRPr="003B0E7D">
        <w:rPr>
          <w:b/>
          <w:bCs/>
          <w:u w:val="single"/>
        </w:rPr>
        <w:t>cancelled</w:t>
      </w:r>
      <w:r w:rsidRPr="003B0E7D">
        <w:rPr>
          <w:b/>
          <w:bCs/>
        </w:rPr>
        <w:t>.</w:t>
      </w:r>
      <w:r>
        <w:t xml:space="preserve"> </w:t>
      </w:r>
      <w:r w:rsidRPr="00345474">
        <w:rPr>
          <w:b/>
          <w:bCs/>
        </w:rPr>
        <w:t>Makeup class is on</w:t>
      </w:r>
      <w:r>
        <w:t xml:space="preserve"> </w:t>
      </w:r>
      <w:r w:rsidRPr="003B0E7D">
        <w:rPr>
          <w:b/>
          <w:bCs/>
          <w:u w:val="single"/>
        </w:rPr>
        <w:t>Thursday, February 16, 3:30pm to 5:50pm, via Zoom</w:t>
      </w:r>
      <w:r w:rsidRPr="00C677D0">
        <w:rPr>
          <w:b/>
          <w:bCs/>
        </w:rPr>
        <w:t xml:space="preserve"> (this class session will be recorded and made available to all students).</w:t>
      </w:r>
      <w:r>
        <w:t xml:space="preserve"> By cancelling the last class and doing a makeup earlier in the semester, students will end this course 1 week earlier than under the regular UF Law schedule</w:t>
      </w:r>
      <w:r w:rsidR="00302C91">
        <w:t>, which will</w:t>
      </w:r>
      <w:r>
        <w:t xml:space="preserve"> permit </w:t>
      </w:r>
      <w:r w:rsidR="00302C91">
        <w:t>earlier</w:t>
      </w:r>
      <w:r>
        <w:t xml:space="preserve"> exam preparation. </w:t>
      </w:r>
      <w:bookmarkEnd w:id="3"/>
      <w:r>
        <w:rPr>
          <w:rFonts w:ascii="Book Antiqua" w:hAnsi="Book Antiqua"/>
          <w:b/>
          <w:sz w:val="40"/>
        </w:rPr>
        <w:br w:type="page"/>
      </w:r>
    </w:p>
    <w:p w14:paraId="62DE5BD1" w14:textId="15E96A8E" w:rsidR="00AD33CD" w:rsidRPr="002664D3" w:rsidRDefault="00AD33CD" w:rsidP="002664D3">
      <w:pPr>
        <w:pStyle w:val="Heading1"/>
        <w:jc w:val="center"/>
        <w:rPr>
          <w:rFonts w:ascii="Book Antiqua" w:hAnsi="Book Antiqua"/>
          <w:b/>
          <w:color w:val="000000" w:themeColor="text1"/>
          <w:sz w:val="40"/>
        </w:rPr>
      </w:pPr>
      <w:r w:rsidRPr="002664D3">
        <w:rPr>
          <w:rFonts w:ascii="Book Antiqua" w:hAnsi="Book Antiqua"/>
          <w:b/>
          <w:color w:val="000000" w:themeColor="text1"/>
          <w:sz w:val="40"/>
        </w:rPr>
        <w:lastRenderedPageBreak/>
        <w:t>ASSIGNMENTS</w:t>
      </w:r>
    </w:p>
    <w:p w14:paraId="6636B483" w14:textId="77777777" w:rsidR="00763726" w:rsidRDefault="00763726" w:rsidP="00980D51">
      <w:pPr>
        <w:jc w:val="both"/>
        <w:rPr>
          <w:rFonts w:ascii="Book Antiqua" w:hAnsi="Book Antiqua"/>
          <w:b/>
        </w:rPr>
      </w:pPr>
    </w:p>
    <w:p w14:paraId="3BE76B47" w14:textId="77777777" w:rsidR="003C56B1" w:rsidRDefault="00763726" w:rsidP="00A66B27">
      <w:pPr>
        <w:jc w:val="both"/>
        <w:rPr>
          <w:rFonts w:ascii="Book Antiqua" w:hAnsi="Book Antiqua"/>
          <w:b/>
        </w:rPr>
      </w:pPr>
      <w:r>
        <w:rPr>
          <w:rFonts w:ascii="Book Antiqua" w:hAnsi="Book Antiqua"/>
          <w:b/>
        </w:rPr>
        <w:t>IMPORTANT NOTE</w:t>
      </w:r>
      <w:r w:rsidR="003C56B1">
        <w:rPr>
          <w:rFonts w:ascii="Book Antiqua" w:hAnsi="Book Antiqua"/>
          <w:b/>
        </w:rPr>
        <w:t>S</w:t>
      </w:r>
      <w:r>
        <w:rPr>
          <w:rFonts w:ascii="Book Antiqua" w:hAnsi="Book Antiqua"/>
          <w:b/>
        </w:rPr>
        <w:t xml:space="preserve"> TO STUDENTS:  </w:t>
      </w:r>
    </w:p>
    <w:p w14:paraId="2785DDAC" w14:textId="77777777" w:rsidR="003C56B1" w:rsidRDefault="003C56B1" w:rsidP="00A66B27">
      <w:pPr>
        <w:jc w:val="both"/>
        <w:rPr>
          <w:rFonts w:ascii="Book Antiqua" w:hAnsi="Book Antiqua"/>
          <w:b/>
        </w:rPr>
      </w:pPr>
    </w:p>
    <w:p w14:paraId="737611DD" w14:textId="77777777" w:rsidR="0052514D" w:rsidRPr="0052514D" w:rsidRDefault="0052514D" w:rsidP="003C56B1">
      <w:pPr>
        <w:pStyle w:val="ListParagraph"/>
        <w:numPr>
          <w:ilvl w:val="0"/>
          <w:numId w:val="22"/>
        </w:numPr>
        <w:ind w:left="360"/>
        <w:jc w:val="both"/>
        <w:rPr>
          <w:rFonts w:ascii="Book Antiqua" w:hAnsi="Book Antiqua"/>
          <w:b/>
        </w:rPr>
      </w:pPr>
      <w:r w:rsidRPr="001D0D2C">
        <w:rPr>
          <w:b/>
        </w:rPr>
        <w:t>This syllabus is offered as a guide to the direction of the course. Our pace will depend in part on the level of interest and the level of difficulty of each section and is subject to change.</w:t>
      </w:r>
      <w:r w:rsidRPr="001D0D2C">
        <w:rPr>
          <w:rFonts w:ascii="Book Antiqua" w:hAnsi="Book Antiqua"/>
          <w:b/>
          <w:sz w:val="28"/>
          <w:szCs w:val="28"/>
        </w:rPr>
        <w:t xml:space="preserve"> </w:t>
      </w:r>
    </w:p>
    <w:p w14:paraId="523C0743" w14:textId="77777777" w:rsidR="0052514D" w:rsidRPr="0052514D" w:rsidRDefault="0052514D" w:rsidP="0052514D">
      <w:pPr>
        <w:pStyle w:val="ListParagraph"/>
        <w:ind w:left="360"/>
        <w:jc w:val="both"/>
        <w:rPr>
          <w:rFonts w:ascii="Book Antiqua" w:hAnsi="Book Antiqua"/>
          <w:b/>
        </w:rPr>
      </w:pPr>
    </w:p>
    <w:p w14:paraId="7606C7B3" w14:textId="13983BD5" w:rsidR="00980D51" w:rsidRDefault="003468A3" w:rsidP="003C56B1">
      <w:pPr>
        <w:pStyle w:val="ListParagraph"/>
        <w:numPr>
          <w:ilvl w:val="0"/>
          <w:numId w:val="22"/>
        </w:numPr>
        <w:ind w:left="360"/>
        <w:jc w:val="both"/>
        <w:rPr>
          <w:rFonts w:ascii="Book Antiqua" w:hAnsi="Book Antiqua"/>
          <w:b/>
        </w:rPr>
      </w:pPr>
      <w:r w:rsidRPr="003C56B1">
        <w:rPr>
          <w:rFonts w:ascii="Book Antiqua" w:hAnsi="Book Antiqua"/>
          <w:b/>
        </w:rPr>
        <w:t xml:space="preserve">The syllabus </w:t>
      </w:r>
      <w:r w:rsidR="00302C91" w:rsidRPr="003C56B1">
        <w:rPr>
          <w:rFonts w:ascii="Book Antiqua" w:hAnsi="Book Antiqua"/>
          <w:b/>
        </w:rPr>
        <w:t>may</w:t>
      </w:r>
      <w:r w:rsidRPr="003C56B1">
        <w:rPr>
          <w:rFonts w:ascii="Book Antiqua" w:hAnsi="Book Antiqua"/>
          <w:b/>
        </w:rPr>
        <w:t xml:space="preserve"> be continuously updated throughout the course. </w:t>
      </w:r>
      <w:r w:rsidR="007119C3" w:rsidRPr="003C56B1">
        <w:rPr>
          <w:rFonts w:ascii="Book Antiqua" w:hAnsi="Book Antiqua"/>
          <w:b/>
        </w:rPr>
        <w:t>P</w:t>
      </w:r>
      <w:r w:rsidRPr="003C56B1">
        <w:rPr>
          <w:rFonts w:ascii="Book Antiqua" w:hAnsi="Book Antiqua"/>
          <w:b/>
        </w:rPr>
        <w:t xml:space="preserve">lease read at least </w:t>
      </w:r>
      <w:r w:rsidR="007119C3" w:rsidRPr="003C56B1">
        <w:rPr>
          <w:rFonts w:ascii="Book Antiqua" w:hAnsi="Book Antiqua"/>
          <w:b/>
        </w:rPr>
        <w:t>1</w:t>
      </w:r>
      <w:r w:rsidR="00D6339D" w:rsidRPr="003C56B1">
        <w:rPr>
          <w:rFonts w:ascii="Book Antiqua" w:hAnsi="Book Antiqua"/>
          <w:b/>
        </w:rPr>
        <w:t>0</w:t>
      </w:r>
      <w:r w:rsidRPr="003C56B1">
        <w:rPr>
          <w:rFonts w:ascii="Book Antiqua" w:hAnsi="Book Antiqua"/>
          <w:b/>
        </w:rPr>
        <w:t xml:space="preserve"> pages ahead of the current assignment </w:t>
      </w:r>
      <w:r w:rsidR="007119C3" w:rsidRPr="003C56B1">
        <w:rPr>
          <w:rFonts w:ascii="Book Antiqua" w:hAnsi="Book Antiqua"/>
          <w:b/>
        </w:rPr>
        <w:t xml:space="preserve">for the class session </w:t>
      </w:r>
      <w:r w:rsidRPr="003C56B1">
        <w:rPr>
          <w:rFonts w:ascii="Book Antiqua" w:hAnsi="Book Antiqua"/>
          <w:b/>
        </w:rPr>
        <w:t xml:space="preserve">in the </w:t>
      </w:r>
      <w:r w:rsidR="007119C3" w:rsidRPr="003C56B1">
        <w:rPr>
          <w:rFonts w:ascii="Book Antiqua" w:hAnsi="Book Antiqua"/>
          <w:b/>
        </w:rPr>
        <w:t>event</w:t>
      </w:r>
      <w:r w:rsidRPr="003C56B1">
        <w:rPr>
          <w:rFonts w:ascii="Book Antiqua" w:hAnsi="Book Antiqua"/>
          <w:b/>
        </w:rPr>
        <w:t xml:space="preserve"> that a particular class moves faster than anticipated. </w:t>
      </w:r>
    </w:p>
    <w:p w14:paraId="53124F7B" w14:textId="3D62351F" w:rsidR="003C56B1" w:rsidRDefault="003C56B1" w:rsidP="003C56B1">
      <w:pPr>
        <w:pStyle w:val="ListParagraph"/>
        <w:ind w:left="360"/>
        <w:jc w:val="both"/>
        <w:rPr>
          <w:rFonts w:ascii="Book Antiqua" w:hAnsi="Book Antiqua"/>
          <w:b/>
        </w:rPr>
      </w:pPr>
    </w:p>
    <w:p w14:paraId="27314C98" w14:textId="4D9C3CA0" w:rsidR="003C56B1" w:rsidRDefault="003C56B1" w:rsidP="003C56B1">
      <w:pPr>
        <w:pStyle w:val="ListParagraph"/>
        <w:numPr>
          <w:ilvl w:val="0"/>
          <w:numId w:val="22"/>
        </w:numPr>
        <w:ind w:left="360"/>
        <w:jc w:val="both"/>
        <w:rPr>
          <w:rFonts w:ascii="Book Antiqua" w:hAnsi="Book Antiqua"/>
          <w:b/>
        </w:rPr>
      </w:pPr>
      <w:r w:rsidRPr="007B3A9B">
        <w:rPr>
          <w:rFonts w:ascii="Book Antiqua" w:hAnsi="Book Antiqua"/>
          <w:b/>
          <w:bCs/>
        </w:rPr>
        <w:t xml:space="preserve">Questions and </w:t>
      </w:r>
      <w:r w:rsidR="005F61B2">
        <w:rPr>
          <w:rFonts w:ascii="Book Antiqua" w:hAnsi="Book Antiqua"/>
          <w:b/>
          <w:bCs/>
        </w:rPr>
        <w:t>P</w:t>
      </w:r>
      <w:r w:rsidRPr="007B3A9B">
        <w:rPr>
          <w:rFonts w:ascii="Book Antiqua" w:hAnsi="Book Antiqua"/>
          <w:b/>
          <w:bCs/>
        </w:rPr>
        <w:t xml:space="preserve">roblems are at the end of each chapter. Please prepare to discuss </w:t>
      </w:r>
      <w:r w:rsidR="005F61B2">
        <w:rPr>
          <w:rFonts w:ascii="Book Antiqua" w:hAnsi="Book Antiqua"/>
          <w:b/>
          <w:bCs/>
        </w:rPr>
        <w:t>them</w:t>
      </w:r>
      <w:r w:rsidRPr="007B3A9B">
        <w:rPr>
          <w:rFonts w:ascii="Book Antiqua" w:hAnsi="Book Antiqua"/>
          <w:b/>
          <w:bCs/>
        </w:rPr>
        <w:t xml:space="preserve"> at the end of each chapter.</w:t>
      </w:r>
      <w:r w:rsidR="005F61B2">
        <w:rPr>
          <w:rFonts w:ascii="Book Antiqua" w:hAnsi="Book Antiqua"/>
          <w:b/>
        </w:rPr>
        <w:t xml:space="preserve"> We may not cover all of them, but we will try to cover them. </w:t>
      </w:r>
    </w:p>
    <w:p w14:paraId="695FE4C1" w14:textId="77777777" w:rsidR="003C56B1" w:rsidRPr="003C56B1" w:rsidRDefault="003C56B1" w:rsidP="003C56B1">
      <w:pPr>
        <w:pStyle w:val="ListParagraph"/>
        <w:ind w:left="360"/>
        <w:rPr>
          <w:rFonts w:ascii="Book Antiqua" w:hAnsi="Book Antiqua"/>
          <w:b/>
        </w:rPr>
      </w:pPr>
    </w:p>
    <w:p w14:paraId="6F46D845" w14:textId="663F1417" w:rsidR="00052974" w:rsidRDefault="003C56B1" w:rsidP="00052974">
      <w:pPr>
        <w:pStyle w:val="ListParagraph"/>
        <w:numPr>
          <w:ilvl w:val="0"/>
          <w:numId w:val="22"/>
        </w:numPr>
        <w:ind w:left="360"/>
        <w:jc w:val="both"/>
        <w:rPr>
          <w:rFonts w:ascii="Book Antiqua" w:hAnsi="Book Antiqua"/>
          <w:b/>
        </w:rPr>
      </w:pPr>
      <w:r>
        <w:rPr>
          <w:rFonts w:ascii="Book Antiqua" w:hAnsi="Book Antiqua"/>
          <w:b/>
          <w:bCs/>
        </w:rPr>
        <w:t xml:space="preserve">When the casebook cites key statutory provisions, students should review them. The DGCL can be accessed at: </w:t>
      </w:r>
      <w:hyperlink r:id="rId19" w:history="1">
        <w:r w:rsidRPr="00172D55">
          <w:rPr>
            <w:rStyle w:val="Hyperlink"/>
            <w:rFonts w:ascii="Book Antiqua" w:hAnsi="Book Antiqua"/>
            <w:b/>
            <w:bCs/>
          </w:rPr>
          <w:t>https://delcode.delaware.gov/title8/c001/</w:t>
        </w:r>
      </w:hyperlink>
      <w:r>
        <w:rPr>
          <w:rFonts w:ascii="Book Antiqua" w:hAnsi="Book Antiqua"/>
          <w:b/>
          <w:bCs/>
        </w:rPr>
        <w:t xml:space="preserve">. </w:t>
      </w:r>
      <w:r>
        <w:rPr>
          <w:rFonts w:ascii="Book Antiqua" w:hAnsi="Book Antiqua"/>
          <w:b/>
        </w:rPr>
        <w:t xml:space="preserve"> </w:t>
      </w:r>
    </w:p>
    <w:p w14:paraId="44FD5726" w14:textId="37474F97" w:rsidR="00BA711E" w:rsidRDefault="00BA711E" w:rsidP="00AD33CD">
      <w:pPr>
        <w:rPr>
          <w:rFonts w:ascii="Book Antiqua" w:hAnsi="Book Antiqua"/>
          <w:b/>
        </w:rPr>
      </w:pPr>
    </w:p>
    <w:p w14:paraId="45C52CB8" w14:textId="77777777" w:rsidR="00052974" w:rsidRPr="0048487B" w:rsidRDefault="00052974" w:rsidP="00AD33CD">
      <w:pPr>
        <w:rPr>
          <w:rFonts w:ascii="Book Antiqua" w:hAnsi="Book Antiqua"/>
          <w:b/>
        </w:rPr>
      </w:pPr>
    </w:p>
    <w:tbl>
      <w:tblPr>
        <w:tblStyle w:val="TableGrid"/>
        <w:tblW w:w="9473" w:type="dxa"/>
        <w:tblInd w:w="-5" w:type="dxa"/>
        <w:tblLayout w:type="fixed"/>
        <w:tblLook w:val="04A0" w:firstRow="1" w:lastRow="0" w:firstColumn="1" w:lastColumn="0" w:noHBand="0" w:noVBand="1"/>
      </w:tblPr>
      <w:tblGrid>
        <w:gridCol w:w="1283"/>
        <w:gridCol w:w="7020"/>
        <w:gridCol w:w="1170"/>
      </w:tblGrid>
      <w:tr w:rsidR="00AD33CD" w14:paraId="40E1FA44" w14:textId="77777777" w:rsidTr="004B1C31">
        <w:trPr>
          <w:trHeight w:val="773"/>
        </w:trPr>
        <w:tc>
          <w:tcPr>
            <w:tcW w:w="1283" w:type="dxa"/>
            <w:vAlign w:val="center"/>
          </w:tcPr>
          <w:p w14:paraId="7EE6A5E4" w14:textId="77777777" w:rsidR="00AD33CD" w:rsidRPr="00E81769" w:rsidRDefault="00AD33CD" w:rsidP="00B57107">
            <w:pPr>
              <w:jc w:val="center"/>
              <w:rPr>
                <w:rFonts w:ascii="Book Antiqua" w:hAnsi="Book Antiqua"/>
                <w:b/>
              </w:rPr>
            </w:pPr>
            <w:r w:rsidRPr="00E81769">
              <w:rPr>
                <w:rFonts w:ascii="Book Antiqua" w:hAnsi="Book Antiqua"/>
                <w:b/>
              </w:rPr>
              <w:t>Class #</w:t>
            </w:r>
          </w:p>
        </w:tc>
        <w:tc>
          <w:tcPr>
            <w:tcW w:w="7020" w:type="dxa"/>
          </w:tcPr>
          <w:p w14:paraId="71771D00" w14:textId="77777777" w:rsidR="00AD33CD" w:rsidRPr="00E81769" w:rsidRDefault="00AD33CD" w:rsidP="00B57107">
            <w:pPr>
              <w:jc w:val="center"/>
              <w:rPr>
                <w:rFonts w:ascii="Book Antiqua" w:hAnsi="Book Antiqua"/>
                <w:b/>
              </w:rPr>
            </w:pPr>
          </w:p>
          <w:p w14:paraId="01A08EE7" w14:textId="63002D89" w:rsidR="00AD33CD" w:rsidRPr="00E81769" w:rsidRDefault="00AD33CD" w:rsidP="00B57107">
            <w:pPr>
              <w:jc w:val="center"/>
              <w:rPr>
                <w:rFonts w:ascii="Book Antiqua" w:hAnsi="Book Antiqua"/>
                <w:b/>
              </w:rPr>
            </w:pPr>
            <w:r w:rsidRPr="00E81769">
              <w:rPr>
                <w:rFonts w:ascii="Book Antiqua" w:hAnsi="Book Antiqua"/>
                <w:b/>
              </w:rPr>
              <w:t>Topics, Issues, and Cases</w:t>
            </w:r>
          </w:p>
        </w:tc>
        <w:tc>
          <w:tcPr>
            <w:tcW w:w="1170" w:type="dxa"/>
            <w:vAlign w:val="center"/>
          </w:tcPr>
          <w:p w14:paraId="0796D7D0" w14:textId="46A781E2" w:rsidR="0052514D" w:rsidRPr="00E81769" w:rsidRDefault="006A3BFD" w:rsidP="00052974">
            <w:pPr>
              <w:jc w:val="center"/>
              <w:rPr>
                <w:rFonts w:ascii="Book Antiqua" w:hAnsi="Book Antiqua"/>
                <w:b/>
              </w:rPr>
            </w:pPr>
            <w:r w:rsidRPr="00E81769">
              <w:rPr>
                <w:rFonts w:ascii="Book Antiqua" w:hAnsi="Book Antiqua"/>
                <w:b/>
              </w:rPr>
              <w:t>Text pages</w:t>
            </w:r>
          </w:p>
        </w:tc>
      </w:tr>
      <w:tr w:rsidR="00AD33CD" w14:paraId="57ADEFD4" w14:textId="77777777" w:rsidTr="004B1C31">
        <w:trPr>
          <w:trHeight w:val="692"/>
        </w:trPr>
        <w:tc>
          <w:tcPr>
            <w:tcW w:w="1283" w:type="dxa"/>
            <w:shd w:val="clear" w:color="auto" w:fill="FFFFFF" w:themeFill="background1"/>
          </w:tcPr>
          <w:p w14:paraId="72CEC4AE" w14:textId="041522FB" w:rsidR="00AD33CD" w:rsidRDefault="009B774B" w:rsidP="00B57107">
            <w:pPr>
              <w:jc w:val="center"/>
              <w:rPr>
                <w:rFonts w:ascii="Book Antiqua" w:hAnsi="Book Antiqua"/>
              </w:rPr>
            </w:pPr>
            <w:r>
              <w:rPr>
                <w:rFonts w:ascii="Book Antiqua" w:hAnsi="Book Antiqua"/>
              </w:rPr>
              <w:t>1</w:t>
            </w:r>
          </w:p>
          <w:p w14:paraId="39EBA2B8" w14:textId="1FCE34C7" w:rsidR="006B376D" w:rsidRDefault="006B376D" w:rsidP="00B57107">
            <w:pPr>
              <w:jc w:val="center"/>
              <w:rPr>
                <w:rFonts w:ascii="Book Antiqua" w:hAnsi="Book Antiqua"/>
              </w:rPr>
            </w:pPr>
          </w:p>
          <w:p w14:paraId="44CB7828" w14:textId="6DCBC0B1" w:rsidR="006B376D" w:rsidRDefault="006B376D" w:rsidP="00B57107">
            <w:pPr>
              <w:jc w:val="center"/>
              <w:rPr>
                <w:rFonts w:ascii="Book Antiqua" w:hAnsi="Book Antiqua"/>
              </w:rPr>
            </w:pPr>
            <w:r>
              <w:rPr>
                <w:rFonts w:ascii="Book Antiqua" w:hAnsi="Book Antiqua"/>
              </w:rPr>
              <w:t>Jan. 23</w:t>
            </w:r>
          </w:p>
          <w:p w14:paraId="626028E5" w14:textId="77777777" w:rsidR="00763726" w:rsidRDefault="00763726" w:rsidP="00B57107">
            <w:pPr>
              <w:jc w:val="center"/>
              <w:rPr>
                <w:rFonts w:ascii="Book Antiqua" w:hAnsi="Book Antiqua"/>
              </w:rPr>
            </w:pPr>
          </w:p>
          <w:p w14:paraId="384ACE6B" w14:textId="3ADE7E74" w:rsidR="00763726" w:rsidRPr="00E81769" w:rsidRDefault="00763726" w:rsidP="00B57107">
            <w:pPr>
              <w:jc w:val="center"/>
              <w:rPr>
                <w:rFonts w:ascii="Book Antiqua" w:hAnsi="Book Antiqua"/>
              </w:rPr>
            </w:pPr>
          </w:p>
        </w:tc>
        <w:tc>
          <w:tcPr>
            <w:tcW w:w="7020" w:type="dxa"/>
            <w:shd w:val="clear" w:color="auto" w:fill="FFFFFF" w:themeFill="background1"/>
          </w:tcPr>
          <w:p w14:paraId="7B89829A" w14:textId="756C3C7B" w:rsidR="00D6339D" w:rsidRPr="006F6734" w:rsidRDefault="00FA51D2" w:rsidP="003D0CC5">
            <w:pPr>
              <w:jc w:val="both"/>
              <w:rPr>
                <w:rFonts w:ascii="Book Antiqua" w:hAnsi="Book Antiqua"/>
                <w:b/>
                <w:bCs/>
              </w:rPr>
            </w:pPr>
            <w:r w:rsidRPr="006F6734">
              <w:rPr>
                <w:rFonts w:ascii="Book Antiqua" w:hAnsi="Book Antiqua"/>
                <w:b/>
                <w:bCs/>
              </w:rPr>
              <w:t xml:space="preserve">Chapter </w:t>
            </w:r>
            <w:r w:rsidR="00A55D11" w:rsidRPr="006F6734">
              <w:rPr>
                <w:rFonts w:ascii="Book Antiqua" w:hAnsi="Book Antiqua"/>
                <w:b/>
                <w:bCs/>
              </w:rPr>
              <w:t>1</w:t>
            </w:r>
            <w:r w:rsidR="00D6339D" w:rsidRPr="006F6734">
              <w:rPr>
                <w:rFonts w:ascii="Book Antiqua" w:hAnsi="Book Antiqua"/>
                <w:b/>
                <w:bCs/>
              </w:rPr>
              <w:t xml:space="preserve">:  Introduction </w:t>
            </w:r>
          </w:p>
          <w:p w14:paraId="45F30A93" w14:textId="3354EE37" w:rsidR="00FF1776" w:rsidRDefault="00FA51D2">
            <w:pPr>
              <w:pStyle w:val="ListParagraph"/>
              <w:numPr>
                <w:ilvl w:val="0"/>
                <w:numId w:val="3"/>
              </w:numPr>
              <w:jc w:val="both"/>
              <w:rPr>
                <w:rFonts w:ascii="Book Antiqua" w:hAnsi="Book Antiqua"/>
              </w:rPr>
            </w:pPr>
            <w:r w:rsidRPr="00D6339D">
              <w:rPr>
                <w:rFonts w:ascii="Book Antiqua" w:hAnsi="Book Antiqua"/>
              </w:rPr>
              <w:t>Section</w:t>
            </w:r>
            <w:r w:rsidR="00D6339D">
              <w:rPr>
                <w:rFonts w:ascii="Book Antiqua" w:hAnsi="Book Antiqua"/>
              </w:rPr>
              <w:t xml:space="preserve"> A:  History </w:t>
            </w:r>
          </w:p>
          <w:p w14:paraId="5C438367" w14:textId="66B5DCF1" w:rsidR="00FD7849" w:rsidRDefault="00FD7849" w:rsidP="00FD7849">
            <w:pPr>
              <w:pStyle w:val="ListParagraph"/>
              <w:numPr>
                <w:ilvl w:val="0"/>
                <w:numId w:val="20"/>
              </w:numPr>
              <w:jc w:val="both"/>
              <w:rPr>
                <w:rFonts w:ascii="Book Antiqua" w:hAnsi="Book Antiqua"/>
              </w:rPr>
            </w:pPr>
            <w:r>
              <w:rPr>
                <w:rFonts w:ascii="Book Antiqua" w:hAnsi="Book Antiqua"/>
              </w:rPr>
              <w:t xml:space="preserve">Skim read this section, pages 1-15 (we will briskly cover this material in class) </w:t>
            </w:r>
          </w:p>
          <w:p w14:paraId="6B2881A8" w14:textId="5021A660" w:rsidR="00D6339D" w:rsidRDefault="00D6339D">
            <w:pPr>
              <w:pStyle w:val="ListParagraph"/>
              <w:numPr>
                <w:ilvl w:val="0"/>
                <w:numId w:val="3"/>
              </w:numPr>
              <w:jc w:val="both"/>
              <w:rPr>
                <w:rFonts w:ascii="Book Antiqua" w:hAnsi="Book Antiqua"/>
              </w:rPr>
            </w:pPr>
            <w:r>
              <w:rPr>
                <w:rFonts w:ascii="Book Antiqua" w:hAnsi="Book Antiqua"/>
              </w:rPr>
              <w:t xml:space="preserve">Section B:  Drivers of Mergers and Acquisitions </w:t>
            </w:r>
          </w:p>
          <w:p w14:paraId="35F890A2" w14:textId="2886D123" w:rsidR="00D6339D" w:rsidRDefault="00D6339D">
            <w:pPr>
              <w:pStyle w:val="ListParagraph"/>
              <w:numPr>
                <w:ilvl w:val="0"/>
                <w:numId w:val="3"/>
              </w:numPr>
              <w:jc w:val="both"/>
              <w:rPr>
                <w:rFonts w:ascii="Book Antiqua" w:hAnsi="Book Antiqua"/>
              </w:rPr>
            </w:pPr>
            <w:r>
              <w:rPr>
                <w:rFonts w:ascii="Book Antiqua" w:hAnsi="Book Antiqua"/>
              </w:rPr>
              <w:t>Section C</w:t>
            </w:r>
            <w:r w:rsidR="00C33F78">
              <w:rPr>
                <w:rFonts w:ascii="Book Antiqua" w:hAnsi="Book Antiqua"/>
              </w:rPr>
              <w:t xml:space="preserve">:  Note on Applicable Law </w:t>
            </w:r>
          </w:p>
          <w:p w14:paraId="57120635" w14:textId="1C6EF986" w:rsidR="00C33F78" w:rsidRDefault="00C33F78">
            <w:pPr>
              <w:pStyle w:val="ListParagraph"/>
              <w:numPr>
                <w:ilvl w:val="0"/>
                <w:numId w:val="3"/>
              </w:numPr>
              <w:jc w:val="both"/>
              <w:rPr>
                <w:rFonts w:ascii="Book Antiqua" w:hAnsi="Book Antiqua"/>
              </w:rPr>
            </w:pPr>
            <w:r>
              <w:rPr>
                <w:rFonts w:ascii="Book Antiqua" w:hAnsi="Book Antiqua"/>
              </w:rPr>
              <w:t xml:space="preserve">Section D:  Introduction Note on Valuation </w:t>
            </w:r>
          </w:p>
          <w:p w14:paraId="121DEB5C" w14:textId="60498F8A" w:rsidR="00D6339D" w:rsidRPr="00C33F78" w:rsidRDefault="00C33F78">
            <w:pPr>
              <w:pStyle w:val="ListParagraph"/>
              <w:numPr>
                <w:ilvl w:val="0"/>
                <w:numId w:val="3"/>
              </w:numPr>
              <w:jc w:val="both"/>
              <w:rPr>
                <w:rFonts w:ascii="Book Antiqua" w:hAnsi="Book Antiqua"/>
              </w:rPr>
            </w:pPr>
            <w:r>
              <w:rPr>
                <w:rFonts w:ascii="Book Antiqua" w:hAnsi="Book Antiqua"/>
              </w:rPr>
              <w:t xml:space="preserve">Section E:  The Deals in This Casebook </w:t>
            </w:r>
          </w:p>
          <w:p w14:paraId="08946853" w14:textId="77777777" w:rsidR="00D6339D" w:rsidRDefault="00D6339D" w:rsidP="003D0CC5">
            <w:pPr>
              <w:jc w:val="both"/>
              <w:rPr>
                <w:rFonts w:ascii="Book Antiqua" w:hAnsi="Book Antiqua"/>
              </w:rPr>
            </w:pPr>
          </w:p>
          <w:p w14:paraId="69705BC3" w14:textId="012FB0C1" w:rsidR="00FA51D2" w:rsidRPr="006F6734" w:rsidRDefault="00FA51D2" w:rsidP="003D0CC5">
            <w:pPr>
              <w:jc w:val="both"/>
              <w:rPr>
                <w:rFonts w:ascii="Book Antiqua" w:hAnsi="Book Antiqua"/>
                <w:b/>
                <w:bCs/>
              </w:rPr>
            </w:pPr>
            <w:r w:rsidRPr="006F6734">
              <w:rPr>
                <w:rFonts w:ascii="Book Antiqua" w:hAnsi="Book Antiqua"/>
                <w:b/>
                <w:bCs/>
              </w:rPr>
              <w:t xml:space="preserve">Chapter </w:t>
            </w:r>
            <w:r w:rsidR="00A55D11" w:rsidRPr="006F6734">
              <w:rPr>
                <w:rFonts w:ascii="Book Antiqua" w:hAnsi="Book Antiqua"/>
                <w:b/>
                <w:bCs/>
              </w:rPr>
              <w:t>2</w:t>
            </w:r>
            <w:r w:rsidR="00C33F78" w:rsidRPr="006F6734">
              <w:rPr>
                <w:rFonts w:ascii="Book Antiqua" w:hAnsi="Book Antiqua"/>
                <w:b/>
                <w:bCs/>
              </w:rPr>
              <w:t>:  Deal Structures</w:t>
            </w:r>
            <w:r w:rsidR="006F6734">
              <w:rPr>
                <w:rFonts w:ascii="Book Antiqua" w:hAnsi="Book Antiqua"/>
                <w:b/>
                <w:bCs/>
              </w:rPr>
              <w:t>:</w:t>
            </w:r>
            <w:r w:rsidR="00C33F78" w:rsidRPr="006F6734">
              <w:rPr>
                <w:rFonts w:ascii="Book Antiqua" w:hAnsi="Book Antiqua"/>
                <w:b/>
                <w:bCs/>
              </w:rPr>
              <w:t xml:space="preserve"> Introduction to Mergers and Asset Sales </w:t>
            </w:r>
          </w:p>
          <w:p w14:paraId="0C8FF3AC" w14:textId="13C071C7" w:rsidR="00C33F78" w:rsidRDefault="00C33F78">
            <w:pPr>
              <w:pStyle w:val="ListParagraph"/>
              <w:numPr>
                <w:ilvl w:val="0"/>
                <w:numId w:val="4"/>
              </w:numPr>
              <w:jc w:val="both"/>
              <w:rPr>
                <w:rFonts w:ascii="Book Antiqua" w:hAnsi="Book Antiqua"/>
              </w:rPr>
            </w:pPr>
            <w:r>
              <w:rPr>
                <w:rFonts w:ascii="Book Antiqua" w:hAnsi="Book Antiqua"/>
              </w:rPr>
              <w:t xml:space="preserve">Section A:  Building Your Deal Vocabulary </w:t>
            </w:r>
          </w:p>
          <w:p w14:paraId="58D98954" w14:textId="093ED92B" w:rsidR="00C33F78" w:rsidRPr="00C33F78" w:rsidRDefault="00C33F78">
            <w:pPr>
              <w:pStyle w:val="ListParagraph"/>
              <w:numPr>
                <w:ilvl w:val="0"/>
                <w:numId w:val="4"/>
              </w:numPr>
              <w:jc w:val="both"/>
              <w:rPr>
                <w:rFonts w:ascii="Book Antiqua" w:hAnsi="Book Antiqua"/>
              </w:rPr>
            </w:pPr>
            <w:r>
              <w:rPr>
                <w:rFonts w:ascii="Book Antiqua" w:hAnsi="Book Antiqua"/>
              </w:rPr>
              <w:t xml:space="preserve">Section B:  Statutory Merger </w:t>
            </w:r>
          </w:p>
          <w:p w14:paraId="5322B5E1" w14:textId="65462CEF" w:rsidR="00C73696" w:rsidRPr="003C56B1" w:rsidRDefault="00C73696" w:rsidP="003C56B1">
            <w:pPr>
              <w:jc w:val="both"/>
              <w:rPr>
                <w:rFonts w:ascii="Book Antiqua" w:hAnsi="Book Antiqua"/>
              </w:rPr>
            </w:pPr>
          </w:p>
        </w:tc>
        <w:tc>
          <w:tcPr>
            <w:tcW w:w="1170" w:type="dxa"/>
            <w:shd w:val="clear" w:color="auto" w:fill="FFFFFF" w:themeFill="background1"/>
          </w:tcPr>
          <w:p w14:paraId="03165E29" w14:textId="425FAFA2" w:rsidR="00427558" w:rsidRDefault="00FA51D2" w:rsidP="00B57107">
            <w:pPr>
              <w:jc w:val="center"/>
              <w:rPr>
                <w:rFonts w:ascii="Book Antiqua" w:hAnsi="Book Antiqua"/>
              </w:rPr>
            </w:pPr>
            <w:r>
              <w:rPr>
                <w:rFonts w:ascii="Book Antiqua" w:hAnsi="Book Antiqua"/>
              </w:rPr>
              <w:t>1-</w:t>
            </w:r>
            <w:r w:rsidR="00163B4E">
              <w:rPr>
                <w:rFonts w:ascii="Book Antiqua" w:hAnsi="Book Antiqua"/>
              </w:rPr>
              <w:t>28</w:t>
            </w:r>
          </w:p>
          <w:p w14:paraId="4C24F4C7" w14:textId="77777777" w:rsidR="00427558" w:rsidRDefault="00427558" w:rsidP="00B57107">
            <w:pPr>
              <w:jc w:val="center"/>
              <w:rPr>
                <w:rFonts w:ascii="Book Antiqua" w:hAnsi="Book Antiqua"/>
              </w:rPr>
            </w:pPr>
          </w:p>
          <w:p w14:paraId="592A1614" w14:textId="77777777" w:rsidR="00C33F78" w:rsidRDefault="00C33F78" w:rsidP="00B57107">
            <w:pPr>
              <w:jc w:val="center"/>
              <w:rPr>
                <w:rFonts w:ascii="Book Antiqua" w:hAnsi="Book Antiqua"/>
              </w:rPr>
            </w:pPr>
          </w:p>
          <w:p w14:paraId="4AF859F6" w14:textId="77777777" w:rsidR="00C33F78" w:rsidRDefault="00C33F78" w:rsidP="00B57107">
            <w:pPr>
              <w:jc w:val="center"/>
              <w:rPr>
                <w:rFonts w:ascii="Book Antiqua" w:hAnsi="Book Antiqua"/>
              </w:rPr>
            </w:pPr>
          </w:p>
          <w:p w14:paraId="78EA76FA" w14:textId="77777777" w:rsidR="00C33F78" w:rsidRDefault="00C33F78" w:rsidP="00B57107">
            <w:pPr>
              <w:jc w:val="center"/>
              <w:rPr>
                <w:rFonts w:ascii="Book Antiqua" w:hAnsi="Book Antiqua"/>
              </w:rPr>
            </w:pPr>
          </w:p>
          <w:p w14:paraId="0D139B00" w14:textId="77777777" w:rsidR="00C33F78" w:rsidRDefault="00C33F78" w:rsidP="00B57107">
            <w:pPr>
              <w:jc w:val="center"/>
              <w:rPr>
                <w:rFonts w:ascii="Book Antiqua" w:hAnsi="Book Antiqua"/>
              </w:rPr>
            </w:pPr>
          </w:p>
          <w:p w14:paraId="337DFB5D" w14:textId="77777777" w:rsidR="00C33F78" w:rsidRDefault="00C33F78" w:rsidP="00B57107">
            <w:pPr>
              <w:jc w:val="center"/>
              <w:rPr>
                <w:rFonts w:ascii="Book Antiqua" w:hAnsi="Book Antiqua"/>
              </w:rPr>
            </w:pPr>
          </w:p>
          <w:p w14:paraId="502F1DAF" w14:textId="77777777" w:rsidR="00FD7849" w:rsidRDefault="00FD7849" w:rsidP="00B57107">
            <w:pPr>
              <w:jc w:val="center"/>
              <w:rPr>
                <w:rFonts w:ascii="Book Antiqua" w:hAnsi="Book Antiqua"/>
              </w:rPr>
            </w:pPr>
          </w:p>
          <w:p w14:paraId="27700A32" w14:textId="77777777" w:rsidR="00FD7849" w:rsidRDefault="00FD7849" w:rsidP="00B57107">
            <w:pPr>
              <w:jc w:val="center"/>
              <w:rPr>
                <w:rFonts w:ascii="Book Antiqua" w:hAnsi="Book Antiqua"/>
              </w:rPr>
            </w:pPr>
          </w:p>
          <w:p w14:paraId="75A86169" w14:textId="3A92A927" w:rsidR="00AD33CD" w:rsidRPr="00E81769" w:rsidRDefault="00163B4E" w:rsidP="00B57107">
            <w:pPr>
              <w:jc w:val="center"/>
              <w:rPr>
                <w:rFonts w:ascii="Book Antiqua" w:hAnsi="Book Antiqua"/>
              </w:rPr>
            </w:pPr>
            <w:r>
              <w:rPr>
                <w:rFonts w:ascii="Book Antiqua" w:hAnsi="Book Antiqua"/>
              </w:rPr>
              <w:t>31</w:t>
            </w:r>
            <w:r w:rsidR="00FA51D2">
              <w:rPr>
                <w:rFonts w:ascii="Book Antiqua" w:hAnsi="Book Antiqua"/>
              </w:rPr>
              <w:t>-</w:t>
            </w:r>
            <w:r w:rsidR="0093219E">
              <w:rPr>
                <w:rFonts w:ascii="Book Antiqua" w:hAnsi="Book Antiqua"/>
              </w:rPr>
              <w:t>46</w:t>
            </w:r>
          </w:p>
        </w:tc>
      </w:tr>
      <w:tr w:rsidR="00AD33CD" w:rsidRPr="00420406" w14:paraId="6736307B" w14:textId="77777777" w:rsidTr="004B1C31">
        <w:tc>
          <w:tcPr>
            <w:tcW w:w="1283" w:type="dxa"/>
            <w:shd w:val="clear" w:color="auto" w:fill="FFFFFF" w:themeFill="background1"/>
          </w:tcPr>
          <w:p w14:paraId="699460F7" w14:textId="3CAC2AB5" w:rsidR="00763726" w:rsidRDefault="00AD33CD" w:rsidP="0007278A">
            <w:pPr>
              <w:jc w:val="center"/>
            </w:pPr>
            <w:r w:rsidRPr="00E81769">
              <w:t>2</w:t>
            </w:r>
          </w:p>
          <w:p w14:paraId="33EF2484" w14:textId="7858AFB8" w:rsidR="006B376D" w:rsidRDefault="006B376D" w:rsidP="0007278A">
            <w:pPr>
              <w:jc w:val="center"/>
            </w:pPr>
          </w:p>
          <w:p w14:paraId="7D5A28E4" w14:textId="4DE1AE87" w:rsidR="006B376D" w:rsidRDefault="006B376D" w:rsidP="0007278A">
            <w:pPr>
              <w:jc w:val="center"/>
            </w:pPr>
            <w:r>
              <w:t>Jan. 30</w:t>
            </w:r>
          </w:p>
          <w:p w14:paraId="46D68D6E" w14:textId="04A5F206" w:rsidR="00763726" w:rsidRPr="00E81769" w:rsidRDefault="00763726" w:rsidP="00B57107">
            <w:pPr>
              <w:jc w:val="center"/>
            </w:pPr>
          </w:p>
        </w:tc>
        <w:tc>
          <w:tcPr>
            <w:tcW w:w="7020" w:type="dxa"/>
            <w:shd w:val="clear" w:color="auto" w:fill="FFFFFF" w:themeFill="background1"/>
          </w:tcPr>
          <w:p w14:paraId="36A6A934" w14:textId="60749D09" w:rsidR="00C33F78" w:rsidRPr="006F6734" w:rsidRDefault="00C33F78" w:rsidP="003D0CC5">
            <w:pPr>
              <w:jc w:val="both"/>
              <w:rPr>
                <w:rFonts w:ascii="Book Antiqua" w:hAnsi="Book Antiqua"/>
                <w:b/>
                <w:bCs/>
              </w:rPr>
            </w:pPr>
            <w:r w:rsidRPr="006F6734">
              <w:rPr>
                <w:rFonts w:ascii="Book Antiqua" w:hAnsi="Book Antiqua"/>
                <w:b/>
                <w:bCs/>
              </w:rPr>
              <w:t>Chapter 2:  Deal Structures</w:t>
            </w:r>
            <w:r w:rsidR="006F6734">
              <w:rPr>
                <w:rFonts w:ascii="Book Antiqua" w:hAnsi="Book Antiqua"/>
                <w:b/>
                <w:bCs/>
              </w:rPr>
              <w:t>:</w:t>
            </w:r>
            <w:r w:rsidRPr="006F6734">
              <w:rPr>
                <w:rFonts w:ascii="Book Antiqua" w:hAnsi="Book Antiqua"/>
                <w:b/>
                <w:bCs/>
              </w:rPr>
              <w:t xml:space="preserve"> Introduction to Mergers and Asset Sales  </w:t>
            </w:r>
          </w:p>
          <w:p w14:paraId="26F22B8C" w14:textId="2E7CCC9C" w:rsidR="00AD33CD" w:rsidRDefault="00C170C2">
            <w:pPr>
              <w:pStyle w:val="ListParagraph"/>
              <w:numPr>
                <w:ilvl w:val="0"/>
                <w:numId w:val="5"/>
              </w:numPr>
              <w:jc w:val="both"/>
              <w:rPr>
                <w:rFonts w:ascii="Book Antiqua" w:hAnsi="Book Antiqua"/>
              </w:rPr>
            </w:pPr>
            <w:r w:rsidRPr="00C33F78">
              <w:rPr>
                <w:rFonts w:ascii="Book Antiqua" w:hAnsi="Book Antiqua"/>
              </w:rPr>
              <w:t xml:space="preserve">Section </w:t>
            </w:r>
            <w:r w:rsidR="0093219E" w:rsidRPr="00C33F78">
              <w:rPr>
                <w:rFonts w:ascii="Book Antiqua" w:hAnsi="Book Antiqua"/>
              </w:rPr>
              <w:t>C</w:t>
            </w:r>
            <w:r w:rsidR="00C33F78">
              <w:rPr>
                <w:rFonts w:ascii="Book Antiqua" w:hAnsi="Book Antiqua"/>
              </w:rPr>
              <w:t xml:space="preserve">:  Mergers in Practice, The Dell Example </w:t>
            </w:r>
          </w:p>
          <w:p w14:paraId="5A487B25" w14:textId="45A0AA16" w:rsidR="00C33F78" w:rsidRDefault="00C33F78">
            <w:pPr>
              <w:pStyle w:val="ListParagraph"/>
              <w:numPr>
                <w:ilvl w:val="0"/>
                <w:numId w:val="5"/>
              </w:numPr>
              <w:jc w:val="both"/>
              <w:rPr>
                <w:rFonts w:ascii="Book Antiqua" w:hAnsi="Book Antiqua"/>
              </w:rPr>
            </w:pPr>
            <w:r>
              <w:rPr>
                <w:rFonts w:ascii="Book Antiqua" w:hAnsi="Book Antiqua"/>
              </w:rPr>
              <w:t xml:space="preserve">Section D:  Sale of All or Substantially All Assets </w:t>
            </w:r>
          </w:p>
          <w:p w14:paraId="3A28803F" w14:textId="665307DD" w:rsidR="00C33F78" w:rsidRPr="00C33F78" w:rsidRDefault="00C33F78">
            <w:pPr>
              <w:pStyle w:val="ListParagraph"/>
              <w:numPr>
                <w:ilvl w:val="0"/>
                <w:numId w:val="5"/>
              </w:numPr>
              <w:jc w:val="both"/>
              <w:rPr>
                <w:rFonts w:ascii="Book Antiqua" w:hAnsi="Book Antiqua"/>
              </w:rPr>
            </w:pPr>
            <w:r>
              <w:rPr>
                <w:rFonts w:ascii="Book Antiqua" w:hAnsi="Book Antiqua"/>
              </w:rPr>
              <w:t xml:space="preserve">Section E:  Tax Considerations </w:t>
            </w:r>
          </w:p>
          <w:p w14:paraId="697CC8DE" w14:textId="7C36A6BF" w:rsidR="004F3FE5" w:rsidRDefault="004F3FE5" w:rsidP="003D0CC5">
            <w:pPr>
              <w:jc w:val="both"/>
              <w:rPr>
                <w:rFonts w:ascii="Book Antiqua" w:hAnsi="Book Antiqua"/>
              </w:rPr>
            </w:pPr>
          </w:p>
          <w:p w14:paraId="05C572D0" w14:textId="1C58E2E6" w:rsidR="00C33F78" w:rsidRPr="006F6734" w:rsidRDefault="00A12A30" w:rsidP="00C33F78">
            <w:pPr>
              <w:jc w:val="both"/>
              <w:rPr>
                <w:rFonts w:ascii="Book Antiqua" w:hAnsi="Book Antiqua"/>
                <w:b/>
                <w:bCs/>
              </w:rPr>
            </w:pPr>
            <w:r w:rsidRPr="006F6734">
              <w:rPr>
                <w:rFonts w:ascii="Book Antiqua" w:hAnsi="Book Antiqua"/>
                <w:b/>
                <w:bCs/>
              </w:rPr>
              <w:t>Chapter 3</w:t>
            </w:r>
            <w:r w:rsidR="00C33F78" w:rsidRPr="006F6734">
              <w:rPr>
                <w:rFonts w:ascii="Book Antiqua" w:hAnsi="Book Antiqua"/>
                <w:b/>
                <w:bCs/>
              </w:rPr>
              <w:t xml:space="preserve">:  Appraisal Rights </w:t>
            </w:r>
          </w:p>
          <w:p w14:paraId="02D23FC0" w14:textId="099A912D" w:rsidR="00C33F78" w:rsidRDefault="00C33F78">
            <w:pPr>
              <w:pStyle w:val="ListParagraph"/>
              <w:numPr>
                <w:ilvl w:val="0"/>
                <w:numId w:val="5"/>
              </w:numPr>
              <w:jc w:val="both"/>
              <w:rPr>
                <w:rFonts w:ascii="Book Antiqua" w:hAnsi="Book Antiqua"/>
              </w:rPr>
            </w:pPr>
            <w:r w:rsidRPr="00C33F78">
              <w:rPr>
                <w:rFonts w:ascii="Book Antiqua" w:hAnsi="Book Antiqua"/>
              </w:rPr>
              <w:t xml:space="preserve">Section </w:t>
            </w:r>
            <w:r>
              <w:rPr>
                <w:rFonts w:ascii="Book Antiqua" w:hAnsi="Book Antiqua"/>
              </w:rPr>
              <w:t xml:space="preserve">A:  Perfecting Appraisal Rights? </w:t>
            </w:r>
          </w:p>
          <w:p w14:paraId="56E46657" w14:textId="078C1F2B" w:rsidR="00C33F78" w:rsidRDefault="00C33F78">
            <w:pPr>
              <w:pStyle w:val="ListParagraph"/>
              <w:numPr>
                <w:ilvl w:val="0"/>
                <w:numId w:val="5"/>
              </w:numPr>
              <w:jc w:val="both"/>
              <w:rPr>
                <w:rFonts w:ascii="Book Antiqua" w:hAnsi="Book Antiqua"/>
              </w:rPr>
            </w:pPr>
            <w:r>
              <w:rPr>
                <w:rFonts w:ascii="Book Antiqua" w:hAnsi="Book Antiqua"/>
              </w:rPr>
              <w:t xml:space="preserve">Section B:  The Market Out Exception </w:t>
            </w:r>
          </w:p>
          <w:p w14:paraId="4C72EF13" w14:textId="3DF519F5" w:rsidR="00BA711E" w:rsidRPr="0052514D" w:rsidRDefault="00C33F78" w:rsidP="002664D3">
            <w:pPr>
              <w:pStyle w:val="ListParagraph"/>
              <w:numPr>
                <w:ilvl w:val="0"/>
                <w:numId w:val="5"/>
              </w:numPr>
              <w:jc w:val="both"/>
              <w:rPr>
                <w:rFonts w:ascii="Book Antiqua" w:hAnsi="Book Antiqua"/>
              </w:rPr>
            </w:pPr>
            <w:r>
              <w:rPr>
                <w:rFonts w:ascii="Book Antiqua" w:hAnsi="Book Antiqua"/>
              </w:rPr>
              <w:t xml:space="preserve">Section C:  </w:t>
            </w:r>
            <w:r w:rsidR="00221C48">
              <w:rPr>
                <w:rFonts w:ascii="Book Antiqua" w:hAnsi="Book Antiqua"/>
              </w:rPr>
              <w:t xml:space="preserve">Appraisal Arbitrage and “Fair Value” </w:t>
            </w:r>
          </w:p>
          <w:p w14:paraId="6BE14F9F" w14:textId="55EEFD29" w:rsidR="00D97D8D" w:rsidRPr="002664D3" w:rsidRDefault="00D97D8D" w:rsidP="002664D3">
            <w:pPr>
              <w:jc w:val="both"/>
              <w:rPr>
                <w:rFonts w:ascii="Book Antiqua" w:hAnsi="Book Antiqua"/>
              </w:rPr>
            </w:pPr>
          </w:p>
        </w:tc>
        <w:tc>
          <w:tcPr>
            <w:tcW w:w="1170" w:type="dxa"/>
            <w:shd w:val="clear" w:color="auto" w:fill="FFFFFF" w:themeFill="background1"/>
          </w:tcPr>
          <w:p w14:paraId="161110DE" w14:textId="464A6504" w:rsidR="00AD33CD" w:rsidRDefault="004F3FE5" w:rsidP="00B57107">
            <w:pPr>
              <w:jc w:val="center"/>
            </w:pPr>
            <w:r>
              <w:t>46</w:t>
            </w:r>
            <w:r w:rsidR="00C170C2">
              <w:t>-</w:t>
            </w:r>
            <w:r>
              <w:t>61</w:t>
            </w:r>
          </w:p>
          <w:p w14:paraId="2F123501" w14:textId="68882613" w:rsidR="00A12A30" w:rsidRDefault="00A12A30" w:rsidP="00B57107">
            <w:pPr>
              <w:jc w:val="center"/>
            </w:pPr>
          </w:p>
          <w:p w14:paraId="2C606EF7" w14:textId="77777777" w:rsidR="00221C48" w:rsidRDefault="00221C48" w:rsidP="00A12A30">
            <w:pPr>
              <w:jc w:val="center"/>
            </w:pPr>
          </w:p>
          <w:p w14:paraId="7B56D819" w14:textId="77777777" w:rsidR="00221C48" w:rsidRDefault="00221C48" w:rsidP="00A12A30">
            <w:pPr>
              <w:jc w:val="center"/>
            </w:pPr>
          </w:p>
          <w:p w14:paraId="0A84CDF4" w14:textId="77777777" w:rsidR="00221C48" w:rsidRDefault="00221C48" w:rsidP="00A12A30">
            <w:pPr>
              <w:jc w:val="center"/>
            </w:pPr>
          </w:p>
          <w:p w14:paraId="0FF173F1" w14:textId="77777777" w:rsidR="00221C48" w:rsidRDefault="00221C48" w:rsidP="00A12A30">
            <w:pPr>
              <w:jc w:val="center"/>
            </w:pPr>
          </w:p>
          <w:p w14:paraId="4EE5B537" w14:textId="2276FAB9" w:rsidR="004F3FE5" w:rsidRDefault="00A12A30" w:rsidP="00A12A30">
            <w:pPr>
              <w:jc w:val="center"/>
            </w:pPr>
            <w:r>
              <w:t>63-</w:t>
            </w:r>
            <w:r w:rsidR="002664D3">
              <w:t>8</w:t>
            </w:r>
            <w:r>
              <w:t>7</w:t>
            </w:r>
          </w:p>
          <w:p w14:paraId="3DB86CE4" w14:textId="27C0D0BE" w:rsidR="004F3FE5" w:rsidRPr="00E81769" w:rsidRDefault="004F3FE5" w:rsidP="00A12A30">
            <w:pPr>
              <w:jc w:val="center"/>
            </w:pPr>
          </w:p>
        </w:tc>
      </w:tr>
      <w:tr w:rsidR="00AD33CD" w:rsidRPr="00420406" w14:paraId="6020CFFC" w14:textId="77777777" w:rsidTr="004B1C31">
        <w:tc>
          <w:tcPr>
            <w:tcW w:w="1283" w:type="dxa"/>
            <w:shd w:val="clear" w:color="auto" w:fill="FFFFFF" w:themeFill="background1"/>
          </w:tcPr>
          <w:p w14:paraId="1A8A5C25" w14:textId="65F15B5D" w:rsidR="00763726" w:rsidRPr="0052514D" w:rsidRDefault="009B774B" w:rsidP="004F3FE5">
            <w:pPr>
              <w:jc w:val="center"/>
            </w:pPr>
            <w:r w:rsidRPr="0052514D">
              <w:lastRenderedPageBreak/>
              <w:t>3</w:t>
            </w:r>
          </w:p>
          <w:p w14:paraId="774AF552" w14:textId="11B23245" w:rsidR="006B376D" w:rsidRPr="0052514D" w:rsidRDefault="006B376D" w:rsidP="004F3FE5">
            <w:pPr>
              <w:jc w:val="center"/>
            </w:pPr>
          </w:p>
          <w:p w14:paraId="7C3F2EB2" w14:textId="167163D1" w:rsidR="006B376D" w:rsidRPr="0052514D" w:rsidRDefault="006B376D" w:rsidP="004F3FE5">
            <w:pPr>
              <w:jc w:val="center"/>
            </w:pPr>
            <w:r w:rsidRPr="0052514D">
              <w:t xml:space="preserve">Feb. 6 </w:t>
            </w:r>
          </w:p>
          <w:p w14:paraId="170F0ED6" w14:textId="420CC490" w:rsidR="006B376D" w:rsidRPr="0052514D" w:rsidRDefault="006B376D" w:rsidP="004F3FE5">
            <w:pPr>
              <w:jc w:val="center"/>
            </w:pPr>
            <w:r w:rsidRPr="0052514D">
              <w:t>ZOOM</w:t>
            </w:r>
          </w:p>
          <w:p w14:paraId="24EECDBB" w14:textId="6D428766" w:rsidR="00763726" w:rsidRPr="0052514D" w:rsidRDefault="00763726" w:rsidP="00B57107">
            <w:pPr>
              <w:jc w:val="center"/>
            </w:pPr>
          </w:p>
        </w:tc>
        <w:tc>
          <w:tcPr>
            <w:tcW w:w="7020" w:type="dxa"/>
            <w:shd w:val="clear" w:color="auto" w:fill="FFFFFF" w:themeFill="background1"/>
          </w:tcPr>
          <w:p w14:paraId="1C13BED8" w14:textId="77777777" w:rsidR="00221C48" w:rsidRPr="0052514D" w:rsidRDefault="00221C48" w:rsidP="00221C48">
            <w:pPr>
              <w:jc w:val="both"/>
              <w:rPr>
                <w:rFonts w:ascii="Book Antiqua" w:hAnsi="Book Antiqua"/>
                <w:b/>
                <w:bCs/>
              </w:rPr>
            </w:pPr>
            <w:r w:rsidRPr="0052514D">
              <w:rPr>
                <w:rFonts w:ascii="Book Antiqua" w:hAnsi="Book Antiqua"/>
                <w:b/>
                <w:bCs/>
              </w:rPr>
              <w:t xml:space="preserve">Chapter 3:  Appraisal Rights </w:t>
            </w:r>
          </w:p>
          <w:p w14:paraId="54F86BE9" w14:textId="77777777" w:rsidR="002664D3" w:rsidRPr="0052514D" w:rsidRDefault="002664D3" w:rsidP="002664D3">
            <w:pPr>
              <w:pStyle w:val="ListParagraph"/>
              <w:numPr>
                <w:ilvl w:val="0"/>
                <w:numId w:val="5"/>
              </w:numPr>
              <w:jc w:val="both"/>
              <w:rPr>
                <w:rFonts w:ascii="Book Antiqua" w:hAnsi="Book Antiqua"/>
              </w:rPr>
            </w:pPr>
            <w:r w:rsidRPr="0052514D">
              <w:rPr>
                <w:rFonts w:ascii="Book Antiqua" w:hAnsi="Book Antiqua"/>
              </w:rPr>
              <w:t xml:space="preserve">Section C:  Appraisal Arbitrage and “Fair Value” </w:t>
            </w:r>
          </w:p>
          <w:p w14:paraId="59509D43" w14:textId="77777777" w:rsidR="002664D3" w:rsidRPr="0052514D" w:rsidRDefault="002664D3" w:rsidP="002664D3">
            <w:pPr>
              <w:pStyle w:val="ListParagraph"/>
              <w:numPr>
                <w:ilvl w:val="1"/>
                <w:numId w:val="5"/>
              </w:numPr>
              <w:jc w:val="both"/>
              <w:rPr>
                <w:rFonts w:ascii="Book Antiqua" w:hAnsi="Book Antiqua"/>
                <w:i/>
                <w:iCs/>
              </w:rPr>
            </w:pPr>
            <w:r w:rsidRPr="0052514D">
              <w:rPr>
                <w:rFonts w:ascii="Book Antiqua" w:hAnsi="Book Antiqua"/>
                <w:i/>
                <w:iCs/>
              </w:rPr>
              <w:t>DFC Global Corp. v. Muirfield Value Partners</w:t>
            </w:r>
          </w:p>
          <w:p w14:paraId="3C8D3671" w14:textId="0E920F67" w:rsidR="00221C48" w:rsidRPr="0052514D" w:rsidRDefault="00221C48">
            <w:pPr>
              <w:pStyle w:val="ListParagraph"/>
              <w:numPr>
                <w:ilvl w:val="0"/>
                <w:numId w:val="5"/>
              </w:numPr>
              <w:jc w:val="both"/>
              <w:rPr>
                <w:rFonts w:ascii="Book Antiqua" w:hAnsi="Book Antiqua"/>
              </w:rPr>
            </w:pPr>
            <w:r w:rsidRPr="0052514D">
              <w:rPr>
                <w:rFonts w:ascii="Book Antiqua" w:hAnsi="Book Antiqua"/>
              </w:rPr>
              <w:t xml:space="preserve">Section D:  Quasi-Appraisal Proceedings  </w:t>
            </w:r>
          </w:p>
          <w:p w14:paraId="146597C5" w14:textId="21FA854D" w:rsidR="00221C48" w:rsidRPr="0052514D" w:rsidRDefault="00221C48">
            <w:pPr>
              <w:pStyle w:val="ListParagraph"/>
              <w:numPr>
                <w:ilvl w:val="1"/>
                <w:numId w:val="5"/>
              </w:numPr>
              <w:jc w:val="both"/>
              <w:rPr>
                <w:rFonts w:ascii="Book Antiqua" w:hAnsi="Book Antiqua"/>
                <w:i/>
                <w:iCs/>
              </w:rPr>
            </w:pPr>
            <w:r w:rsidRPr="0052514D">
              <w:rPr>
                <w:rFonts w:ascii="Book Antiqua" w:hAnsi="Book Antiqua"/>
                <w:i/>
                <w:iCs/>
              </w:rPr>
              <w:t xml:space="preserve">Berger v. </w:t>
            </w:r>
            <w:proofErr w:type="spellStart"/>
            <w:r w:rsidRPr="0052514D">
              <w:rPr>
                <w:rFonts w:ascii="Book Antiqua" w:hAnsi="Book Antiqua"/>
                <w:i/>
                <w:iCs/>
              </w:rPr>
              <w:t>Pubco</w:t>
            </w:r>
            <w:proofErr w:type="spellEnd"/>
            <w:r w:rsidRPr="0052514D">
              <w:rPr>
                <w:rFonts w:ascii="Book Antiqua" w:hAnsi="Book Antiqua"/>
                <w:i/>
                <w:iCs/>
              </w:rPr>
              <w:t xml:space="preserve"> Corp.</w:t>
            </w:r>
          </w:p>
          <w:p w14:paraId="106E5BF4" w14:textId="61363AE0" w:rsidR="00221C48" w:rsidRPr="0052514D" w:rsidRDefault="00221C48">
            <w:pPr>
              <w:pStyle w:val="ListParagraph"/>
              <w:numPr>
                <w:ilvl w:val="0"/>
                <w:numId w:val="5"/>
              </w:numPr>
              <w:jc w:val="both"/>
              <w:rPr>
                <w:rFonts w:ascii="Book Antiqua" w:hAnsi="Book Antiqua"/>
              </w:rPr>
            </w:pPr>
            <w:r w:rsidRPr="0052514D">
              <w:rPr>
                <w:rFonts w:ascii="Book Antiqua" w:hAnsi="Book Antiqua"/>
              </w:rPr>
              <w:t xml:space="preserve">Section E:  Appraisal Rights and Other Remedies, When Are Appraisal Rights Exclusive? </w:t>
            </w:r>
          </w:p>
          <w:p w14:paraId="74CA5D61" w14:textId="655BD1F2" w:rsidR="00221C48" w:rsidRPr="0052514D" w:rsidRDefault="00221C48">
            <w:pPr>
              <w:pStyle w:val="ListParagraph"/>
              <w:numPr>
                <w:ilvl w:val="0"/>
                <w:numId w:val="5"/>
              </w:numPr>
              <w:jc w:val="both"/>
              <w:rPr>
                <w:rFonts w:ascii="Book Antiqua" w:hAnsi="Book Antiqua"/>
              </w:rPr>
            </w:pPr>
            <w:r w:rsidRPr="0052514D">
              <w:rPr>
                <w:rFonts w:ascii="Book Antiqua" w:hAnsi="Book Antiqua"/>
              </w:rPr>
              <w:t xml:space="preserve">Section F:  Delaware and MBCA Compared </w:t>
            </w:r>
          </w:p>
          <w:p w14:paraId="12E52896" w14:textId="03FCA2EC" w:rsidR="00A12A30" w:rsidRPr="0052514D" w:rsidRDefault="00A12A30" w:rsidP="0093219E">
            <w:pPr>
              <w:jc w:val="both"/>
              <w:rPr>
                <w:rFonts w:ascii="Book Antiqua" w:hAnsi="Book Antiqua"/>
              </w:rPr>
            </w:pPr>
          </w:p>
          <w:p w14:paraId="0E02D9C1" w14:textId="537D1BF9" w:rsidR="006F3C2B" w:rsidRPr="0052514D" w:rsidRDefault="006F3C2B" w:rsidP="0093219E">
            <w:pPr>
              <w:jc w:val="both"/>
              <w:rPr>
                <w:rFonts w:ascii="Book Antiqua" w:hAnsi="Book Antiqua"/>
                <w:b/>
                <w:bCs/>
              </w:rPr>
            </w:pPr>
            <w:r w:rsidRPr="0052514D">
              <w:rPr>
                <w:rFonts w:ascii="Book Antiqua" w:hAnsi="Book Antiqua"/>
                <w:b/>
                <w:bCs/>
              </w:rPr>
              <w:t>Note:  We will skip Chapters 4 through 8</w:t>
            </w:r>
            <w:r w:rsidR="00EC2413" w:rsidRPr="0052514D">
              <w:rPr>
                <w:rFonts w:ascii="Book Antiqua" w:hAnsi="Book Antiqua"/>
                <w:b/>
                <w:bCs/>
              </w:rPr>
              <w:t xml:space="preserve"> (aspects of federal securities laws including proxy regulation). </w:t>
            </w:r>
          </w:p>
          <w:p w14:paraId="2AF9B7C0" w14:textId="77777777" w:rsidR="006F3C2B" w:rsidRPr="0052514D" w:rsidRDefault="006F3C2B" w:rsidP="0093219E">
            <w:pPr>
              <w:jc w:val="both"/>
              <w:rPr>
                <w:rFonts w:ascii="Book Antiqua" w:hAnsi="Book Antiqua"/>
              </w:rPr>
            </w:pPr>
          </w:p>
          <w:p w14:paraId="246B9258" w14:textId="7D3D59FC" w:rsidR="00221C48" w:rsidRPr="0052514D" w:rsidRDefault="00A12A30" w:rsidP="0093219E">
            <w:pPr>
              <w:jc w:val="both"/>
              <w:rPr>
                <w:rFonts w:ascii="Book Antiqua" w:hAnsi="Book Antiqua"/>
                <w:b/>
                <w:bCs/>
              </w:rPr>
            </w:pPr>
            <w:r w:rsidRPr="0052514D">
              <w:rPr>
                <w:rFonts w:ascii="Book Antiqua" w:hAnsi="Book Antiqua"/>
                <w:b/>
                <w:bCs/>
              </w:rPr>
              <w:t>Chapter 9</w:t>
            </w:r>
            <w:r w:rsidR="00B21C90" w:rsidRPr="0052514D">
              <w:rPr>
                <w:rFonts w:ascii="Book Antiqua" w:hAnsi="Book Antiqua"/>
                <w:b/>
                <w:bCs/>
              </w:rPr>
              <w:t xml:space="preserve">:  Accounting </w:t>
            </w:r>
          </w:p>
          <w:p w14:paraId="056A6DFF" w14:textId="754986C5" w:rsidR="00A12A30" w:rsidRPr="0052514D" w:rsidRDefault="00A12A30">
            <w:pPr>
              <w:pStyle w:val="ListParagraph"/>
              <w:numPr>
                <w:ilvl w:val="0"/>
                <w:numId w:val="6"/>
              </w:numPr>
              <w:jc w:val="both"/>
              <w:rPr>
                <w:rFonts w:ascii="Book Antiqua" w:hAnsi="Book Antiqua"/>
              </w:rPr>
            </w:pPr>
            <w:r w:rsidRPr="0052514D">
              <w:rPr>
                <w:rFonts w:ascii="Book Antiqua" w:hAnsi="Book Antiqua"/>
              </w:rPr>
              <w:t>Section</w:t>
            </w:r>
            <w:r w:rsidR="00221C48" w:rsidRPr="0052514D">
              <w:rPr>
                <w:rFonts w:ascii="Book Antiqua" w:hAnsi="Book Antiqua"/>
              </w:rPr>
              <w:t xml:space="preserve"> A:  </w:t>
            </w:r>
            <w:r w:rsidR="00B21C90" w:rsidRPr="0052514D">
              <w:rPr>
                <w:rFonts w:ascii="Book Antiqua" w:hAnsi="Book Antiqua"/>
              </w:rPr>
              <w:t xml:space="preserve">Introduction </w:t>
            </w:r>
          </w:p>
          <w:p w14:paraId="3B2D53C6" w14:textId="1A4B3205" w:rsidR="00221C48" w:rsidRPr="0052514D" w:rsidRDefault="00221C48">
            <w:pPr>
              <w:pStyle w:val="ListParagraph"/>
              <w:numPr>
                <w:ilvl w:val="0"/>
                <w:numId w:val="6"/>
              </w:numPr>
              <w:jc w:val="both"/>
              <w:rPr>
                <w:rFonts w:ascii="Book Antiqua" w:hAnsi="Book Antiqua"/>
              </w:rPr>
            </w:pPr>
            <w:r w:rsidRPr="0052514D">
              <w:rPr>
                <w:rFonts w:ascii="Book Antiqua" w:hAnsi="Book Antiqua"/>
              </w:rPr>
              <w:t xml:space="preserve">Section B:  </w:t>
            </w:r>
            <w:r w:rsidR="00B21C90" w:rsidRPr="0052514D">
              <w:rPr>
                <w:rFonts w:ascii="Book Antiqua" w:hAnsi="Book Antiqua"/>
              </w:rPr>
              <w:t xml:space="preserve">Balance Sheet </w:t>
            </w:r>
          </w:p>
          <w:p w14:paraId="5C63D4C2" w14:textId="1B50D07D" w:rsidR="00C73696" w:rsidRPr="0052514D" w:rsidRDefault="00221C48" w:rsidP="002664D3">
            <w:pPr>
              <w:pStyle w:val="ListParagraph"/>
              <w:numPr>
                <w:ilvl w:val="0"/>
                <w:numId w:val="6"/>
              </w:numPr>
              <w:jc w:val="both"/>
              <w:rPr>
                <w:rFonts w:ascii="Book Antiqua" w:hAnsi="Book Antiqua"/>
              </w:rPr>
            </w:pPr>
            <w:r w:rsidRPr="0052514D">
              <w:rPr>
                <w:rFonts w:ascii="Book Antiqua" w:hAnsi="Book Antiqua"/>
              </w:rPr>
              <w:t xml:space="preserve">Section C:  </w:t>
            </w:r>
            <w:r w:rsidR="00B21C90" w:rsidRPr="0052514D">
              <w:rPr>
                <w:rFonts w:ascii="Book Antiqua" w:hAnsi="Book Antiqua"/>
              </w:rPr>
              <w:t xml:space="preserve">Income Statement </w:t>
            </w:r>
          </w:p>
          <w:p w14:paraId="065B11A0" w14:textId="153BDFCA" w:rsidR="00E7456E" w:rsidRPr="0052514D" w:rsidRDefault="00E7456E" w:rsidP="00E7456E">
            <w:pPr>
              <w:jc w:val="both"/>
              <w:rPr>
                <w:rFonts w:ascii="Book Antiqua" w:hAnsi="Book Antiqua"/>
              </w:rPr>
            </w:pPr>
          </w:p>
          <w:p w14:paraId="3504FFE8" w14:textId="247635CD" w:rsidR="00E7456E" w:rsidRPr="0052514D" w:rsidRDefault="00E7456E" w:rsidP="00E7456E">
            <w:pPr>
              <w:jc w:val="both"/>
              <w:rPr>
                <w:rFonts w:ascii="Book Antiqua" w:hAnsi="Book Antiqua"/>
                <w:b/>
                <w:bCs/>
              </w:rPr>
            </w:pPr>
            <w:r w:rsidRPr="0052514D">
              <w:rPr>
                <w:rFonts w:ascii="Book Antiqua" w:hAnsi="Book Antiqua"/>
                <w:b/>
                <w:bCs/>
              </w:rPr>
              <w:t>Note:  On Twitter’s Form 10-K uploaded on Canvass, find “Item 8</w:t>
            </w:r>
            <w:proofErr w:type="gramStart"/>
            <w:r w:rsidRPr="0052514D">
              <w:rPr>
                <w:rFonts w:ascii="Book Antiqua" w:hAnsi="Book Antiqua"/>
                <w:b/>
                <w:bCs/>
              </w:rPr>
              <w:t>”</w:t>
            </w:r>
            <w:proofErr w:type="gramEnd"/>
            <w:r w:rsidRPr="0052514D">
              <w:rPr>
                <w:rFonts w:ascii="Book Antiqua" w:hAnsi="Book Antiqua"/>
                <w:b/>
                <w:bCs/>
              </w:rPr>
              <w:t xml:space="preserve"> and then quickly review “Consolidated Balance Sheets” and “Consolidated Statements of Operations.” Review these financial statements in light of the lesson learned in Chapter 9.  </w:t>
            </w:r>
          </w:p>
          <w:p w14:paraId="3FCAD3A3" w14:textId="53092ED3" w:rsidR="00C73696" w:rsidRPr="0052514D" w:rsidRDefault="00C73696" w:rsidP="002664D3">
            <w:pPr>
              <w:jc w:val="both"/>
              <w:rPr>
                <w:rFonts w:ascii="Book Antiqua" w:hAnsi="Book Antiqua"/>
              </w:rPr>
            </w:pPr>
          </w:p>
        </w:tc>
        <w:tc>
          <w:tcPr>
            <w:tcW w:w="1170" w:type="dxa"/>
            <w:shd w:val="clear" w:color="auto" w:fill="FFFFFF" w:themeFill="background1"/>
          </w:tcPr>
          <w:p w14:paraId="21595C4C" w14:textId="68A5C6D2" w:rsidR="00A12A30" w:rsidRDefault="002664D3" w:rsidP="00A12A30">
            <w:pPr>
              <w:jc w:val="center"/>
            </w:pPr>
            <w:r>
              <w:t>8</w:t>
            </w:r>
            <w:r w:rsidR="00A12A30">
              <w:t>7-106</w:t>
            </w:r>
          </w:p>
          <w:p w14:paraId="7F1AC13F" w14:textId="77777777" w:rsidR="00A12A30" w:rsidRDefault="00A12A30" w:rsidP="00A12A30"/>
          <w:p w14:paraId="052E7327" w14:textId="77777777" w:rsidR="00221C48" w:rsidRDefault="00221C48" w:rsidP="0093219E">
            <w:pPr>
              <w:jc w:val="center"/>
            </w:pPr>
          </w:p>
          <w:p w14:paraId="58FAAB99" w14:textId="77777777" w:rsidR="00221C48" w:rsidRDefault="00221C48" w:rsidP="0093219E">
            <w:pPr>
              <w:jc w:val="center"/>
            </w:pPr>
          </w:p>
          <w:p w14:paraId="4A257E5A" w14:textId="77777777" w:rsidR="00221C48" w:rsidRDefault="00221C48" w:rsidP="0093219E">
            <w:pPr>
              <w:jc w:val="center"/>
            </w:pPr>
          </w:p>
          <w:p w14:paraId="454B35AA" w14:textId="77777777" w:rsidR="00221C48" w:rsidRDefault="00221C48" w:rsidP="0093219E">
            <w:pPr>
              <w:jc w:val="center"/>
            </w:pPr>
          </w:p>
          <w:p w14:paraId="20E30B04" w14:textId="77777777" w:rsidR="00221C48" w:rsidRDefault="00221C48" w:rsidP="0093219E">
            <w:pPr>
              <w:jc w:val="center"/>
            </w:pPr>
          </w:p>
          <w:p w14:paraId="0131C232" w14:textId="77777777" w:rsidR="00EC2413" w:rsidRDefault="00EC2413" w:rsidP="0093219E">
            <w:pPr>
              <w:jc w:val="center"/>
            </w:pPr>
          </w:p>
          <w:p w14:paraId="5940A471" w14:textId="77777777" w:rsidR="00EC2413" w:rsidRDefault="00EC2413" w:rsidP="0093219E">
            <w:pPr>
              <w:jc w:val="center"/>
            </w:pPr>
          </w:p>
          <w:p w14:paraId="046BE800" w14:textId="77777777" w:rsidR="00EC2413" w:rsidRDefault="00EC2413" w:rsidP="00862CA4"/>
          <w:p w14:paraId="5B931FC3" w14:textId="77777777" w:rsidR="002664D3" w:rsidRDefault="002664D3" w:rsidP="0093219E">
            <w:pPr>
              <w:jc w:val="center"/>
            </w:pPr>
          </w:p>
          <w:p w14:paraId="60E8BEB2" w14:textId="77777777" w:rsidR="002664D3" w:rsidRDefault="002664D3" w:rsidP="0093219E">
            <w:pPr>
              <w:jc w:val="center"/>
            </w:pPr>
          </w:p>
          <w:p w14:paraId="7F8D05B4" w14:textId="74482C8E" w:rsidR="00A55D11" w:rsidRPr="00E81769" w:rsidRDefault="00A12A30" w:rsidP="0093219E">
            <w:pPr>
              <w:jc w:val="center"/>
            </w:pPr>
            <w:r>
              <w:t>211-2</w:t>
            </w:r>
            <w:r w:rsidR="002664D3">
              <w:t>15</w:t>
            </w:r>
          </w:p>
        </w:tc>
      </w:tr>
      <w:tr w:rsidR="00E81769" w:rsidRPr="00420406" w14:paraId="7537E9FC" w14:textId="77777777" w:rsidTr="004B1C31">
        <w:tc>
          <w:tcPr>
            <w:tcW w:w="1283" w:type="dxa"/>
            <w:shd w:val="clear" w:color="auto" w:fill="FFFFFF" w:themeFill="background1"/>
          </w:tcPr>
          <w:p w14:paraId="14D1044E" w14:textId="77777777" w:rsidR="00763726" w:rsidRPr="0052514D" w:rsidRDefault="009B774B" w:rsidP="003D0CC5">
            <w:pPr>
              <w:jc w:val="center"/>
            </w:pPr>
            <w:r w:rsidRPr="0052514D">
              <w:t>4</w:t>
            </w:r>
          </w:p>
          <w:p w14:paraId="35851B57" w14:textId="77777777" w:rsidR="006B376D" w:rsidRPr="0052514D" w:rsidRDefault="006B376D" w:rsidP="003D0CC5">
            <w:pPr>
              <w:jc w:val="center"/>
            </w:pPr>
          </w:p>
          <w:p w14:paraId="4E2609D4" w14:textId="77777777" w:rsidR="006B376D" w:rsidRPr="0052514D" w:rsidRDefault="006B376D" w:rsidP="003D0CC5">
            <w:pPr>
              <w:jc w:val="center"/>
            </w:pPr>
            <w:r w:rsidRPr="0052514D">
              <w:t>Feb. 9</w:t>
            </w:r>
          </w:p>
          <w:p w14:paraId="7754BF1E" w14:textId="77777777" w:rsidR="006B376D" w:rsidRPr="0052514D" w:rsidRDefault="006B376D" w:rsidP="003D0CC5">
            <w:pPr>
              <w:jc w:val="center"/>
            </w:pPr>
            <w:r w:rsidRPr="0052514D">
              <w:t xml:space="preserve">ZOOM </w:t>
            </w:r>
          </w:p>
          <w:p w14:paraId="568C164A" w14:textId="77777777" w:rsidR="006B376D" w:rsidRPr="0052514D" w:rsidRDefault="006B376D" w:rsidP="003D0CC5">
            <w:pPr>
              <w:jc w:val="center"/>
            </w:pPr>
            <w:r w:rsidRPr="0052514D">
              <w:t>(Makeup)</w:t>
            </w:r>
          </w:p>
          <w:p w14:paraId="65D7F1A7" w14:textId="3CDF1DEE" w:rsidR="006B376D" w:rsidRPr="0052514D" w:rsidRDefault="006B376D" w:rsidP="003D0CC5">
            <w:pPr>
              <w:jc w:val="center"/>
            </w:pPr>
          </w:p>
        </w:tc>
        <w:tc>
          <w:tcPr>
            <w:tcW w:w="7020" w:type="dxa"/>
            <w:shd w:val="clear" w:color="auto" w:fill="FFFFFF" w:themeFill="background1"/>
          </w:tcPr>
          <w:p w14:paraId="3C8D62A5" w14:textId="77777777" w:rsidR="002664D3" w:rsidRPr="0052514D" w:rsidRDefault="002664D3" w:rsidP="002664D3">
            <w:pPr>
              <w:jc w:val="both"/>
              <w:rPr>
                <w:rFonts w:ascii="Book Antiqua" w:hAnsi="Book Antiqua"/>
                <w:b/>
                <w:bCs/>
              </w:rPr>
            </w:pPr>
            <w:r w:rsidRPr="0052514D">
              <w:rPr>
                <w:rFonts w:ascii="Book Antiqua" w:hAnsi="Book Antiqua"/>
                <w:b/>
                <w:bCs/>
              </w:rPr>
              <w:t xml:space="preserve">Chapter 9:  Accounting </w:t>
            </w:r>
          </w:p>
          <w:p w14:paraId="4ED085C7" w14:textId="77777777" w:rsidR="002664D3" w:rsidRPr="0052514D" w:rsidRDefault="002664D3" w:rsidP="002664D3">
            <w:pPr>
              <w:pStyle w:val="ListParagraph"/>
              <w:numPr>
                <w:ilvl w:val="0"/>
                <w:numId w:val="6"/>
              </w:numPr>
              <w:jc w:val="both"/>
              <w:rPr>
                <w:rFonts w:ascii="Book Antiqua" w:hAnsi="Book Antiqua"/>
              </w:rPr>
            </w:pPr>
            <w:r w:rsidRPr="0052514D">
              <w:rPr>
                <w:rFonts w:ascii="Book Antiqua" w:hAnsi="Book Antiqua"/>
              </w:rPr>
              <w:t xml:space="preserve">Section D:  Note on Goodwill </w:t>
            </w:r>
          </w:p>
          <w:p w14:paraId="30A90693" w14:textId="77777777" w:rsidR="002664D3" w:rsidRPr="0052514D" w:rsidRDefault="002664D3" w:rsidP="002664D3">
            <w:pPr>
              <w:pStyle w:val="ListParagraph"/>
              <w:numPr>
                <w:ilvl w:val="0"/>
                <w:numId w:val="6"/>
              </w:numPr>
              <w:jc w:val="both"/>
              <w:rPr>
                <w:rFonts w:ascii="Book Antiqua" w:hAnsi="Book Antiqua"/>
              </w:rPr>
            </w:pPr>
            <w:r w:rsidRPr="0052514D">
              <w:rPr>
                <w:rFonts w:ascii="Book Antiqua" w:hAnsi="Book Antiqua"/>
              </w:rPr>
              <w:t>Section E:  Note on Contingencies and Reserves</w:t>
            </w:r>
          </w:p>
          <w:p w14:paraId="5F6E02BA" w14:textId="77777777" w:rsidR="002664D3" w:rsidRPr="0052514D" w:rsidRDefault="002664D3" w:rsidP="002664D3">
            <w:pPr>
              <w:pStyle w:val="ListParagraph"/>
              <w:numPr>
                <w:ilvl w:val="0"/>
                <w:numId w:val="6"/>
              </w:numPr>
              <w:jc w:val="both"/>
              <w:rPr>
                <w:rFonts w:ascii="Book Antiqua" w:hAnsi="Book Antiqua"/>
              </w:rPr>
            </w:pPr>
            <w:r w:rsidRPr="0052514D">
              <w:rPr>
                <w:rFonts w:ascii="Book Antiqua" w:hAnsi="Book Antiqua"/>
              </w:rPr>
              <w:t xml:space="preserve">Section F:  How Is Accounting Used in M&amp;A? </w:t>
            </w:r>
          </w:p>
          <w:p w14:paraId="1A6B84CC" w14:textId="77777777" w:rsidR="002664D3" w:rsidRPr="0052514D" w:rsidRDefault="002664D3" w:rsidP="002664D3">
            <w:pPr>
              <w:pStyle w:val="ListParagraph"/>
              <w:numPr>
                <w:ilvl w:val="0"/>
                <w:numId w:val="6"/>
              </w:numPr>
              <w:jc w:val="both"/>
              <w:rPr>
                <w:rFonts w:ascii="Book Antiqua" w:hAnsi="Book Antiqua"/>
              </w:rPr>
            </w:pPr>
            <w:r w:rsidRPr="0052514D">
              <w:rPr>
                <w:rFonts w:ascii="Book Antiqua" w:hAnsi="Book Antiqua"/>
              </w:rPr>
              <w:t xml:space="preserve">Section G:  Purchase Accounting </w:t>
            </w:r>
          </w:p>
          <w:p w14:paraId="1848D12D" w14:textId="77777777" w:rsidR="002664D3" w:rsidRPr="0052514D" w:rsidRDefault="002664D3" w:rsidP="00B21C90">
            <w:pPr>
              <w:jc w:val="both"/>
              <w:rPr>
                <w:rFonts w:ascii="Book Antiqua" w:hAnsi="Book Antiqua"/>
                <w:b/>
                <w:bCs/>
              </w:rPr>
            </w:pPr>
          </w:p>
          <w:p w14:paraId="67969490" w14:textId="09D3AAB6" w:rsidR="00B21C90" w:rsidRPr="0052514D" w:rsidRDefault="00A12A30" w:rsidP="00B21C90">
            <w:pPr>
              <w:jc w:val="both"/>
              <w:rPr>
                <w:rFonts w:ascii="Book Antiqua" w:hAnsi="Book Antiqua"/>
                <w:b/>
                <w:bCs/>
              </w:rPr>
            </w:pPr>
            <w:r w:rsidRPr="0052514D">
              <w:rPr>
                <w:rFonts w:ascii="Book Antiqua" w:hAnsi="Book Antiqua"/>
                <w:b/>
                <w:bCs/>
              </w:rPr>
              <w:t>Chapter 10</w:t>
            </w:r>
            <w:r w:rsidR="00B21C90" w:rsidRPr="0052514D">
              <w:rPr>
                <w:rFonts w:ascii="Book Antiqua" w:hAnsi="Book Antiqua"/>
                <w:b/>
                <w:bCs/>
              </w:rPr>
              <w:t xml:space="preserve">:  Valuation </w:t>
            </w:r>
          </w:p>
          <w:p w14:paraId="16CE39CC" w14:textId="77777777" w:rsidR="00B21C90" w:rsidRPr="0052514D" w:rsidRDefault="00B21C90">
            <w:pPr>
              <w:pStyle w:val="ListParagraph"/>
              <w:numPr>
                <w:ilvl w:val="0"/>
                <w:numId w:val="6"/>
              </w:numPr>
              <w:jc w:val="both"/>
              <w:rPr>
                <w:rFonts w:ascii="Book Antiqua" w:hAnsi="Book Antiqua"/>
              </w:rPr>
            </w:pPr>
            <w:r w:rsidRPr="0052514D">
              <w:rPr>
                <w:rFonts w:ascii="Book Antiqua" w:hAnsi="Book Antiqua"/>
              </w:rPr>
              <w:t xml:space="preserve">Section A:  Introduction </w:t>
            </w:r>
          </w:p>
          <w:p w14:paraId="1FBF1CE1" w14:textId="7FEF7495" w:rsidR="00C73696" w:rsidRPr="0052514D" w:rsidRDefault="00B21C90" w:rsidP="002664D3">
            <w:pPr>
              <w:pStyle w:val="ListParagraph"/>
              <w:numPr>
                <w:ilvl w:val="0"/>
                <w:numId w:val="6"/>
              </w:numPr>
              <w:jc w:val="both"/>
              <w:rPr>
                <w:rFonts w:ascii="Book Antiqua" w:hAnsi="Book Antiqua"/>
              </w:rPr>
            </w:pPr>
            <w:r w:rsidRPr="0052514D">
              <w:rPr>
                <w:rFonts w:ascii="Book Antiqua" w:hAnsi="Book Antiqua"/>
              </w:rPr>
              <w:t xml:space="preserve">Section B:  Valuation Techniques  </w:t>
            </w:r>
          </w:p>
          <w:p w14:paraId="09A2BC77" w14:textId="61BDACDD" w:rsidR="00C73696" w:rsidRPr="0052514D" w:rsidRDefault="00C73696" w:rsidP="002664D3">
            <w:pPr>
              <w:jc w:val="both"/>
              <w:rPr>
                <w:rFonts w:ascii="Book Antiqua" w:hAnsi="Book Antiqua"/>
              </w:rPr>
            </w:pPr>
          </w:p>
        </w:tc>
        <w:tc>
          <w:tcPr>
            <w:tcW w:w="1170" w:type="dxa"/>
            <w:shd w:val="clear" w:color="auto" w:fill="FFFFFF" w:themeFill="background1"/>
          </w:tcPr>
          <w:p w14:paraId="618B207C" w14:textId="50FAC657" w:rsidR="00A12A30" w:rsidRDefault="00A12A30" w:rsidP="0030076E">
            <w:pPr>
              <w:jc w:val="center"/>
            </w:pPr>
            <w:r>
              <w:t>2</w:t>
            </w:r>
            <w:r w:rsidR="002664D3">
              <w:t>16</w:t>
            </w:r>
            <w:r>
              <w:t>-2</w:t>
            </w:r>
            <w:r w:rsidR="002664D3">
              <w:t>24</w:t>
            </w:r>
          </w:p>
          <w:p w14:paraId="3F97CA8D" w14:textId="3D425FFC" w:rsidR="002664D3" w:rsidRDefault="002664D3" w:rsidP="0030076E">
            <w:pPr>
              <w:jc w:val="center"/>
            </w:pPr>
          </w:p>
          <w:p w14:paraId="36691B71" w14:textId="794E902B" w:rsidR="002664D3" w:rsidRDefault="002664D3" w:rsidP="0030076E">
            <w:pPr>
              <w:jc w:val="center"/>
            </w:pPr>
          </w:p>
          <w:p w14:paraId="55FDC4D2" w14:textId="0374883B" w:rsidR="002664D3" w:rsidRDefault="002664D3" w:rsidP="0030076E">
            <w:pPr>
              <w:jc w:val="center"/>
            </w:pPr>
          </w:p>
          <w:p w14:paraId="289AEE0A" w14:textId="5AAACEB9" w:rsidR="002664D3" w:rsidRDefault="002664D3" w:rsidP="0030076E">
            <w:pPr>
              <w:jc w:val="center"/>
            </w:pPr>
          </w:p>
          <w:p w14:paraId="65C967EC" w14:textId="7AA4A4F8" w:rsidR="002664D3" w:rsidRDefault="002664D3" w:rsidP="0030076E">
            <w:pPr>
              <w:jc w:val="center"/>
            </w:pPr>
          </w:p>
          <w:p w14:paraId="1959AEF0" w14:textId="4CA244DD" w:rsidR="002664D3" w:rsidRDefault="002664D3" w:rsidP="0030076E">
            <w:pPr>
              <w:jc w:val="center"/>
            </w:pPr>
            <w:r>
              <w:t>225-242</w:t>
            </w:r>
          </w:p>
          <w:p w14:paraId="4324C8CB" w14:textId="4262C0CC" w:rsidR="00A12A30" w:rsidRPr="00E81769" w:rsidRDefault="00A12A30" w:rsidP="0030076E">
            <w:pPr>
              <w:jc w:val="center"/>
            </w:pPr>
          </w:p>
        </w:tc>
      </w:tr>
      <w:tr w:rsidR="00AD33CD" w:rsidRPr="00420406" w14:paraId="0C056AE5" w14:textId="77777777" w:rsidTr="004B1C31">
        <w:tc>
          <w:tcPr>
            <w:tcW w:w="1283" w:type="dxa"/>
            <w:shd w:val="clear" w:color="auto" w:fill="FFFFFF" w:themeFill="background1"/>
          </w:tcPr>
          <w:p w14:paraId="5ECD9C5B" w14:textId="6109F74C" w:rsidR="00AD33CD" w:rsidRPr="0052514D" w:rsidRDefault="009B774B" w:rsidP="00B57107">
            <w:pPr>
              <w:jc w:val="center"/>
            </w:pPr>
            <w:r w:rsidRPr="0052514D">
              <w:t>5</w:t>
            </w:r>
          </w:p>
          <w:p w14:paraId="5661167E" w14:textId="65A8D196" w:rsidR="006B376D" w:rsidRPr="0052514D" w:rsidRDefault="006B376D" w:rsidP="00B57107">
            <w:pPr>
              <w:jc w:val="center"/>
            </w:pPr>
          </w:p>
          <w:p w14:paraId="1D7E8F28" w14:textId="092701AE" w:rsidR="006B376D" w:rsidRPr="0052514D" w:rsidRDefault="006B376D" w:rsidP="006B376D">
            <w:pPr>
              <w:jc w:val="center"/>
            </w:pPr>
            <w:r w:rsidRPr="0052514D">
              <w:t>Feb. 16</w:t>
            </w:r>
          </w:p>
          <w:p w14:paraId="1B46C48E" w14:textId="77777777" w:rsidR="006B376D" w:rsidRPr="0052514D" w:rsidRDefault="006B376D" w:rsidP="006B376D">
            <w:pPr>
              <w:jc w:val="center"/>
            </w:pPr>
            <w:r w:rsidRPr="0052514D">
              <w:t xml:space="preserve">ZOOM </w:t>
            </w:r>
          </w:p>
          <w:p w14:paraId="04EF38F5" w14:textId="77777777" w:rsidR="006B376D" w:rsidRPr="0052514D" w:rsidRDefault="006B376D" w:rsidP="006B376D">
            <w:pPr>
              <w:jc w:val="center"/>
            </w:pPr>
            <w:r w:rsidRPr="0052514D">
              <w:t>(Makeup)</w:t>
            </w:r>
          </w:p>
          <w:p w14:paraId="187D6453" w14:textId="77777777" w:rsidR="006B376D" w:rsidRPr="0052514D" w:rsidRDefault="006B376D" w:rsidP="00B57107">
            <w:pPr>
              <w:jc w:val="center"/>
            </w:pPr>
          </w:p>
          <w:p w14:paraId="06DC772A" w14:textId="77777777" w:rsidR="00763726" w:rsidRPr="0052514D" w:rsidRDefault="00763726" w:rsidP="00B57107">
            <w:pPr>
              <w:jc w:val="center"/>
            </w:pPr>
          </w:p>
          <w:p w14:paraId="7D186B5E" w14:textId="4659A250" w:rsidR="00763726" w:rsidRPr="0052514D" w:rsidRDefault="00763726" w:rsidP="00B57107">
            <w:pPr>
              <w:jc w:val="center"/>
            </w:pPr>
          </w:p>
        </w:tc>
        <w:tc>
          <w:tcPr>
            <w:tcW w:w="7020" w:type="dxa"/>
            <w:shd w:val="clear" w:color="auto" w:fill="FFFFFF" w:themeFill="background1"/>
          </w:tcPr>
          <w:p w14:paraId="45E7DCBB" w14:textId="77777777" w:rsidR="002664D3" w:rsidRPr="0052514D" w:rsidRDefault="002664D3" w:rsidP="002664D3">
            <w:pPr>
              <w:jc w:val="both"/>
              <w:rPr>
                <w:rFonts w:ascii="Book Antiqua" w:hAnsi="Book Antiqua"/>
                <w:b/>
                <w:bCs/>
              </w:rPr>
            </w:pPr>
            <w:r w:rsidRPr="0052514D">
              <w:rPr>
                <w:rFonts w:ascii="Book Antiqua" w:hAnsi="Book Antiqua"/>
                <w:b/>
                <w:bCs/>
              </w:rPr>
              <w:t xml:space="preserve">Chapter 10:  Valuation </w:t>
            </w:r>
          </w:p>
          <w:p w14:paraId="1E2350CE" w14:textId="68F2D64D" w:rsidR="002664D3" w:rsidRPr="0052514D" w:rsidRDefault="002664D3" w:rsidP="0030076E">
            <w:pPr>
              <w:pStyle w:val="ListParagraph"/>
              <w:numPr>
                <w:ilvl w:val="0"/>
                <w:numId w:val="6"/>
              </w:numPr>
              <w:jc w:val="both"/>
              <w:rPr>
                <w:rFonts w:ascii="Book Antiqua" w:hAnsi="Book Antiqua"/>
              </w:rPr>
            </w:pPr>
            <w:r w:rsidRPr="0052514D">
              <w:rPr>
                <w:rFonts w:ascii="Book Antiqua" w:hAnsi="Book Antiqua"/>
              </w:rPr>
              <w:t xml:space="preserve">Section C:  Valuation in Practice </w:t>
            </w:r>
          </w:p>
          <w:p w14:paraId="612E3D05" w14:textId="77777777" w:rsidR="002664D3" w:rsidRPr="0052514D" w:rsidRDefault="002664D3" w:rsidP="0030076E">
            <w:pPr>
              <w:jc w:val="both"/>
              <w:rPr>
                <w:b/>
                <w:bCs/>
              </w:rPr>
            </w:pPr>
          </w:p>
          <w:p w14:paraId="731092F3" w14:textId="4BDFBBA3" w:rsidR="00B21C90" w:rsidRPr="0052514D" w:rsidRDefault="0030076E" w:rsidP="0030076E">
            <w:pPr>
              <w:jc w:val="both"/>
              <w:rPr>
                <w:b/>
                <w:bCs/>
              </w:rPr>
            </w:pPr>
            <w:r w:rsidRPr="0052514D">
              <w:rPr>
                <w:b/>
                <w:bCs/>
              </w:rPr>
              <w:t>Chapter 11</w:t>
            </w:r>
            <w:r w:rsidR="00B21C90" w:rsidRPr="0052514D">
              <w:rPr>
                <w:b/>
                <w:bCs/>
              </w:rPr>
              <w:t xml:space="preserve">:  Deciding to Do a Deal </w:t>
            </w:r>
          </w:p>
          <w:p w14:paraId="4691A6D1" w14:textId="0968F4A0" w:rsidR="0030076E" w:rsidRPr="0052514D" w:rsidRDefault="0030076E">
            <w:pPr>
              <w:pStyle w:val="ListParagraph"/>
              <w:numPr>
                <w:ilvl w:val="0"/>
                <w:numId w:val="7"/>
              </w:numPr>
              <w:jc w:val="both"/>
              <w:rPr>
                <w:rFonts w:ascii="Book Antiqua" w:hAnsi="Book Antiqua"/>
              </w:rPr>
            </w:pPr>
            <w:r w:rsidRPr="0052514D">
              <w:t>Section</w:t>
            </w:r>
            <w:r w:rsidR="00B21C90" w:rsidRPr="0052514D">
              <w:t xml:space="preserve"> </w:t>
            </w:r>
            <w:r w:rsidR="00B21C90" w:rsidRPr="0052514D">
              <w:rPr>
                <w:rFonts w:ascii="Book Antiqua" w:hAnsi="Book Antiqua"/>
              </w:rPr>
              <w:t xml:space="preserve">A:  Make or Buy Decisions </w:t>
            </w:r>
          </w:p>
          <w:p w14:paraId="2B991FE4" w14:textId="0BFEB250" w:rsidR="00B21C90" w:rsidRPr="0052514D" w:rsidRDefault="00B21C90">
            <w:pPr>
              <w:pStyle w:val="ListParagraph"/>
              <w:numPr>
                <w:ilvl w:val="0"/>
                <w:numId w:val="7"/>
              </w:numPr>
              <w:jc w:val="both"/>
              <w:rPr>
                <w:rFonts w:ascii="Book Antiqua" w:hAnsi="Book Antiqua"/>
              </w:rPr>
            </w:pPr>
            <w:r w:rsidRPr="0052514D">
              <w:rPr>
                <w:rFonts w:ascii="Book Antiqua" w:hAnsi="Book Antiqua"/>
              </w:rPr>
              <w:t xml:space="preserve">Section B:  How to Sell a Company </w:t>
            </w:r>
          </w:p>
          <w:p w14:paraId="5B2BE731" w14:textId="77777777" w:rsidR="0007278A" w:rsidRPr="0052514D" w:rsidRDefault="0007278A" w:rsidP="003D0CC5">
            <w:pPr>
              <w:jc w:val="both"/>
              <w:rPr>
                <w:rFonts w:ascii="Book Antiqua" w:hAnsi="Book Antiqua"/>
              </w:rPr>
            </w:pPr>
          </w:p>
          <w:p w14:paraId="65829FA1" w14:textId="31093A27" w:rsidR="00B21C90" w:rsidRPr="0052514D" w:rsidRDefault="0030076E" w:rsidP="0030076E">
            <w:pPr>
              <w:jc w:val="both"/>
              <w:rPr>
                <w:rFonts w:ascii="Book Antiqua" w:hAnsi="Book Antiqua"/>
                <w:b/>
                <w:bCs/>
              </w:rPr>
            </w:pPr>
            <w:r w:rsidRPr="0052514D">
              <w:rPr>
                <w:rFonts w:ascii="Book Antiqua" w:hAnsi="Book Antiqua"/>
                <w:b/>
                <w:bCs/>
              </w:rPr>
              <w:t>Chapter 12</w:t>
            </w:r>
            <w:r w:rsidR="00B21C90" w:rsidRPr="0052514D">
              <w:rPr>
                <w:rFonts w:ascii="Book Antiqua" w:hAnsi="Book Antiqua"/>
                <w:b/>
                <w:bCs/>
              </w:rPr>
              <w:t xml:space="preserve">:  Important Actors and Their Roles </w:t>
            </w:r>
          </w:p>
          <w:p w14:paraId="5AE381A6" w14:textId="48125A86" w:rsidR="00B21C90" w:rsidRPr="0052514D" w:rsidRDefault="00B21C90">
            <w:pPr>
              <w:pStyle w:val="ListParagraph"/>
              <w:numPr>
                <w:ilvl w:val="0"/>
                <w:numId w:val="8"/>
              </w:numPr>
              <w:jc w:val="both"/>
              <w:rPr>
                <w:rFonts w:ascii="Book Antiqua" w:hAnsi="Book Antiqua"/>
              </w:rPr>
            </w:pPr>
            <w:r w:rsidRPr="0052514D">
              <w:rPr>
                <w:rFonts w:ascii="Book Antiqua" w:hAnsi="Book Antiqua"/>
              </w:rPr>
              <w:t xml:space="preserve">Section A:  Attorneys </w:t>
            </w:r>
          </w:p>
          <w:p w14:paraId="5E15D434" w14:textId="4BCF15F9" w:rsidR="00B21C90" w:rsidRPr="0052514D" w:rsidRDefault="00B21C90">
            <w:pPr>
              <w:pStyle w:val="ListParagraph"/>
              <w:numPr>
                <w:ilvl w:val="0"/>
                <w:numId w:val="8"/>
              </w:numPr>
              <w:jc w:val="both"/>
              <w:rPr>
                <w:rFonts w:ascii="Book Antiqua" w:hAnsi="Book Antiqua"/>
              </w:rPr>
            </w:pPr>
            <w:r w:rsidRPr="0052514D">
              <w:rPr>
                <w:rFonts w:ascii="Book Antiqua" w:hAnsi="Book Antiqua"/>
              </w:rPr>
              <w:t xml:space="preserve">Section B:  Investment Bankers and </w:t>
            </w:r>
            <w:proofErr w:type="gramStart"/>
            <w:r w:rsidRPr="0052514D">
              <w:rPr>
                <w:rFonts w:ascii="Book Antiqua" w:hAnsi="Book Antiqua"/>
              </w:rPr>
              <w:t>Deal-Makers</w:t>
            </w:r>
            <w:proofErr w:type="gramEnd"/>
            <w:r w:rsidRPr="0052514D">
              <w:rPr>
                <w:rFonts w:ascii="Book Antiqua" w:hAnsi="Book Antiqua"/>
              </w:rPr>
              <w:t xml:space="preserve"> </w:t>
            </w:r>
          </w:p>
          <w:p w14:paraId="66583579" w14:textId="09A93F0B" w:rsidR="00C73696" w:rsidRPr="0052514D" w:rsidRDefault="00B21C90" w:rsidP="004F3FE5">
            <w:pPr>
              <w:pStyle w:val="ListParagraph"/>
              <w:numPr>
                <w:ilvl w:val="0"/>
                <w:numId w:val="8"/>
              </w:numPr>
              <w:jc w:val="both"/>
              <w:rPr>
                <w:rFonts w:ascii="Book Antiqua" w:hAnsi="Book Antiqua"/>
              </w:rPr>
            </w:pPr>
            <w:r w:rsidRPr="0052514D">
              <w:rPr>
                <w:rFonts w:ascii="Book Antiqua" w:hAnsi="Book Antiqua"/>
              </w:rPr>
              <w:t xml:space="preserve">Section C:  Other Professionals </w:t>
            </w:r>
          </w:p>
          <w:p w14:paraId="619240DB" w14:textId="77777777" w:rsidR="00C73696" w:rsidRPr="0052514D" w:rsidRDefault="00C73696" w:rsidP="004F3FE5">
            <w:pPr>
              <w:jc w:val="both"/>
            </w:pPr>
          </w:p>
          <w:p w14:paraId="1876EABA" w14:textId="77777777" w:rsidR="00E7456E" w:rsidRPr="0052514D" w:rsidRDefault="00E7456E" w:rsidP="004F3FE5">
            <w:pPr>
              <w:jc w:val="both"/>
            </w:pPr>
          </w:p>
          <w:p w14:paraId="46BA914E" w14:textId="42CEF417" w:rsidR="00E7456E" w:rsidRPr="0052514D" w:rsidRDefault="00E7456E" w:rsidP="004F3FE5">
            <w:pPr>
              <w:jc w:val="both"/>
            </w:pPr>
          </w:p>
        </w:tc>
        <w:tc>
          <w:tcPr>
            <w:tcW w:w="1170" w:type="dxa"/>
            <w:shd w:val="clear" w:color="auto" w:fill="FFFFFF" w:themeFill="background1"/>
          </w:tcPr>
          <w:p w14:paraId="6FA05DD6" w14:textId="745A6EFF" w:rsidR="002664D3" w:rsidRDefault="002664D3" w:rsidP="0030076E">
            <w:pPr>
              <w:jc w:val="center"/>
            </w:pPr>
            <w:r>
              <w:t>242-259</w:t>
            </w:r>
          </w:p>
          <w:p w14:paraId="0DF0A681" w14:textId="77777777" w:rsidR="002664D3" w:rsidRDefault="002664D3" w:rsidP="002664D3"/>
          <w:p w14:paraId="2FEB3C91" w14:textId="77777777" w:rsidR="002664D3" w:rsidRDefault="002664D3" w:rsidP="0030076E">
            <w:pPr>
              <w:jc w:val="center"/>
            </w:pPr>
          </w:p>
          <w:p w14:paraId="54F0E9CF" w14:textId="643066F9" w:rsidR="0030076E" w:rsidRDefault="0030076E" w:rsidP="0030076E">
            <w:pPr>
              <w:jc w:val="center"/>
            </w:pPr>
            <w:r>
              <w:t>263-277</w:t>
            </w:r>
          </w:p>
          <w:p w14:paraId="2690F336" w14:textId="77777777" w:rsidR="0007278A" w:rsidRDefault="0007278A" w:rsidP="00B57107">
            <w:pPr>
              <w:jc w:val="center"/>
            </w:pPr>
          </w:p>
          <w:p w14:paraId="0F0129F5" w14:textId="77777777" w:rsidR="00EC2413" w:rsidRDefault="00EC2413" w:rsidP="00B57107">
            <w:pPr>
              <w:jc w:val="center"/>
            </w:pPr>
          </w:p>
          <w:p w14:paraId="0D2DA5A6" w14:textId="77777777" w:rsidR="00EC2413" w:rsidRDefault="00EC2413" w:rsidP="00B57107">
            <w:pPr>
              <w:jc w:val="center"/>
            </w:pPr>
          </w:p>
          <w:p w14:paraId="7E65373F" w14:textId="3AB3576C" w:rsidR="0007278A" w:rsidRPr="00E81769" w:rsidRDefault="0030076E" w:rsidP="00B57107">
            <w:pPr>
              <w:jc w:val="center"/>
            </w:pPr>
            <w:r>
              <w:t>279-305</w:t>
            </w:r>
          </w:p>
        </w:tc>
      </w:tr>
      <w:tr w:rsidR="00AD33CD" w:rsidRPr="00420406" w14:paraId="3AD971CD" w14:textId="77777777" w:rsidTr="004B1C31">
        <w:tc>
          <w:tcPr>
            <w:tcW w:w="1283" w:type="dxa"/>
            <w:shd w:val="clear" w:color="auto" w:fill="FFFFFF" w:themeFill="background1"/>
          </w:tcPr>
          <w:p w14:paraId="2774FEA6" w14:textId="38783778" w:rsidR="00AD33CD" w:rsidRPr="0052514D" w:rsidRDefault="009B774B" w:rsidP="00B57107">
            <w:pPr>
              <w:jc w:val="center"/>
            </w:pPr>
            <w:r w:rsidRPr="0052514D">
              <w:lastRenderedPageBreak/>
              <w:t>6</w:t>
            </w:r>
          </w:p>
          <w:p w14:paraId="76F4C677" w14:textId="276EB533" w:rsidR="006B376D" w:rsidRPr="0052514D" w:rsidRDefault="006B376D" w:rsidP="00B57107">
            <w:pPr>
              <w:jc w:val="center"/>
            </w:pPr>
          </w:p>
          <w:p w14:paraId="5D2A23A4" w14:textId="484D74A5" w:rsidR="006B376D" w:rsidRPr="0052514D" w:rsidRDefault="006B376D" w:rsidP="00B57107">
            <w:pPr>
              <w:jc w:val="center"/>
            </w:pPr>
            <w:r w:rsidRPr="0052514D">
              <w:t>Feb. 20</w:t>
            </w:r>
          </w:p>
          <w:p w14:paraId="6BDBB319" w14:textId="77777777" w:rsidR="00763726" w:rsidRPr="0052514D" w:rsidRDefault="00763726" w:rsidP="00B57107">
            <w:pPr>
              <w:jc w:val="center"/>
            </w:pPr>
          </w:p>
          <w:p w14:paraId="46E2822C" w14:textId="77B4B804" w:rsidR="00763726" w:rsidRPr="0052514D" w:rsidRDefault="00763726" w:rsidP="00B57107">
            <w:pPr>
              <w:jc w:val="center"/>
            </w:pPr>
          </w:p>
        </w:tc>
        <w:tc>
          <w:tcPr>
            <w:tcW w:w="7020" w:type="dxa"/>
            <w:shd w:val="clear" w:color="auto" w:fill="FFFFFF" w:themeFill="background1"/>
          </w:tcPr>
          <w:p w14:paraId="40818733" w14:textId="59269B28" w:rsidR="006F6734" w:rsidRPr="0052514D" w:rsidRDefault="0030076E" w:rsidP="006F6734">
            <w:pPr>
              <w:jc w:val="both"/>
              <w:rPr>
                <w:rFonts w:ascii="Book Antiqua" w:hAnsi="Book Antiqua"/>
                <w:b/>
                <w:bCs/>
              </w:rPr>
            </w:pPr>
            <w:r w:rsidRPr="0052514D">
              <w:rPr>
                <w:rFonts w:ascii="Book Antiqua" w:hAnsi="Book Antiqua"/>
                <w:b/>
                <w:bCs/>
              </w:rPr>
              <w:t>Chapter 13</w:t>
            </w:r>
            <w:r w:rsidR="006F6734" w:rsidRPr="0052514D">
              <w:rPr>
                <w:rFonts w:ascii="Book Antiqua" w:hAnsi="Book Antiqua"/>
                <w:b/>
                <w:bCs/>
              </w:rPr>
              <w:t xml:space="preserve">:  Preliminary Negotiations  </w:t>
            </w:r>
          </w:p>
          <w:p w14:paraId="65CA2AC1" w14:textId="3DE8229F" w:rsidR="006F6734" w:rsidRPr="0052514D" w:rsidRDefault="006F6734">
            <w:pPr>
              <w:pStyle w:val="ListParagraph"/>
              <w:numPr>
                <w:ilvl w:val="0"/>
                <w:numId w:val="6"/>
              </w:numPr>
              <w:jc w:val="both"/>
              <w:rPr>
                <w:rFonts w:ascii="Book Antiqua" w:hAnsi="Book Antiqua"/>
              </w:rPr>
            </w:pPr>
            <w:r w:rsidRPr="0052514D">
              <w:rPr>
                <w:rFonts w:ascii="Book Antiqua" w:hAnsi="Book Antiqua"/>
              </w:rPr>
              <w:t xml:space="preserve">Section A:  Investment Banker Engagement Letter </w:t>
            </w:r>
          </w:p>
          <w:p w14:paraId="442C7EBA" w14:textId="211C36AF" w:rsidR="006F6734" w:rsidRPr="0052514D" w:rsidRDefault="006F6734">
            <w:pPr>
              <w:pStyle w:val="ListParagraph"/>
              <w:numPr>
                <w:ilvl w:val="0"/>
                <w:numId w:val="6"/>
              </w:numPr>
              <w:jc w:val="both"/>
              <w:rPr>
                <w:rFonts w:ascii="Book Antiqua" w:hAnsi="Book Antiqua"/>
              </w:rPr>
            </w:pPr>
            <w:r w:rsidRPr="0052514D">
              <w:rPr>
                <w:rFonts w:ascii="Book Antiqua" w:hAnsi="Book Antiqua"/>
              </w:rPr>
              <w:t xml:space="preserve">Section B:  Non-Disclosure and Confidentiality Agreements </w:t>
            </w:r>
          </w:p>
          <w:p w14:paraId="7A067F2E" w14:textId="4C0D212A" w:rsidR="006F6734" w:rsidRPr="0052514D" w:rsidRDefault="006F6734">
            <w:pPr>
              <w:pStyle w:val="ListParagraph"/>
              <w:numPr>
                <w:ilvl w:val="0"/>
                <w:numId w:val="6"/>
              </w:numPr>
              <w:jc w:val="both"/>
              <w:rPr>
                <w:rFonts w:ascii="Book Antiqua" w:hAnsi="Book Antiqua"/>
              </w:rPr>
            </w:pPr>
            <w:r w:rsidRPr="0052514D">
              <w:rPr>
                <w:rFonts w:ascii="Book Antiqua" w:hAnsi="Book Antiqua"/>
              </w:rPr>
              <w:t xml:space="preserve">Section C:  Standstill  </w:t>
            </w:r>
          </w:p>
          <w:p w14:paraId="664A1134" w14:textId="3F9EEEC6" w:rsidR="006F6734" w:rsidRPr="0052514D" w:rsidRDefault="006F6734">
            <w:pPr>
              <w:pStyle w:val="ListParagraph"/>
              <w:numPr>
                <w:ilvl w:val="0"/>
                <w:numId w:val="6"/>
              </w:numPr>
              <w:jc w:val="both"/>
              <w:rPr>
                <w:rFonts w:ascii="Book Antiqua" w:hAnsi="Book Antiqua"/>
              </w:rPr>
            </w:pPr>
            <w:r w:rsidRPr="0052514D">
              <w:rPr>
                <w:rFonts w:ascii="Book Antiqua" w:hAnsi="Book Antiqua"/>
              </w:rPr>
              <w:t xml:space="preserve">Section D:  Letters of Intent / Memorandum of Understanding (MOU)  </w:t>
            </w:r>
          </w:p>
          <w:p w14:paraId="25EF0F24" w14:textId="36F4EBC9" w:rsidR="00D32543" w:rsidRPr="0052514D" w:rsidRDefault="006F6734" w:rsidP="0030076E">
            <w:pPr>
              <w:pStyle w:val="ListParagraph"/>
              <w:numPr>
                <w:ilvl w:val="0"/>
                <w:numId w:val="6"/>
              </w:numPr>
              <w:jc w:val="both"/>
              <w:rPr>
                <w:rFonts w:ascii="Book Antiqua" w:hAnsi="Book Antiqua"/>
              </w:rPr>
            </w:pPr>
            <w:r w:rsidRPr="0052514D">
              <w:rPr>
                <w:rFonts w:ascii="Book Antiqua" w:hAnsi="Book Antiqua"/>
              </w:rPr>
              <w:t xml:space="preserve">Section E:  Due Diligence </w:t>
            </w:r>
          </w:p>
          <w:p w14:paraId="39884E6B" w14:textId="7D9F80B1" w:rsidR="00C73696" w:rsidRPr="0052514D" w:rsidRDefault="00C73696" w:rsidP="0030076E">
            <w:pPr>
              <w:jc w:val="both"/>
            </w:pPr>
          </w:p>
        </w:tc>
        <w:tc>
          <w:tcPr>
            <w:tcW w:w="1170" w:type="dxa"/>
            <w:shd w:val="clear" w:color="auto" w:fill="FFFFFF" w:themeFill="background1"/>
          </w:tcPr>
          <w:p w14:paraId="3D352501" w14:textId="3055F735" w:rsidR="00AD33CD" w:rsidRPr="00E81769" w:rsidRDefault="0030076E" w:rsidP="0007278A">
            <w:pPr>
              <w:jc w:val="center"/>
            </w:pPr>
            <w:r>
              <w:t>307-350</w:t>
            </w:r>
          </w:p>
        </w:tc>
      </w:tr>
      <w:tr w:rsidR="00AD33CD" w:rsidRPr="00420406" w14:paraId="717AE92A" w14:textId="77777777" w:rsidTr="004B1C31">
        <w:tc>
          <w:tcPr>
            <w:tcW w:w="1283" w:type="dxa"/>
            <w:shd w:val="clear" w:color="auto" w:fill="FFFFFF" w:themeFill="background1"/>
          </w:tcPr>
          <w:p w14:paraId="1949DF29" w14:textId="5E80AD37" w:rsidR="00763726" w:rsidRPr="0052514D" w:rsidRDefault="009B774B" w:rsidP="003468A3">
            <w:pPr>
              <w:jc w:val="center"/>
            </w:pPr>
            <w:r w:rsidRPr="0052514D">
              <w:t>7</w:t>
            </w:r>
          </w:p>
          <w:p w14:paraId="0981F791" w14:textId="5A032E52" w:rsidR="006B376D" w:rsidRPr="0052514D" w:rsidRDefault="006B376D" w:rsidP="003468A3">
            <w:pPr>
              <w:jc w:val="center"/>
            </w:pPr>
          </w:p>
          <w:p w14:paraId="4714E5EB" w14:textId="4D597E00" w:rsidR="006B376D" w:rsidRPr="0052514D" w:rsidRDefault="006B376D" w:rsidP="003468A3">
            <w:pPr>
              <w:jc w:val="center"/>
            </w:pPr>
            <w:r w:rsidRPr="0052514D">
              <w:t>Feb. 27</w:t>
            </w:r>
          </w:p>
          <w:p w14:paraId="42EFA887" w14:textId="6B04734D" w:rsidR="00763726" w:rsidRPr="0052514D" w:rsidRDefault="00763726" w:rsidP="00B57107">
            <w:pPr>
              <w:jc w:val="center"/>
              <w:rPr>
                <w:b/>
                <w:bCs/>
              </w:rPr>
            </w:pPr>
          </w:p>
        </w:tc>
        <w:tc>
          <w:tcPr>
            <w:tcW w:w="7020" w:type="dxa"/>
            <w:shd w:val="clear" w:color="auto" w:fill="FFFFFF" w:themeFill="background1"/>
          </w:tcPr>
          <w:p w14:paraId="477B8B95" w14:textId="314537BC" w:rsidR="006F6734" w:rsidRPr="0052514D" w:rsidRDefault="0030076E" w:rsidP="0030076E">
            <w:pPr>
              <w:jc w:val="both"/>
              <w:rPr>
                <w:b/>
                <w:bCs/>
              </w:rPr>
            </w:pPr>
            <w:r w:rsidRPr="0052514D">
              <w:rPr>
                <w:b/>
                <w:bCs/>
              </w:rPr>
              <w:t>Chapter 14</w:t>
            </w:r>
            <w:r w:rsidR="006F6734" w:rsidRPr="0052514D">
              <w:rPr>
                <w:b/>
                <w:bCs/>
              </w:rPr>
              <w:t xml:space="preserve">:  Documentation and Negotiations: The Merger Agreement </w:t>
            </w:r>
          </w:p>
          <w:p w14:paraId="73276082" w14:textId="29400D17" w:rsidR="0030076E" w:rsidRPr="0052514D" w:rsidRDefault="0030076E">
            <w:pPr>
              <w:pStyle w:val="ListParagraph"/>
              <w:numPr>
                <w:ilvl w:val="0"/>
                <w:numId w:val="9"/>
              </w:numPr>
              <w:jc w:val="both"/>
              <w:rPr>
                <w:rFonts w:ascii="Book Antiqua" w:hAnsi="Book Antiqua"/>
              </w:rPr>
            </w:pPr>
            <w:r w:rsidRPr="0052514D">
              <w:t>Section</w:t>
            </w:r>
            <w:r w:rsidR="006F6734" w:rsidRPr="0052514D">
              <w:t xml:space="preserve"> A:  </w:t>
            </w:r>
            <w:r w:rsidR="004B1C31" w:rsidRPr="0052514D">
              <w:t xml:space="preserve">Overview </w:t>
            </w:r>
          </w:p>
          <w:p w14:paraId="721BBE3A" w14:textId="639CA9E5" w:rsidR="006F6734" w:rsidRPr="0052514D" w:rsidRDefault="006F6734">
            <w:pPr>
              <w:pStyle w:val="ListParagraph"/>
              <w:numPr>
                <w:ilvl w:val="0"/>
                <w:numId w:val="9"/>
              </w:numPr>
              <w:jc w:val="both"/>
              <w:rPr>
                <w:rFonts w:ascii="Book Antiqua" w:hAnsi="Book Antiqua"/>
              </w:rPr>
            </w:pPr>
            <w:r w:rsidRPr="0052514D">
              <w:t xml:space="preserve">Section B:  </w:t>
            </w:r>
            <w:r w:rsidR="004B1C31" w:rsidRPr="0052514D">
              <w:t xml:space="preserve">Landscape of Merger Agreement </w:t>
            </w:r>
          </w:p>
          <w:p w14:paraId="77B20AF6" w14:textId="003B0C0E" w:rsidR="006F6734" w:rsidRPr="0052514D" w:rsidRDefault="006F6734">
            <w:pPr>
              <w:pStyle w:val="ListParagraph"/>
              <w:numPr>
                <w:ilvl w:val="0"/>
                <w:numId w:val="9"/>
              </w:numPr>
              <w:jc w:val="both"/>
              <w:rPr>
                <w:rFonts w:ascii="Book Antiqua" w:hAnsi="Book Antiqua"/>
              </w:rPr>
            </w:pPr>
            <w:r w:rsidRPr="0052514D">
              <w:t xml:space="preserve">Section C:  </w:t>
            </w:r>
            <w:r w:rsidR="004B1C31" w:rsidRPr="0052514D">
              <w:t xml:space="preserve">Pricing Formulas, Collars, and Risk Allocation </w:t>
            </w:r>
          </w:p>
          <w:p w14:paraId="447BB668" w14:textId="04E3F678" w:rsidR="006F6734" w:rsidRPr="0052514D" w:rsidRDefault="006F6734">
            <w:pPr>
              <w:pStyle w:val="ListParagraph"/>
              <w:numPr>
                <w:ilvl w:val="0"/>
                <w:numId w:val="9"/>
              </w:numPr>
              <w:jc w:val="both"/>
              <w:rPr>
                <w:rFonts w:ascii="Book Antiqua" w:hAnsi="Book Antiqua"/>
              </w:rPr>
            </w:pPr>
            <w:r w:rsidRPr="0052514D">
              <w:t xml:space="preserve">Section D:  </w:t>
            </w:r>
            <w:r w:rsidR="004B1C31" w:rsidRPr="0052514D">
              <w:t xml:space="preserve">Earnouts </w:t>
            </w:r>
          </w:p>
          <w:p w14:paraId="4192D54C" w14:textId="5E7BD5F8" w:rsidR="006F6734" w:rsidRPr="0052514D" w:rsidRDefault="006F6734">
            <w:pPr>
              <w:pStyle w:val="ListParagraph"/>
              <w:numPr>
                <w:ilvl w:val="0"/>
                <w:numId w:val="9"/>
              </w:numPr>
              <w:jc w:val="both"/>
              <w:rPr>
                <w:rFonts w:ascii="Book Antiqua" w:hAnsi="Book Antiqua"/>
              </w:rPr>
            </w:pPr>
            <w:r w:rsidRPr="0052514D">
              <w:t xml:space="preserve">Section E:  </w:t>
            </w:r>
            <w:r w:rsidR="004B1C31" w:rsidRPr="0052514D">
              <w:t xml:space="preserve">Information Production and Risk Allocation: Representations and Warranties </w:t>
            </w:r>
          </w:p>
          <w:p w14:paraId="500E2D16" w14:textId="054D430F" w:rsidR="006F6734" w:rsidRPr="0052514D" w:rsidRDefault="006F6734">
            <w:pPr>
              <w:pStyle w:val="ListParagraph"/>
              <w:numPr>
                <w:ilvl w:val="0"/>
                <w:numId w:val="9"/>
              </w:numPr>
              <w:jc w:val="both"/>
              <w:rPr>
                <w:rFonts w:ascii="Book Antiqua" w:hAnsi="Book Antiqua"/>
              </w:rPr>
            </w:pPr>
            <w:r w:rsidRPr="0052514D">
              <w:t xml:space="preserve">Section F:  </w:t>
            </w:r>
            <w:r w:rsidR="004B1C31" w:rsidRPr="0052514D">
              <w:t xml:space="preserve">Representations and Warranties Generally </w:t>
            </w:r>
          </w:p>
          <w:p w14:paraId="593EF7C4" w14:textId="15CCB30E" w:rsidR="00C73696" w:rsidRPr="0052514D" w:rsidRDefault="006F6734" w:rsidP="003D0CC5">
            <w:pPr>
              <w:pStyle w:val="ListParagraph"/>
              <w:numPr>
                <w:ilvl w:val="0"/>
                <w:numId w:val="9"/>
              </w:numPr>
              <w:jc w:val="both"/>
              <w:rPr>
                <w:rFonts w:ascii="Book Antiqua" w:hAnsi="Book Antiqua"/>
              </w:rPr>
            </w:pPr>
            <w:r w:rsidRPr="0052514D">
              <w:t xml:space="preserve">Section G:  </w:t>
            </w:r>
            <w:r w:rsidR="004B1C31" w:rsidRPr="0052514D">
              <w:t xml:space="preserve">Risk Allocation and Material Adverse Change Clause </w:t>
            </w:r>
          </w:p>
          <w:p w14:paraId="0E38A9E0" w14:textId="51B649ED" w:rsidR="00C73696" w:rsidRPr="0052514D" w:rsidRDefault="00C73696" w:rsidP="003D0CC5">
            <w:pPr>
              <w:jc w:val="both"/>
              <w:rPr>
                <w:rFonts w:ascii="Book Antiqua" w:hAnsi="Book Antiqua"/>
              </w:rPr>
            </w:pPr>
          </w:p>
        </w:tc>
        <w:tc>
          <w:tcPr>
            <w:tcW w:w="1170" w:type="dxa"/>
            <w:shd w:val="clear" w:color="auto" w:fill="FFFFFF" w:themeFill="background1"/>
          </w:tcPr>
          <w:p w14:paraId="2ED9B82A" w14:textId="131224B2" w:rsidR="00AD33CD" w:rsidRPr="00E81769" w:rsidRDefault="0030076E" w:rsidP="00B57107">
            <w:pPr>
              <w:jc w:val="center"/>
            </w:pPr>
            <w:r>
              <w:t>351-403</w:t>
            </w:r>
          </w:p>
        </w:tc>
      </w:tr>
      <w:tr w:rsidR="00AD33CD" w:rsidRPr="00420406" w14:paraId="4F611CAC" w14:textId="77777777" w:rsidTr="004B1C31">
        <w:tc>
          <w:tcPr>
            <w:tcW w:w="1283" w:type="dxa"/>
            <w:shd w:val="clear" w:color="auto" w:fill="FFFFFF" w:themeFill="background1"/>
          </w:tcPr>
          <w:p w14:paraId="26E53698" w14:textId="7D43B185" w:rsidR="00763726" w:rsidRPr="0052514D" w:rsidRDefault="009B774B" w:rsidP="007119C3">
            <w:pPr>
              <w:jc w:val="center"/>
            </w:pPr>
            <w:r w:rsidRPr="0052514D">
              <w:t>8</w:t>
            </w:r>
          </w:p>
          <w:p w14:paraId="28FE2E42" w14:textId="3A416608" w:rsidR="006B376D" w:rsidRPr="0052514D" w:rsidRDefault="006B376D" w:rsidP="007119C3">
            <w:pPr>
              <w:jc w:val="center"/>
            </w:pPr>
          </w:p>
          <w:p w14:paraId="79F40264" w14:textId="74327CDE" w:rsidR="006B376D" w:rsidRPr="0052514D" w:rsidRDefault="006B376D" w:rsidP="007119C3">
            <w:pPr>
              <w:jc w:val="center"/>
            </w:pPr>
            <w:r w:rsidRPr="0052514D">
              <w:t>Mar. 6</w:t>
            </w:r>
          </w:p>
          <w:p w14:paraId="134FDC28" w14:textId="24C848EF" w:rsidR="00763726" w:rsidRPr="0052514D" w:rsidRDefault="00763726" w:rsidP="00B57107">
            <w:pPr>
              <w:jc w:val="center"/>
            </w:pPr>
          </w:p>
        </w:tc>
        <w:tc>
          <w:tcPr>
            <w:tcW w:w="7020" w:type="dxa"/>
            <w:shd w:val="clear" w:color="auto" w:fill="FFFFFF" w:themeFill="background1"/>
          </w:tcPr>
          <w:p w14:paraId="151DF65D" w14:textId="4F29EC8F" w:rsidR="0030076E" w:rsidRPr="0052514D" w:rsidRDefault="004B1C31" w:rsidP="0030076E">
            <w:pPr>
              <w:jc w:val="both"/>
              <w:rPr>
                <w:rFonts w:ascii="Book Antiqua" w:hAnsi="Book Antiqua"/>
              </w:rPr>
            </w:pPr>
            <w:r w:rsidRPr="0052514D">
              <w:rPr>
                <w:b/>
                <w:bCs/>
              </w:rPr>
              <w:t>Chapter 14:  Documentation</w:t>
            </w:r>
            <w:r w:rsidR="00E42EDE" w:rsidRPr="0052514D">
              <w:rPr>
                <w:b/>
                <w:bCs/>
              </w:rPr>
              <w:t xml:space="preserve">, </w:t>
            </w:r>
            <w:r w:rsidRPr="0052514D">
              <w:rPr>
                <w:b/>
                <w:bCs/>
              </w:rPr>
              <w:t xml:space="preserve">Negotiations: </w:t>
            </w:r>
            <w:r w:rsidR="00E42EDE" w:rsidRPr="0052514D">
              <w:rPr>
                <w:b/>
                <w:bCs/>
              </w:rPr>
              <w:t xml:space="preserve">The </w:t>
            </w:r>
            <w:r w:rsidRPr="0052514D">
              <w:rPr>
                <w:b/>
                <w:bCs/>
              </w:rPr>
              <w:t>Merger Agreement</w:t>
            </w:r>
          </w:p>
          <w:p w14:paraId="3D85FAFA" w14:textId="4C250B88" w:rsidR="004B1C31" w:rsidRPr="0052514D" w:rsidRDefault="004B1C31" w:rsidP="00275213">
            <w:pPr>
              <w:jc w:val="both"/>
              <w:rPr>
                <w:rFonts w:ascii="Book Antiqua" w:hAnsi="Book Antiqua"/>
              </w:rPr>
            </w:pPr>
            <w:r w:rsidRPr="0052514D">
              <w:rPr>
                <w:rFonts w:ascii="Book Antiqua" w:hAnsi="Book Antiqua"/>
              </w:rPr>
              <w:t>Section H:  Covenants and Additional Agreements</w:t>
            </w:r>
          </w:p>
          <w:p w14:paraId="14CCF6DC" w14:textId="35736C58" w:rsidR="004B1C31" w:rsidRPr="0052514D" w:rsidRDefault="004B1C31" w:rsidP="00275213">
            <w:pPr>
              <w:jc w:val="both"/>
              <w:rPr>
                <w:rFonts w:ascii="Book Antiqua" w:hAnsi="Book Antiqua"/>
              </w:rPr>
            </w:pPr>
            <w:r w:rsidRPr="0052514D">
              <w:rPr>
                <w:rFonts w:ascii="Book Antiqua" w:hAnsi="Book Antiqua"/>
              </w:rPr>
              <w:t xml:space="preserve">Section I:  Closing Conditions </w:t>
            </w:r>
          </w:p>
          <w:p w14:paraId="39068DA3" w14:textId="5C1BE6EE" w:rsidR="004B1C31" w:rsidRPr="0052514D" w:rsidRDefault="004B1C31" w:rsidP="00275213">
            <w:pPr>
              <w:jc w:val="both"/>
              <w:rPr>
                <w:rFonts w:ascii="Book Antiqua" w:hAnsi="Book Antiqua"/>
              </w:rPr>
            </w:pPr>
            <w:r w:rsidRPr="0052514D">
              <w:rPr>
                <w:rFonts w:ascii="Book Antiqua" w:hAnsi="Book Antiqua"/>
              </w:rPr>
              <w:t xml:space="preserve">Section J:  Termination Provisions </w:t>
            </w:r>
          </w:p>
          <w:p w14:paraId="28277A50" w14:textId="34134F14" w:rsidR="004B1C31" w:rsidRPr="0052514D" w:rsidRDefault="004B1C31" w:rsidP="00275213">
            <w:pPr>
              <w:jc w:val="both"/>
              <w:rPr>
                <w:rFonts w:ascii="Book Antiqua" w:hAnsi="Book Antiqua"/>
              </w:rPr>
            </w:pPr>
            <w:r w:rsidRPr="0052514D">
              <w:rPr>
                <w:rFonts w:ascii="Book Antiqua" w:hAnsi="Book Antiqua"/>
              </w:rPr>
              <w:t xml:space="preserve">Section K:  Termination Fees </w:t>
            </w:r>
          </w:p>
          <w:p w14:paraId="1315D43A" w14:textId="34F2B17D" w:rsidR="004B1C31" w:rsidRPr="0052514D" w:rsidRDefault="004B1C31" w:rsidP="00275213">
            <w:pPr>
              <w:jc w:val="both"/>
              <w:rPr>
                <w:rFonts w:ascii="Book Antiqua" w:hAnsi="Book Antiqua"/>
              </w:rPr>
            </w:pPr>
            <w:r w:rsidRPr="0052514D">
              <w:rPr>
                <w:rFonts w:ascii="Book Antiqua" w:hAnsi="Book Antiqua"/>
              </w:rPr>
              <w:t xml:space="preserve">Section L:  Allocating Risk in Private Company Sale: Escrow </w:t>
            </w:r>
          </w:p>
          <w:p w14:paraId="46AF943D" w14:textId="7DD07F0E" w:rsidR="004B1C31" w:rsidRPr="0052514D" w:rsidRDefault="004B1C31" w:rsidP="00275213">
            <w:pPr>
              <w:jc w:val="both"/>
              <w:rPr>
                <w:iCs/>
              </w:rPr>
            </w:pPr>
            <w:r w:rsidRPr="0052514D">
              <w:rPr>
                <w:rFonts w:ascii="Book Antiqua" w:hAnsi="Book Antiqua"/>
              </w:rPr>
              <w:t xml:space="preserve">Section M:  Return to Contract Principles: Drafting and Negotiating the Merger Agreement </w:t>
            </w:r>
          </w:p>
          <w:p w14:paraId="2AEF64A8" w14:textId="77777777" w:rsidR="00EC2413" w:rsidRPr="0052514D" w:rsidRDefault="00EC2413" w:rsidP="00EC2413">
            <w:pPr>
              <w:jc w:val="both"/>
              <w:rPr>
                <w:rFonts w:ascii="Book Antiqua" w:hAnsi="Book Antiqua"/>
              </w:rPr>
            </w:pPr>
          </w:p>
          <w:p w14:paraId="5C4C20F2" w14:textId="6E9E367B" w:rsidR="00C73696" w:rsidRPr="0052514D" w:rsidRDefault="00EC2413" w:rsidP="0030076E">
            <w:pPr>
              <w:jc w:val="both"/>
              <w:rPr>
                <w:rFonts w:ascii="Book Antiqua" w:hAnsi="Book Antiqua"/>
                <w:b/>
                <w:bCs/>
              </w:rPr>
            </w:pPr>
            <w:r w:rsidRPr="0052514D">
              <w:rPr>
                <w:rFonts w:ascii="Book Antiqua" w:hAnsi="Book Antiqua"/>
                <w:b/>
                <w:bCs/>
              </w:rPr>
              <w:t xml:space="preserve">Note:  We will skip Chapters 15 and 16 (materials on hostile acquisitions and defenses). </w:t>
            </w:r>
          </w:p>
          <w:p w14:paraId="56A941DD" w14:textId="22EF95A2" w:rsidR="00C73696" w:rsidRPr="0052514D" w:rsidRDefault="00C73696" w:rsidP="0030076E">
            <w:pPr>
              <w:jc w:val="both"/>
            </w:pPr>
          </w:p>
        </w:tc>
        <w:tc>
          <w:tcPr>
            <w:tcW w:w="1170" w:type="dxa"/>
            <w:shd w:val="clear" w:color="auto" w:fill="FFFFFF" w:themeFill="background1"/>
          </w:tcPr>
          <w:p w14:paraId="3650A89B" w14:textId="3EAC1E88" w:rsidR="00AD33CD" w:rsidRPr="00F614BD" w:rsidRDefault="0030076E" w:rsidP="001E7403">
            <w:pPr>
              <w:jc w:val="center"/>
            </w:pPr>
            <w:r w:rsidRPr="00F614BD">
              <w:t>403-446</w:t>
            </w:r>
          </w:p>
        </w:tc>
      </w:tr>
      <w:tr w:rsidR="00AD33CD" w:rsidRPr="00420406" w14:paraId="64581642" w14:textId="77777777" w:rsidTr="004B1C31">
        <w:tc>
          <w:tcPr>
            <w:tcW w:w="1283" w:type="dxa"/>
            <w:shd w:val="clear" w:color="auto" w:fill="FFFFFF" w:themeFill="background1"/>
          </w:tcPr>
          <w:p w14:paraId="5F68BFC0" w14:textId="77777777" w:rsidR="00763726" w:rsidRPr="0052514D" w:rsidRDefault="009B774B" w:rsidP="003D0CC5">
            <w:pPr>
              <w:jc w:val="center"/>
            </w:pPr>
            <w:r w:rsidRPr="0052514D">
              <w:t>9</w:t>
            </w:r>
          </w:p>
          <w:p w14:paraId="67567E6E" w14:textId="77777777" w:rsidR="006B376D" w:rsidRPr="0052514D" w:rsidRDefault="006B376D" w:rsidP="003D0CC5">
            <w:pPr>
              <w:jc w:val="center"/>
            </w:pPr>
          </w:p>
          <w:p w14:paraId="342C5598" w14:textId="77777777" w:rsidR="006B376D" w:rsidRPr="0052514D" w:rsidRDefault="006B376D" w:rsidP="003D0CC5">
            <w:pPr>
              <w:jc w:val="center"/>
            </w:pPr>
            <w:r w:rsidRPr="0052514D">
              <w:t>Mar. 20</w:t>
            </w:r>
          </w:p>
          <w:p w14:paraId="5B95CE92" w14:textId="28E374FE" w:rsidR="006B376D" w:rsidRPr="0052514D" w:rsidRDefault="006B376D" w:rsidP="003D0CC5">
            <w:pPr>
              <w:jc w:val="center"/>
            </w:pPr>
            <w:r w:rsidRPr="0052514D">
              <w:t>ZOOM</w:t>
            </w:r>
          </w:p>
        </w:tc>
        <w:tc>
          <w:tcPr>
            <w:tcW w:w="7020" w:type="dxa"/>
            <w:shd w:val="clear" w:color="auto" w:fill="FFFFFF" w:themeFill="background1"/>
          </w:tcPr>
          <w:p w14:paraId="77953A81" w14:textId="77777777" w:rsidR="007D6B27" w:rsidRPr="0052514D" w:rsidRDefault="007D6B27" w:rsidP="007D6B27">
            <w:pPr>
              <w:rPr>
                <w:rFonts w:ascii="Book Antiqua" w:hAnsi="Book Antiqua"/>
                <w:b/>
                <w:bCs/>
              </w:rPr>
            </w:pPr>
            <w:r w:rsidRPr="0052514D">
              <w:rPr>
                <w:rFonts w:ascii="Book Antiqua" w:hAnsi="Book Antiqua"/>
                <w:b/>
                <w:bCs/>
              </w:rPr>
              <w:t xml:space="preserve">Chapter 17:  The Sale Process </w:t>
            </w:r>
          </w:p>
          <w:p w14:paraId="32F24BB8" w14:textId="1B51153B" w:rsidR="007D6B27" w:rsidRPr="0052514D" w:rsidRDefault="007D6B27" w:rsidP="007D6B27">
            <w:pPr>
              <w:pStyle w:val="ListParagraph"/>
              <w:numPr>
                <w:ilvl w:val="0"/>
                <w:numId w:val="13"/>
              </w:numPr>
              <w:ind w:left="360"/>
              <w:rPr>
                <w:rFonts w:ascii="Book Antiqua" w:hAnsi="Book Antiqua"/>
              </w:rPr>
            </w:pPr>
            <w:r w:rsidRPr="0052514D">
              <w:rPr>
                <w:rFonts w:ascii="Book Antiqua" w:hAnsi="Book Antiqua"/>
              </w:rPr>
              <w:t xml:space="preserve">Section A:  Smith v. Van </w:t>
            </w:r>
            <w:proofErr w:type="spellStart"/>
            <w:r w:rsidRPr="0052514D">
              <w:rPr>
                <w:rFonts w:ascii="Book Antiqua" w:hAnsi="Book Antiqua"/>
              </w:rPr>
              <w:t>Gorkom</w:t>
            </w:r>
            <w:proofErr w:type="spellEnd"/>
            <w:r w:rsidRPr="0052514D">
              <w:rPr>
                <w:rFonts w:ascii="Book Antiqua" w:hAnsi="Book Antiqua"/>
              </w:rPr>
              <w:t xml:space="preserve"> and the </w:t>
            </w:r>
            <w:r w:rsidR="00E42EDE" w:rsidRPr="0052514D">
              <w:rPr>
                <w:rFonts w:ascii="Book Antiqua" w:hAnsi="Book Antiqua"/>
              </w:rPr>
              <w:t xml:space="preserve">Board’s </w:t>
            </w:r>
            <w:r w:rsidRPr="0052514D">
              <w:rPr>
                <w:rFonts w:ascii="Book Antiqua" w:hAnsi="Book Antiqua"/>
              </w:rPr>
              <w:t xml:space="preserve">Duty of Care </w:t>
            </w:r>
          </w:p>
          <w:p w14:paraId="144F9834" w14:textId="77777777" w:rsidR="007D6B27" w:rsidRPr="0052514D" w:rsidRDefault="007D6B27" w:rsidP="007D6B27">
            <w:pPr>
              <w:pStyle w:val="ListParagraph"/>
              <w:numPr>
                <w:ilvl w:val="0"/>
                <w:numId w:val="14"/>
              </w:numPr>
              <w:rPr>
                <w:rFonts w:ascii="Book Antiqua" w:hAnsi="Book Antiqua"/>
                <w:i/>
                <w:iCs/>
              </w:rPr>
            </w:pPr>
            <w:r w:rsidRPr="0052514D">
              <w:rPr>
                <w:rFonts w:ascii="Book Antiqua" w:hAnsi="Book Antiqua"/>
                <w:i/>
                <w:iCs/>
              </w:rPr>
              <w:t xml:space="preserve">Smith v. Van </w:t>
            </w:r>
            <w:proofErr w:type="spellStart"/>
            <w:r w:rsidRPr="0052514D">
              <w:rPr>
                <w:rFonts w:ascii="Book Antiqua" w:hAnsi="Book Antiqua"/>
                <w:i/>
                <w:iCs/>
              </w:rPr>
              <w:t>Gorkom</w:t>
            </w:r>
            <w:proofErr w:type="spellEnd"/>
            <w:r w:rsidRPr="0052514D">
              <w:rPr>
                <w:rFonts w:ascii="Book Antiqua" w:hAnsi="Book Antiqua"/>
                <w:i/>
                <w:iCs/>
              </w:rPr>
              <w:t xml:space="preserve">  </w:t>
            </w:r>
          </w:p>
          <w:p w14:paraId="4C8ECBDF" w14:textId="77777777" w:rsidR="007D6B27" w:rsidRPr="0052514D" w:rsidRDefault="007D6B27" w:rsidP="007D6B27">
            <w:pPr>
              <w:pStyle w:val="ListParagraph"/>
              <w:numPr>
                <w:ilvl w:val="0"/>
                <w:numId w:val="13"/>
              </w:numPr>
              <w:ind w:left="360"/>
              <w:rPr>
                <w:rFonts w:ascii="Book Antiqua" w:hAnsi="Book Antiqua"/>
              </w:rPr>
            </w:pPr>
            <w:r w:rsidRPr="0052514D">
              <w:rPr>
                <w:rFonts w:ascii="Book Antiqua" w:hAnsi="Book Antiqua"/>
              </w:rPr>
              <w:t xml:space="preserve">Section B:  The Legislative Response to Van </w:t>
            </w:r>
            <w:proofErr w:type="spellStart"/>
            <w:r w:rsidRPr="0052514D">
              <w:rPr>
                <w:rFonts w:ascii="Book Antiqua" w:hAnsi="Book Antiqua"/>
              </w:rPr>
              <w:t>Gorkom</w:t>
            </w:r>
            <w:proofErr w:type="spellEnd"/>
            <w:r w:rsidRPr="0052514D">
              <w:rPr>
                <w:rFonts w:ascii="Book Antiqua" w:hAnsi="Book Antiqua"/>
              </w:rPr>
              <w:t xml:space="preserve"> </w:t>
            </w:r>
          </w:p>
          <w:p w14:paraId="1D3000B5" w14:textId="3CE42F5C" w:rsidR="007D6B27" w:rsidRPr="0052514D" w:rsidRDefault="007D6B27" w:rsidP="007D6B27">
            <w:pPr>
              <w:pStyle w:val="ListParagraph"/>
              <w:numPr>
                <w:ilvl w:val="0"/>
                <w:numId w:val="13"/>
              </w:numPr>
              <w:ind w:left="360"/>
            </w:pPr>
            <w:r w:rsidRPr="0052514D">
              <w:rPr>
                <w:rFonts w:ascii="Book Antiqua" w:hAnsi="Book Antiqua"/>
              </w:rPr>
              <w:t xml:space="preserve">Section C:  Van </w:t>
            </w:r>
            <w:proofErr w:type="spellStart"/>
            <w:r w:rsidRPr="0052514D">
              <w:rPr>
                <w:rFonts w:ascii="Book Antiqua" w:hAnsi="Book Antiqua"/>
              </w:rPr>
              <w:t>Gorkom</w:t>
            </w:r>
            <w:proofErr w:type="spellEnd"/>
            <w:r w:rsidRPr="0052514D">
              <w:rPr>
                <w:rFonts w:ascii="Book Antiqua" w:hAnsi="Book Antiqua"/>
              </w:rPr>
              <w:t xml:space="preserve"> and Duty of Care in Modern Times </w:t>
            </w:r>
          </w:p>
          <w:p w14:paraId="5597D94C" w14:textId="77777777" w:rsidR="007D6B27" w:rsidRPr="0052514D" w:rsidRDefault="007D6B27" w:rsidP="007D6B27">
            <w:pPr>
              <w:pStyle w:val="ListParagraph"/>
              <w:numPr>
                <w:ilvl w:val="1"/>
                <w:numId w:val="13"/>
              </w:numPr>
              <w:ind w:left="1150"/>
              <w:rPr>
                <w:i/>
                <w:iCs/>
              </w:rPr>
            </w:pPr>
            <w:proofErr w:type="spellStart"/>
            <w:r w:rsidRPr="0052514D">
              <w:rPr>
                <w:rFonts w:ascii="Book Antiqua" w:hAnsi="Book Antiqua"/>
                <w:i/>
                <w:iCs/>
              </w:rPr>
              <w:t>McPadden</w:t>
            </w:r>
            <w:proofErr w:type="spellEnd"/>
            <w:r w:rsidRPr="0052514D">
              <w:rPr>
                <w:rFonts w:ascii="Book Antiqua" w:hAnsi="Book Antiqua"/>
                <w:i/>
                <w:iCs/>
              </w:rPr>
              <w:t xml:space="preserve"> v. Sidhu </w:t>
            </w:r>
          </w:p>
          <w:p w14:paraId="302FC33C" w14:textId="77777777" w:rsidR="0030076E" w:rsidRPr="0052514D" w:rsidRDefault="0030076E" w:rsidP="007D6B27">
            <w:pPr>
              <w:jc w:val="both"/>
            </w:pPr>
          </w:p>
          <w:p w14:paraId="55024E37" w14:textId="77777777" w:rsidR="007D6B27" w:rsidRPr="0052514D" w:rsidRDefault="007D6B27" w:rsidP="007D6B27">
            <w:pPr>
              <w:rPr>
                <w:b/>
                <w:bCs/>
              </w:rPr>
            </w:pPr>
            <w:r w:rsidRPr="0052514D">
              <w:rPr>
                <w:b/>
                <w:bCs/>
              </w:rPr>
              <w:t xml:space="preserve">Chapter 18:  Selling the Corporation </w:t>
            </w:r>
          </w:p>
          <w:p w14:paraId="547F69B3" w14:textId="77777777" w:rsidR="007D6B27" w:rsidRPr="0052514D" w:rsidRDefault="007D6B27" w:rsidP="007D6B27">
            <w:pPr>
              <w:pStyle w:val="ListParagraph"/>
              <w:numPr>
                <w:ilvl w:val="0"/>
                <w:numId w:val="15"/>
              </w:numPr>
            </w:pPr>
            <w:r w:rsidRPr="0052514D">
              <w:t xml:space="preserve">Section A:  Maximizing Shareholder Value: Revlon Duties </w:t>
            </w:r>
          </w:p>
          <w:p w14:paraId="3706CA13" w14:textId="77777777" w:rsidR="007D6B27" w:rsidRPr="0052514D" w:rsidRDefault="007D6B27" w:rsidP="007D6B27">
            <w:pPr>
              <w:pStyle w:val="ListParagraph"/>
              <w:numPr>
                <w:ilvl w:val="1"/>
                <w:numId w:val="15"/>
              </w:numPr>
              <w:rPr>
                <w:i/>
                <w:iCs/>
              </w:rPr>
            </w:pPr>
            <w:r w:rsidRPr="0052514D">
              <w:rPr>
                <w:i/>
                <w:iCs/>
              </w:rPr>
              <w:t xml:space="preserve">Revlon Inc. v. MacAndrews &amp; Forbes Holdings Inc. </w:t>
            </w:r>
          </w:p>
          <w:p w14:paraId="1A8310C6" w14:textId="77777777" w:rsidR="007D6B27" w:rsidRPr="0052514D" w:rsidRDefault="007D6B27" w:rsidP="007D6B27">
            <w:pPr>
              <w:pStyle w:val="ListParagraph"/>
              <w:numPr>
                <w:ilvl w:val="0"/>
                <w:numId w:val="15"/>
              </w:numPr>
            </w:pPr>
            <w:r w:rsidRPr="0052514D">
              <w:t xml:space="preserve">Section B:  What Triggers Revlon? </w:t>
            </w:r>
          </w:p>
          <w:p w14:paraId="3F26B826" w14:textId="3BA851DB" w:rsidR="00E42EDE" w:rsidRPr="0052514D" w:rsidRDefault="007D6B27" w:rsidP="00E7456E">
            <w:pPr>
              <w:pStyle w:val="ListParagraph"/>
              <w:numPr>
                <w:ilvl w:val="0"/>
                <w:numId w:val="17"/>
              </w:numPr>
              <w:rPr>
                <w:i/>
                <w:iCs/>
              </w:rPr>
            </w:pPr>
            <w:r w:rsidRPr="0052514D">
              <w:rPr>
                <w:i/>
                <w:iCs/>
              </w:rPr>
              <w:t>Paramount v. Time</w:t>
            </w:r>
          </w:p>
          <w:p w14:paraId="579DD0E8" w14:textId="4B7362BF" w:rsidR="00E42EDE" w:rsidRPr="0052514D" w:rsidRDefault="00E42EDE" w:rsidP="007D6B27">
            <w:pPr>
              <w:jc w:val="both"/>
            </w:pPr>
          </w:p>
        </w:tc>
        <w:tc>
          <w:tcPr>
            <w:tcW w:w="1170" w:type="dxa"/>
            <w:shd w:val="clear" w:color="auto" w:fill="FFFFFF" w:themeFill="background1"/>
          </w:tcPr>
          <w:p w14:paraId="75BF033B" w14:textId="737A50FC" w:rsidR="007D6B27" w:rsidRDefault="007D6B27" w:rsidP="007D6B27">
            <w:pPr>
              <w:jc w:val="center"/>
            </w:pPr>
            <w:r>
              <w:t>573-604</w:t>
            </w:r>
          </w:p>
          <w:p w14:paraId="3681BF12" w14:textId="2A8BE231" w:rsidR="007D6B27" w:rsidRDefault="007D6B27" w:rsidP="007D6B27">
            <w:pPr>
              <w:jc w:val="center"/>
            </w:pPr>
          </w:p>
          <w:p w14:paraId="35C0167F" w14:textId="77777777" w:rsidR="00EC2413" w:rsidRDefault="00EC2413" w:rsidP="007D6B27">
            <w:pPr>
              <w:jc w:val="center"/>
            </w:pPr>
          </w:p>
          <w:p w14:paraId="1EAC91F6" w14:textId="77777777" w:rsidR="00EC2413" w:rsidRDefault="00EC2413" w:rsidP="007D6B27">
            <w:pPr>
              <w:jc w:val="center"/>
            </w:pPr>
          </w:p>
          <w:p w14:paraId="052A4159" w14:textId="77777777" w:rsidR="00EC2413" w:rsidRDefault="00EC2413" w:rsidP="007D6B27">
            <w:pPr>
              <w:jc w:val="center"/>
            </w:pPr>
          </w:p>
          <w:p w14:paraId="1168D622" w14:textId="77777777" w:rsidR="00EC2413" w:rsidRDefault="00EC2413" w:rsidP="007D6B27">
            <w:pPr>
              <w:jc w:val="center"/>
            </w:pPr>
          </w:p>
          <w:p w14:paraId="4E97ECC2" w14:textId="77777777" w:rsidR="00EC2413" w:rsidRDefault="00EC2413" w:rsidP="007D6B27">
            <w:pPr>
              <w:jc w:val="center"/>
            </w:pPr>
          </w:p>
          <w:p w14:paraId="25DCF1B8" w14:textId="77777777" w:rsidR="00EC2413" w:rsidRDefault="00EC2413" w:rsidP="007D6B27">
            <w:pPr>
              <w:jc w:val="center"/>
            </w:pPr>
          </w:p>
          <w:p w14:paraId="1D985F07" w14:textId="77777777" w:rsidR="00EC2413" w:rsidRDefault="00EC2413" w:rsidP="007D6B27">
            <w:pPr>
              <w:jc w:val="center"/>
            </w:pPr>
          </w:p>
          <w:p w14:paraId="537144AC" w14:textId="2831E7DA" w:rsidR="007D6B27" w:rsidRPr="00E81769" w:rsidRDefault="007D6B27" w:rsidP="007D6B27">
            <w:pPr>
              <w:jc w:val="center"/>
            </w:pPr>
            <w:r>
              <w:t>605-623</w:t>
            </w:r>
          </w:p>
          <w:p w14:paraId="03335BDE" w14:textId="4D9F4237" w:rsidR="00AD33CD" w:rsidRPr="00F614BD" w:rsidRDefault="00AD33CD" w:rsidP="003D0CC5">
            <w:pPr>
              <w:jc w:val="center"/>
              <w:rPr>
                <w:color w:val="FF0000"/>
              </w:rPr>
            </w:pPr>
          </w:p>
        </w:tc>
      </w:tr>
      <w:tr w:rsidR="00AD33CD" w:rsidRPr="00420406" w14:paraId="48C2440C" w14:textId="77777777" w:rsidTr="004B1C31">
        <w:tc>
          <w:tcPr>
            <w:tcW w:w="1283" w:type="dxa"/>
            <w:shd w:val="clear" w:color="auto" w:fill="FFFFFF" w:themeFill="background1"/>
          </w:tcPr>
          <w:p w14:paraId="2FA9311E" w14:textId="77777777" w:rsidR="00763726" w:rsidRPr="0052514D" w:rsidRDefault="009B774B" w:rsidP="006B376D">
            <w:pPr>
              <w:jc w:val="center"/>
            </w:pPr>
            <w:r w:rsidRPr="0052514D">
              <w:lastRenderedPageBreak/>
              <w:t>10</w:t>
            </w:r>
          </w:p>
          <w:p w14:paraId="665FA2C8" w14:textId="77777777" w:rsidR="006B376D" w:rsidRPr="0052514D" w:rsidRDefault="006B376D" w:rsidP="006B376D">
            <w:pPr>
              <w:jc w:val="center"/>
            </w:pPr>
          </w:p>
          <w:p w14:paraId="225ACE2D" w14:textId="037F9D51" w:rsidR="006B376D" w:rsidRPr="0052514D" w:rsidRDefault="006B376D" w:rsidP="006B376D">
            <w:pPr>
              <w:jc w:val="center"/>
            </w:pPr>
            <w:r w:rsidRPr="0052514D">
              <w:t>Mar. 27</w:t>
            </w:r>
          </w:p>
        </w:tc>
        <w:tc>
          <w:tcPr>
            <w:tcW w:w="7020" w:type="dxa"/>
            <w:shd w:val="clear" w:color="auto" w:fill="FFFFFF" w:themeFill="background1"/>
          </w:tcPr>
          <w:p w14:paraId="05949D64" w14:textId="77777777" w:rsidR="007D6B27" w:rsidRPr="0052514D" w:rsidRDefault="007D6B27" w:rsidP="007D6B27">
            <w:pPr>
              <w:rPr>
                <w:b/>
                <w:bCs/>
              </w:rPr>
            </w:pPr>
            <w:r w:rsidRPr="0052514D">
              <w:rPr>
                <w:b/>
                <w:bCs/>
              </w:rPr>
              <w:t xml:space="preserve">Chapter 18:  Selling the Corporation </w:t>
            </w:r>
          </w:p>
          <w:p w14:paraId="2445DAD7" w14:textId="77777777" w:rsidR="007D6B27" w:rsidRPr="0052514D" w:rsidRDefault="007D6B27" w:rsidP="007D6B27">
            <w:pPr>
              <w:pStyle w:val="ListParagraph"/>
              <w:numPr>
                <w:ilvl w:val="0"/>
                <w:numId w:val="15"/>
              </w:numPr>
            </w:pPr>
            <w:r w:rsidRPr="0052514D">
              <w:t xml:space="preserve">Section B:  What Triggers Revlon? </w:t>
            </w:r>
          </w:p>
          <w:p w14:paraId="5D76115F" w14:textId="77777777" w:rsidR="007D6B27" w:rsidRPr="0052514D" w:rsidRDefault="007D6B27" w:rsidP="007D6B27">
            <w:pPr>
              <w:pStyle w:val="ListParagraph"/>
              <w:numPr>
                <w:ilvl w:val="0"/>
                <w:numId w:val="17"/>
              </w:numPr>
              <w:rPr>
                <w:i/>
                <w:iCs/>
              </w:rPr>
            </w:pPr>
            <w:r w:rsidRPr="0052514D">
              <w:rPr>
                <w:i/>
                <w:iCs/>
              </w:rPr>
              <w:t xml:space="preserve">QVC v. Paramount </w:t>
            </w:r>
          </w:p>
          <w:p w14:paraId="158541EE" w14:textId="77777777" w:rsidR="007D6B27" w:rsidRPr="0052514D" w:rsidRDefault="007D6B27" w:rsidP="007D6B27">
            <w:pPr>
              <w:pStyle w:val="ListParagraph"/>
              <w:numPr>
                <w:ilvl w:val="0"/>
                <w:numId w:val="15"/>
              </w:numPr>
            </w:pPr>
            <w:r w:rsidRPr="0052514D">
              <w:t xml:space="preserve">Section C:  Revlon Today </w:t>
            </w:r>
          </w:p>
          <w:p w14:paraId="343F07D3" w14:textId="77777777" w:rsidR="007D6B27" w:rsidRPr="0052514D" w:rsidRDefault="007D6B27" w:rsidP="007D6B27">
            <w:pPr>
              <w:pStyle w:val="ListParagraph"/>
              <w:numPr>
                <w:ilvl w:val="0"/>
                <w:numId w:val="18"/>
              </w:numPr>
              <w:rPr>
                <w:i/>
                <w:iCs/>
              </w:rPr>
            </w:pPr>
            <w:r w:rsidRPr="0052514D">
              <w:rPr>
                <w:i/>
                <w:iCs/>
              </w:rPr>
              <w:t xml:space="preserve">Lyondell Chemical v. Ryan </w:t>
            </w:r>
          </w:p>
          <w:p w14:paraId="4B0FFBE7" w14:textId="77777777" w:rsidR="007D6B27" w:rsidRPr="0052514D" w:rsidRDefault="007D6B27" w:rsidP="007D6B27">
            <w:pPr>
              <w:pStyle w:val="ListParagraph"/>
              <w:numPr>
                <w:ilvl w:val="0"/>
                <w:numId w:val="16"/>
              </w:numPr>
            </w:pPr>
            <w:r w:rsidRPr="0052514D">
              <w:t xml:space="preserve">Section D:  Go-Shops </w:t>
            </w:r>
          </w:p>
          <w:p w14:paraId="3F3F9DFE" w14:textId="77777777" w:rsidR="007D6B27" w:rsidRPr="0052514D" w:rsidRDefault="007D6B27" w:rsidP="007D6B27">
            <w:pPr>
              <w:pStyle w:val="ListParagraph"/>
              <w:numPr>
                <w:ilvl w:val="0"/>
                <w:numId w:val="16"/>
              </w:numPr>
            </w:pPr>
            <w:r w:rsidRPr="0052514D">
              <w:t xml:space="preserve">Section E:  Revlon and Deal Protections </w:t>
            </w:r>
          </w:p>
          <w:p w14:paraId="069CE149" w14:textId="77777777" w:rsidR="007D6B27" w:rsidRPr="0052514D" w:rsidRDefault="007D6B27" w:rsidP="007D6B27">
            <w:pPr>
              <w:pStyle w:val="ListParagraph"/>
              <w:numPr>
                <w:ilvl w:val="0"/>
                <w:numId w:val="16"/>
              </w:numPr>
            </w:pPr>
            <w:r w:rsidRPr="0052514D">
              <w:t xml:space="preserve">Section F:  Revlon in Mixed Stock / Cash Transactions </w:t>
            </w:r>
          </w:p>
          <w:p w14:paraId="4B7B4FFC" w14:textId="77777777" w:rsidR="007D6B27" w:rsidRPr="0052514D" w:rsidRDefault="007D6B27" w:rsidP="007D6B27">
            <w:pPr>
              <w:pStyle w:val="ListParagraph"/>
              <w:numPr>
                <w:ilvl w:val="0"/>
                <w:numId w:val="16"/>
              </w:numPr>
            </w:pPr>
            <w:r w:rsidRPr="0052514D">
              <w:t xml:space="preserve">Section G:  Revlon in Other States, and Other Constituency Provisions </w:t>
            </w:r>
          </w:p>
          <w:p w14:paraId="4C68CB48" w14:textId="694EE1FF" w:rsidR="00C73696" w:rsidRPr="0052514D" w:rsidRDefault="00C73696" w:rsidP="007D6B27"/>
        </w:tc>
        <w:tc>
          <w:tcPr>
            <w:tcW w:w="1170" w:type="dxa"/>
            <w:shd w:val="clear" w:color="auto" w:fill="FFFFFF" w:themeFill="background1"/>
          </w:tcPr>
          <w:p w14:paraId="6B4B7487" w14:textId="7C6165BB" w:rsidR="007D6B27" w:rsidRPr="007D6B27" w:rsidRDefault="007D6B27" w:rsidP="00401908">
            <w:pPr>
              <w:jc w:val="center"/>
            </w:pPr>
            <w:r w:rsidRPr="007D6B27">
              <w:t>624-6</w:t>
            </w:r>
            <w:r w:rsidR="00401908">
              <w:t>73</w:t>
            </w:r>
          </w:p>
        </w:tc>
      </w:tr>
      <w:tr w:rsidR="00AD33CD" w:rsidRPr="00420406" w14:paraId="0245D598" w14:textId="77777777" w:rsidTr="004B1C31">
        <w:tc>
          <w:tcPr>
            <w:tcW w:w="1283" w:type="dxa"/>
            <w:shd w:val="clear" w:color="auto" w:fill="FFFFFF" w:themeFill="background1"/>
          </w:tcPr>
          <w:p w14:paraId="3D5F03B8" w14:textId="77777777" w:rsidR="00763726" w:rsidRPr="0052514D" w:rsidRDefault="009B774B" w:rsidP="003D0CC5">
            <w:pPr>
              <w:jc w:val="center"/>
            </w:pPr>
            <w:r w:rsidRPr="0052514D">
              <w:t>11</w:t>
            </w:r>
          </w:p>
          <w:p w14:paraId="08951A6F" w14:textId="77777777" w:rsidR="006B376D" w:rsidRPr="0052514D" w:rsidRDefault="006B376D" w:rsidP="003D0CC5">
            <w:pPr>
              <w:jc w:val="center"/>
            </w:pPr>
          </w:p>
          <w:p w14:paraId="5FB95481" w14:textId="26F04F8B" w:rsidR="006B376D" w:rsidRPr="0052514D" w:rsidRDefault="006B376D" w:rsidP="003D0CC5">
            <w:pPr>
              <w:jc w:val="center"/>
            </w:pPr>
            <w:r w:rsidRPr="0052514D">
              <w:t>Apr. 3</w:t>
            </w:r>
          </w:p>
        </w:tc>
        <w:tc>
          <w:tcPr>
            <w:tcW w:w="7020" w:type="dxa"/>
            <w:shd w:val="clear" w:color="auto" w:fill="FFFFFF" w:themeFill="background1"/>
          </w:tcPr>
          <w:p w14:paraId="6D27E4B3" w14:textId="77777777" w:rsidR="00CA6965" w:rsidRPr="0052514D" w:rsidRDefault="007D6B27" w:rsidP="007D6B27">
            <w:pPr>
              <w:rPr>
                <w:b/>
                <w:bCs/>
              </w:rPr>
            </w:pPr>
            <w:r w:rsidRPr="0052514D">
              <w:rPr>
                <w:b/>
                <w:bCs/>
              </w:rPr>
              <w:t xml:space="preserve">Elon Musk’s acquisition of Twitter </w:t>
            </w:r>
          </w:p>
          <w:p w14:paraId="614F2ACD" w14:textId="40404902" w:rsidR="007D6B27" w:rsidRPr="0052514D" w:rsidRDefault="007D6B27" w:rsidP="007D6B27">
            <w:pPr>
              <w:pStyle w:val="ListParagraph"/>
              <w:numPr>
                <w:ilvl w:val="0"/>
                <w:numId w:val="19"/>
              </w:numPr>
            </w:pPr>
            <w:r w:rsidRPr="0052514D">
              <w:t xml:space="preserve">Materials posted on Canvass </w:t>
            </w:r>
          </w:p>
          <w:p w14:paraId="7D3D95C2" w14:textId="04A8B203" w:rsidR="007D6B27" w:rsidRPr="0052514D" w:rsidRDefault="007D6B27" w:rsidP="007D6B27">
            <w:pPr>
              <w:pStyle w:val="ListParagraph"/>
              <w:numPr>
                <w:ilvl w:val="0"/>
                <w:numId w:val="19"/>
              </w:numPr>
            </w:pPr>
            <w:r w:rsidRPr="0052514D">
              <w:t xml:space="preserve">Background, facts, deal structure, and valuation </w:t>
            </w:r>
          </w:p>
          <w:p w14:paraId="0A8CA99B" w14:textId="41EBE939" w:rsidR="00C73696" w:rsidRPr="0052514D" w:rsidRDefault="00C73696" w:rsidP="00C73696"/>
        </w:tc>
        <w:tc>
          <w:tcPr>
            <w:tcW w:w="1170" w:type="dxa"/>
            <w:shd w:val="clear" w:color="auto" w:fill="FFFFFF" w:themeFill="background1"/>
          </w:tcPr>
          <w:p w14:paraId="51534333" w14:textId="60C230F2" w:rsidR="00AD33CD" w:rsidRPr="00E81769" w:rsidRDefault="00AD33CD" w:rsidP="007D6B27">
            <w:pPr>
              <w:jc w:val="center"/>
            </w:pPr>
          </w:p>
        </w:tc>
      </w:tr>
      <w:tr w:rsidR="005B7E17" w:rsidRPr="00420406" w14:paraId="280C8C09" w14:textId="77777777" w:rsidTr="004B1C31">
        <w:tc>
          <w:tcPr>
            <w:tcW w:w="1283" w:type="dxa"/>
            <w:shd w:val="clear" w:color="auto" w:fill="FFFFFF" w:themeFill="background1"/>
          </w:tcPr>
          <w:p w14:paraId="5F7967F8" w14:textId="77777777" w:rsidR="005B7E17" w:rsidRPr="0052514D" w:rsidRDefault="005B7E17" w:rsidP="007D6B27">
            <w:pPr>
              <w:jc w:val="center"/>
            </w:pPr>
            <w:r w:rsidRPr="0052514D">
              <w:t>12</w:t>
            </w:r>
          </w:p>
          <w:p w14:paraId="5E495D86" w14:textId="77777777" w:rsidR="006B376D" w:rsidRPr="0052514D" w:rsidRDefault="006B376D" w:rsidP="007D6B27">
            <w:pPr>
              <w:jc w:val="center"/>
            </w:pPr>
          </w:p>
          <w:p w14:paraId="4C1FE86F" w14:textId="541CD4D2" w:rsidR="006B376D" w:rsidRPr="0052514D" w:rsidRDefault="006B376D" w:rsidP="007D6B27">
            <w:pPr>
              <w:jc w:val="center"/>
            </w:pPr>
            <w:r w:rsidRPr="0052514D">
              <w:t>Apr. 10</w:t>
            </w:r>
          </w:p>
        </w:tc>
        <w:tc>
          <w:tcPr>
            <w:tcW w:w="7020" w:type="dxa"/>
            <w:shd w:val="clear" w:color="auto" w:fill="FFFFFF" w:themeFill="background1"/>
          </w:tcPr>
          <w:p w14:paraId="4D42C0F8" w14:textId="77777777" w:rsidR="007D6B27" w:rsidRPr="0052514D" w:rsidRDefault="007D6B27" w:rsidP="007D6B27">
            <w:pPr>
              <w:rPr>
                <w:b/>
                <w:bCs/>
              </w:rPr>
            </w:pPr>
            <w:r w:rsidRPr="0052514D">
              <w:rPr>
                <w:b/>
                <w:bCs/>
              </w:rPr>
              <w:t xml:space="preserve">Elon Musk’s acquisition of Twitter </w:t>
            </w:r>
          </w:p>
          <w:p w14:paraId="14F1CBCE" w14:textId="56C1DE80" w:rsidR="007D6B27" w:rsidRPr="0052514D" w:rsidRDefault="007D6B27" w:rsidP="007D6B27">
            <w:pPr>
              <w:pStyle w:val="ListParagraph"/>
              <w:numPr>
                <w:ilvl w:val="0"/>
                <w:numId w:val="19"/>
              </w:numPr>
            </w:pPr>
            <w:r w:rsidRPr="0052514D">
              <w:t xml:space="preserve">Materials posted on Canvass </w:t>
            </w:r>
          </w:p>
          <w:p w14:paraId="6681C44A" w14:textId="529494BA" w:rsidR="007D6B27" w:rsidRPr="0052514D" w:rsidRDefault="007D6B27" w:rsidP="007D6B27">
            <w:pPr>
              <w:pStyle w:val="ListParagraph"/>
              <w:numPr>
                <w:ilvl w:val="0"/>
                <w:numId w:val="19"/>
              </w:numPr>
            </w:pPr>
            <w:r w:rsidRPr="0052514D">
              <w:t xml:space="preserve">Acquisition agreement and the lawsuit </w:t>
            </w:r>
          </w:p>
          <w:p w14:paraId="588E7148" w14:textId="64E99B6A" w:rsidR="00C73696" w:rsidRPr="0052514D" w:rsidRDefault="00C73696" w:rsidP="007D6B27">
            <w:pPr>
              <w:rPr>
                <w:rFonts w:ascii="Book Antiqua" w:hAnsi="Book Antiqua"/>
              </w:rPr>
            </w:pPr>
          </w:p>
        </w:tc>
        <w:tc>
          <w:tcPr>
            <w:tcW w:w="1170" w:type="dxa"/>
            <w:shd w:val="clear" w:color="auto" w:fill="FFFFFF" w:themeFill="background1"/>
          </w:tcPr>
          <w:p w14:paraId="3CC9E2BF" w14:textId="7FC128AF" w:rsidR="005B7E17" w:rsidRPr="00E81769" w:rsidRDefault="005B7E17" w:rsidP="005B7E17">
            <w:pPr>
              <w:jc w:val="center"/>
            </w:pPr>
          </w:p>
        </w:tc>
      </w:tr>
      <w:tr w:rsidR="005B7E17" w:rsidRPr="00420406" w14:paraId="20D23EC8" w14:textId="77777777" w:rsidTr="004B1C31">
        <w:tc>
          <w:tcPr>
            <w:tcW w:w="1283" w:type="dxa"/>
            <w:shd w:val="clear" w:color="auto" w:fill="FFFFFF" w:themeFill="background1"/>
          </w:tcPr>
          <w:p w14:paraId="4F1CEABD" w14:textId="711D5766" w:rsidR="005B7E17" w:rsidRPr="0052514D" w:rsidRDefault="005B7E17" w:rsidP="005B7E17">
            <w:pPr>
              <w:jc w:val="center"/>
            </w:pPr>
            <w:r w:rsidRPr="0052514D">
              <w:t>13</w:t>
            </w:r>
          </w:p>
          <w:p w14:paraId="0DAEDF77" w14:textId="08BF9201" w:rsidR="006B376D" w:rsidRPr="0052514D" w:rsidRDefault="006B376D" w:rsidP="005B7E17">
            <w:pPr>
              <w:jc w:val="center"/>
            </w:pPr>
          </w:p>
          <w:p w14:paraId="3850E590" w14:textId="033D54BA" w:rsidR="006B376D" w:rsidRPr="0052514D" w:rsidRDefault="006B376D" w:rsidP="005B7E17">
            <w:pPr>
              <w:jc w:val="center"/>
            </w:pPr>
            <w:r w:rsidRPr="0052514D">
              <w:t>Apr. 17</w:t>
            </w:r>
          </w:p>
          <w:p w14:paraId="0464F629" w14:textId="0AB23F54" w:rsidR="005B7E17" w:rsidRPr="0052514D" w:rsidRDefault="005B7E17" w:rsidP="005B7E17">
            <w:pPr>
              <w:jc w:val="center"/>
            </w:pPr>
          </w:p>
        </w:tc>
        <w:tc>
          <w:tcPr>
            <w:tcW w:w="7020" w:type="dxa"/>
            <w:shd w:val="clear" w:color="auto" w:fill="FFFFFF" w:themeFill="background1"/>
          </w:tcPr>
          <w:p w14:paraId="2C42AC8F" w14:textId="351715A1" w:rsidR="007D6B27" w:rsidRPr="0052514D" w:rsidRDefault="007D6B27" w:rsidP="007D6B27">
            <w:pPr>
              <w:rPr>
                <w:b/>
                <w:bCs/>
              </w:rPr>
            </w:pPr>
            <w:r w:rsidRPr="0052514D">
              <w:rPr>
                <w:b/>
                <w:bCs/>
              </w:rPr>
              <w:t xml:space="preserve">Open class </w:t>
            </w:r>
          </w:p>
          <w:p w14:paraId="14E2C391" w14:textId="6FB00558" w:rsidR="007D6B27" w:rsidRPr="0052514D" w:rsidRDefault="007D6B27" w:rsidP="007D6B27">
            <w:pPr>
              <w:pStyle w:val="ListParagraph"/>
              <w:numPr>
                <w:ilvl w:val="0"/>
                <w:numId w:val="19"/>
              </w:numPr>
            </w:pPr>
            <w:r w:rsidRPr="0052514D">
              <w:t xml:space="preserve">Finish the Twitter acquisition </w:t>
            </w:r>
          </w:p>
          <w:p w14:paraId="4EC9E61F" w14:textId="4DF1C4B0" w:rsidR="007D6B27" w:rsidRPr="0052514D" w:rsidRDefault="007D6B27" w:rsidP="007D6B27">
            <w:pPr>
              <w:pStyle w:val="ListParagraph"/>
              <w:numPr>
                <w:ilvl w:val="0"/>
                <w:numId w:val="19"/>
              </w:numPr>
            </w:pPr>
            <w:r w:rsidRPr="0052514D">
              <w:t xml:space="preserve">Discuss final exam </w:t>
            </w:r>
          </w:p>
          <w:p w14:paraId="2E854FC0" w14:textId="13DB5E03" w:rsidR="00C73696" w:rsidRPr="0052514D" w:rsidRDefault="00C73696" w:rsidP="005B7E17"/>
        </w:tc>
        <w:tc>
          <w:tcPr>
            <w:tcW w:w="1170" w:type="dxa"/>
            <w:shd w:val="clear" w:color="auto" w:fill="FFFFFF" w:themeFill="background1"/>
          </w:tcPr>
          <w:p w14:paraId="05B58C41" w14:textId="412112E9" w:rsidR="005B7E17" w:rsidRPr="00E81769" w:rsidRDefault="005B7E17" w:rsidP="005B7E17">
            <w:pPr>
              <w:jc w:val="center"/>
            </w:pPr>
          </w:p>
        </w:tc>
      </w:tr>
      <w:tr w:rsidR="005B7E17" w:rsidRPr="00420406" w14:paraId="7E7DCEDF" w14:textId="77777777" w:rsidTr="004B1C31">
        <w:tc>
          <w:tcPr>
            <w:tcW w:w="1283" w:type="dxa"/>
            <w:shd w:val="clear" w:color="auto" w:fill="FFFFFF" w:themeFill="background1"/>
          </w:tcPr>
          <w:p w14:paraId="700AAB38" w14:textId="77777777" w:rsidR="005B7E17" w:rsidRDefault="005B7E17" w:rsidP="005B7E17">
            <w:pPr>
              <w:jc w:val="center"/>
            </w:pPr>
          </w:p>
        </w:tc>
        <w:tc>
          <w:tcPr>
            <w:tcW w:w="7020" w:type="dxa"/>
            <w:shd w:val="clear" w:color="auto" w:fill="FFFFFF" w:themeFill="background1"/>
          </w:tcPr>
          <w:p w14:paraId="4379E3AD" w14:textId="77777777" w:rsidR="005B7E17" w:rsidRDefault="005B7E17" w:rsidP="005B7E17">
            <w:pPr>
              <w:jc w:val="both"/>
              <w:rPr>
                <w:rFonts w:ascii="Book Antiqua" w:hAnsi="Book Antiqua"/>
              </w:rPr>
            </w:pPr>
          </w:p>
          <w:p w14:paraId="0BE8D1C3" w14:textId="4B33B004" w:rsidR="005B7E17" w:rsidRPr="00D81728" w:rsidRDefault="005B7E17" w:rsidP="005B7E17">
            <w:pPr>
              <w:jc w:val="both"/>
              <w:rPr>
                <w:rFonts w:ascii="Book Antiqua" w:hAnsi="Book Antiqua"/>
                <w:b/>
                <w:bCs/>
                <w:sz w:val="40"/>
                <w:szCs w:val="40"/>
              </w:rPr>
            </w:pPr>
            <w:r w:rsidRPr="00D81728">
              <w:rPr>
                <w:rFonts w:ascii="Book Antiqua" w:hAnsi="Book Antiqua"/>
                <w:b/>
                <w:bCs/>
                <w:sz w:val="40"/>
                <w:szCs w:val="40"/>
              </w:rPr>
              <w:t xml:space="preserve">FINAL EXAM:  </w:t>
            </w:r>
            <w:r>
              <w:rPr>
                <w:rFonts w:ascii="Book Antiqua" w:hAnsi="Book Antiqua"/>
                <w:b/>
                <w:bCs/>
                <w:sz w:val="40"/>
                <w:szCs w:val="40"/>
              </w:rPr>
              <w:t>TBD</w:t>
            </w:r>
          </w:p>
          <w:p w14:paraId="645786EA" w14:textId="36203047" w:rsidR="005B7E17" w:rsidRDefault="005B7E17" w:rsidP="005B7E17">
            <w:pPr>
              <w:jc w:val="both"/>
              <w:rPr>
                <w:rFonts w:ascii="Book Antiqua" w:hAnsi="Book Antiqua"/>
              </w:rPr>
            </w:pPr>
          </w:p>
        </w:tc>
        <w:tc>
          <w:tcPr>
            <w:tcW w:w="1170" w:type="dxa"/>
            <w:shd w:val="clear" w:color="auto" w:fill="FFFFFF" w:themeFill="background1"/>
          </w:tcPr>
          <w:p w14:paraId="0CDFBDB7" w14:textId="77777777" w:rsidR="005B7E17" w:rsidRPr="00E81769" w:rsidRDefault="005B7E17" w:rsidP="005B7E17">
            <w:pPr>
              <w:jc w:val="center"/>
            </w:pPr>
          </w:p>
        </w:tc>
      </w:tr>
    </w:tbl>
    <w:p w14:paraId="06578ECE" w14:textId="77777777" w:rsidR="005F4375" w:rsidRPr="005F4375" w:rsidRDefault="005F4375" w:rsidP="005F4375">
      <w:pPr>
        <w:rPr>
          <w:i/>
        </w:rPr>
      </w:pPr>
    </w:p>
    <w:sectPr w:rsidR="005F4375" w:rsidRPr="005F4375" w:rsidSect="00930A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569"/>
    <w:multiLevelType w:val="hybridMultilevel"/>
    <w:tmpl w:val="9A649868"/>
    <w:lvl w:ilvl="0" w:tplc="AF70C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5556D"/>
    <w:multiLevelType w:val="hybridMultilevel"/>
    <w:tmpl w:val="EB1C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E3161"/>
    <w:multiLevelType w:val="hybridMultilevel"/>
    <w:tmpl w:val="04DE1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3D54E8"/>
    <w:multiLevelType w:val="hybridMultilevel"/>
    <w:tmpl w:val="7686869C"/>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8A34FF8"/>
    <w:multiLevelType w:val="hybridMultilevel"/>
    <w:tmpl w:val="F5520BC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58E66DF"/>
    <w:multiLevelType w:val="hybridMultilevel"/>
    <w:tmpl w:val="2EE6801C"/>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8BB4B67"/>
    <w:multiLevelType w:val="hybridMultilevel"/>
    <w:tmpl w:val="C438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500CC"/>
    <w:multiLevelType w:val="hybridMultilevel"/>
    <w:tmpl w:val="799E1D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D61339"/>
    <w:multiLevelType w:val="hybridMultilevel"/>
    <w:tmpl w:val="494E8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6D51FF"/>
    <w:multiLevelType w:val="hybridMultilevel"/>
    <w:tmpl w:val="C6C04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6A2CF2"/>
    <w:multiLevelType w:val="hybridMultilevel"/>
    <w:tmpl w:val="DE68F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9D78DD"/>
    <w:multiLevelType w:val="hybridMultilevel"/>
    <w:tmpl w:val="C54A266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43A5AAC"/>
    <w:multiLevelType w:val="hybridMultilevel"/>
    <w:tmpl w:val="9224D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4C7CA0"/>
    <w:multiLevelType w:val="hybridMultilevel"/>
    <w:tmpl w:val="1FCAE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576E51"/>
    <w:multiLevelType w:val="hybridMultilevel"/>
    <w:tmpl w:val="8EAAA128"/>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69BB667B"/>
    <w:multiLevelType w:val="hybridMultilevel"/>
    <w:tmpl w:val="80DAB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2C73DA"/>
    <w:multiLevelType w:val="hybridMultilevel"/>
    <w:tmpl w:val="75B29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A7530E"/>
    <w:multiLevelType w:val="hybridMultilevel"/>
    <w:tmpl w:val="E104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277EA"/>
    <w:multiLevelType w:val="hybridMultilevel"/>
    <w:tmpl w:val="5AD28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C167F3"/>
    <w:multiLevelType w:val="hybridMultilevel"/>
    <w:tmpl w:val="2ED4C1BE"/>
    <w:lvl w:ilvl="0" w:tplc="52109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B03D2"/>
    <w:multiLevelType w:val="hybridMultilevel"/>
    <w:tmpl w:val="2B6C560C"/>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7C29007E"/>
    <w:multiLevelType w:val="hybridMultilevel"/>
    <w:tmpl w:val="38709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532A13"/>
    <w:multiLevelType w:val="hybridMultilevel"/>
    <w:tmpl w:val="A89AC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21468536">
    <w:abstractNumId w:val="1"/>
  </w:num>
  <w:num w:numId="2" w16cid:durableId="1847091717">
    <w:abstractNumId w:val="6"/>
  </w:num>
  <w:num w:numId="3" w16cid:durableId="1521698127">
    <w:abstractNumId w:val="9"/>
  </w:num>
  <w:num w:numId="4" w16cid:durableId="107357358">
    <w:abstractNumId w:val="18"/>
  </w:num>
  <w:num w:numId="5" w16cid:durableId="1935048398">
    <w:abstractNumId w:val="2"/>
  </w:num>
  <w:num w:numId="6" w16cid:durableId="23603028">
    <w:abstractNumId w:val="21"/>
  </w:num>
  <w:num w:numId="7" w16cid:durableId="160001756">
    <w:abstractNumId w:val="8"/>
  </w:num>
  <w:num w:numId="8" w16cid:durableId="1176992732">
    <w:abstractNumId w:val="22"/>
  </w:num>
  <w:num w:numId="9" w16cid:durableId="2136946373">
    <w:abstractNumId w:val="16"/>
  </w:num>
  <w:num w:numId="10" w16cid:durableId="1214656734">
    <w:abstractNumId w:val="13"/>
  </w:num>
  <w:num w:numId="11" w16cid:durableId="1342204161">
    <w:abstractNumId w:val="5"/>
  </w:num>
  <w:num w:numId="12" w16cid:durableId="853617549">
    <w:abstractNumId w:val="4"/>
  </w:num>
  <w:num w:numId="13" w16cid:durableId="414589963">
    <w:abstractNumId w:val="17"/>
  </w:num>
  <w:num w:numId="14" w16cid:durableId="515657767">
    <w:abstractNumId w:val="3"/>
  </w:num>
  <w:num w:numId="15" w16cid:durableId="115218722">
    <w:abstractNumId w:val="11"/>
  </w:num>
  <w:num w:numId="16" w16cid:durableId="1610621615">
    <w:abstractNumId w:val="10"/>
  </w:num>
  <w:num w:numId="17" w16cid:durableId="1464619038">
    <w:abstractNumId w:val="14"/>
  </w:num>
  <w:num w:numId="18" w16cid:durableId="1239173628">
    <w:abstractNumId w:val="20"/>
  </w:num>
  <w:num w:numId="19" w16cid:durableId="485439834">
    <w:abstractNumId w:val="12"/>
  </w:num>
  <w:num w:numId="20" w16cid:durableId="2120105215">
    <w:abstractNumId w:val="7"/>
  </w:num>
  <w:num w:numId="21" w16cid:durableId="56049271">
    <w:abstractNumId w:val="19"/>
  </w:num>
  <w:num w:numId="22" w16cid:durableId="1410732408">
    <w:abstractNumId w:val="0"/>
  </w:num>
  <w:num w:numId="23" w16cid:durableId="111406079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DE7"/>
    <w:rsid w:val="0000616B"/>
    <w:rsid w:val="00013A9A"/>
    <w:rsid w:val="000330D3"/>
    <w:rsid w:val="00035A2A"/>
    <w:rsid w:val="00043427"/>
    <w:rsid w:val="00045725"/>
    <w:rsid w:val="00052974"/>
    <w:rsid w:val="00052E7F"/>
    <w:rsid w:val="000564C3"/>
    <w:rsid w:val="00061D88"/>
    <w:rsid w:val="0007278A"/>
    <w:rsid w:val="000739AC"/>
    <w:rsid w:val="00080C5D"/>
    <w:rsid w:val="000834A6"/>
    <w:rsid w:val="00084204"/>
    <w:rsid w:val="00091156"/>
    <w:rsid w:val="00091FE7"/>
    <w:rsid w:val="00093019"/>
    <w:rsid w:val="000A1E8B"/>
    <w:rsid w:val="000B00E2"/>
    <w:rsid w:val="000B3501"/>
    <w:rsid w:val="000C6935"/>
    <w:rsid w:val="000C7D17"/>
    <w:rsid w:val="000D0756"/>
    <w:rsid w:val="000D1002"/>
    <w:rsid w:val="000D3557"/>
    <w:rsid w:val="000D402B"/>
    <w:rsid w:val="000D5898"/>
    <w:rsid w:val="000E2502"/>
    <w:rsid w:val="000E4E45"/>
    <w:rsid w:val="000F0767"/>
    <w:rsid w:val="00101C65"/>
    <w:rsid w:val="00120C66"/>
    <w:rsid w:val="0012357B"/>
    <w:rsid w:val="001260ED"/>
    <w:rsid w:val="001261D0"/>
    <w:rsid w:val="00126A4C"/>
    <w:rsid w:val="001361E7"/>
    <w:rsid w:val="001362BB"/>
    <w:rsid w:val="00137AD5"/>
    <w:rsid w:val="00144788"/>
    <w:rsid w:val="00153DA6"/>
    <w:rsid w:val="00163B4E"/>
    <w:rsid w:val="00171036"/>
    <w:rsid w:val="001732D0"/>
    <w:rsid w:val="001733F5"/>
    <w:rsid w:val="00174694"/>
    <w:rsid w:val="001753D5"/>
    <w:rsid w:val="00183076"/>
    <w:rsid w:val="001838F3"/>
    <w:rsid w:val="001869BF"/>
    <w:rsid w:val="00195D7B"/>
    <w:rsid w:val="001A1C2B"/>
    <w:rsid w:val="001A41C8"/>
    <w:rsid w:val="001A6B78"/>
    <w:rsid w:val="001B7BED"/>
    <w:rsid w:val="001C244A"/>
    <w:rsid w:val="001C30EF"/>
    <w:rsid w:val="001C3B8E"/>
    <w:rsid w:val="001E7403"/>
    <w:rsid w:val="001E7C51"/>
    <w:rsid w:val="002003A3"/>
    <w:rsid w:val="00200420"/>
    <w:rsid w:val="00201147"/>
    <w:rsid w:val="002025F9"/>
    <w:rsid w:val="00220B91"/>
    <w:rsid w:val="00221C48"/>
    <w:rsid w:val="00225031"/>
    <w:rsid w:val="002301F2"/>
    <w:rsid w:val="002347C4"/>
    <w:rsid w:val="002416C9"/>
    <w:rsid w:val="002430C3"/>
    <w:rsid w:val="00252706"/>
    <w:rsid w:val="0026339F"/>
    <w:rsid w:val="002664D3"/>
    <w:rsid w:val="002709F6"/>
    <w:rsid w:val="00275213"/>
    <w:rsid w:val="00281625"/>
    <w:rsid w:val="0029181D"/>
    <w:rsid w:val="00292FBF"/>
    <w:rsid w:val="002967FE"/>
    <w:rsid w:val="002C4DE6"/>
    <w:rsid w:val="002D14A9"/>
    <w:rsid w:val="002D2666"/>
    <w:rsid w:val="002D2844"/>
    <w:rsid w:val="002D495B"/>
    <w:rsid w:val="002D5D65"/>
    <w:rsid w:val="002D6951"/>
    <w:rsid w:val="002E0053"/>
    <w:rsid w:val="002E128E"/>
    <w:rsid w:val="002E19A3"/>
    <w:rsid w:val="002E511C"/>
    <w:rsid w:val="002F3457"/>
    <w:rsid w:val="0030076E"/>
    <w:rsid w:val="00301C56"/>
    <w:rsid w:val="00302C91"/>
    <w:rsid w:val="003042DC"/>
    <w:rsid w:val="003051E0"/>
    <w:rsid w:val="00305D29"/>
    <w:rsid w:val="00306159"/>
    <w:rsid w:val="00310CC4"/>
    <w:rsid w:val="0031131E"/>
    <w:rsid w:val="0031281A"/>
    <w:rsid w:val="00316B55"/>
    <w:rsid w:val="00317AE6"/>
    <w:rsid w:val="003422ED"/>
    <w:rsid w:val="00345474"/>
    <w:rsid w:val="003468A3"/>
    <w:rsid w:val="003542BC"/>
    <w:rsid w:val="0035433A"/>
    <w:rsid w:val="00354D51"/>
    <w:rsid w:val="00360723"/>
    <w:rsid w:val="00381930"/>
    <w:rsid w:val="00386A01"/>
    <w:rsid w:val="0039081C"/>
    <w:rsid w:val="0039279E"/>
    <w:rsid w:val="003971C7"/>
    <w:rsid w:val="003A1E95"/>
    <w:rsid w:val="003B0E7D"/>
    <w:rsid w:val="003C56B1"/>
    <w:rsid w:val="003D0CC5"/>
    <w:rsid w:val="003D56C3"/>
    <w:rsid w:val="003D6337"/>
    <w:rsid w:val="003E2986"/>
    <w:rsid w:val="003E3205"/>
    <w:rsid w:val="003E5957"/>
    <w:rsid w:val="003F1CD4"/>
    <w:rsid w:val="004016E5"/>
    <w:rsid w:val="00401908"/>
    <w:rsid w:val="00401A87"/>
    <w:rsid w:val="00402C82"/>
    <w:rsid w:val="00403430"/>
    <w:rsid w:val="00404778"/>
    <w:rsid w:val="00407736"/>
    <w:rsid w:val="00412943"/>
    <w:rsid w:val="00417B6C"/>
    <w:rsid w:val="00420F19"/>
    <w:rsid w:val="00423960"/>
    <w:rsid w:val="00423BF0"/>
    <w:rsid w:val="00427558"/>
    <w:rsid w:val="004300A5"/>
    <w:rsid w:val="004301E1"/>
    <w:rsid w:val="0043226E"/>
    <w:rsid w:val="00435D89"/>
    <w:rsid w:val="00441A68"/>
    <w:rsid w:val="00443556"/>
    <w:rsid w:val="004466FB"/>
    <w:rsid w:val="0045362F"/>
    <w:rsid w:val="004554F5"/>
    <w:rsid w:val="004604BC"/>
    <w:rsid w:val="004747EE"/>
    <w:rsid w:val="0048487B"/>
    <w:rsid w:val="00486C35"/>
    <w:rsid w:val="004A07C8"/>
    <w:rsid w:val="004A37DE"/>
    <w:rsid w:val="004B1C31"/>
    <w:rsid w:val="004B24C1"/>
    <w:rsid w:val="004C6111"/>
    <w:rsid w:val="004C663A"/>
    <w:rsid w:val="004D23FE"/>
    <w:rsid w:val="004D360D"/>
    <w:rsid w:val="004E3745"/>
    <w:rsid w:val="004F3FE5"/>
    <w:rsid w:val="005048D5"/>
    <w:rsid w:val="00512450"/>
    <w:rsid w:val="0051265E"/>
    <w:rsid w:val="00514426"/>
    <w:rsid w:val="00517ABF"/>
    <w:rsid w:val="00517ADB"/>
    <w:rsid w:val="0052514D"/>
    <w:rsid w:val="0052773E"/>
    <w:rsid w:val="00527FAC"/>
    <w:rsid w:val="00535366"/>
    <w:rsid w:val="00535858"/>
    <w:rsid w:val="005379BC"/>
    <w:rsid w:val="00541A33"/>
    <w:rsid w:val="0056188F"/>
    <w:rsid w:val="00575716"/>
    <w:rsid w:val="00576215"/>
    <w:rsid w:val="00583F99"/>
    <w:rsid w:val="00594A8C"/>
    <w:rsid w:val="00595077"/>
    <w:rsid w:val="00595258"/>
    <w:rsid w:val="005A1552"/>
    <w:rsid w:val="005A1ABD"/>
    <w:rsid w:val="005A28D6"/>
    <w:rsid w:val="005B0D26"/>
    <w:rsid w:val="005B1F82"/>
    <w:rsid w:val="005B2893"/>
    <w:rsid w:val="005B7E17"/>
    <w:rsid w:val="005C14CC"/>
    <w:rsid w:val="005D01BE"/>
    <w:rsid w:val="005D111E"/>
    <w:rsid w:val="005D4119"/>
    <w:rsid w:val="005E69F1"/>
    <w:rsid w:val="005F1D8D"/>
    <w:rsid w:val="005F1DC5"/>
    <w:rsid w:val="005F4375"/>
    <w:rsid w:val="005F61B2"/>
    <w:rsid w:val="005F656C"/>
    <w:rsid w:val="00610C4A"/>
    <w:rsid w:val="00610C7F"/>
    <w:rsid w:val="00625D10"/>
    <w:rsid w:val="00626746"/>
    <w:rsid w:val="00642696"/>
    <w:rsid w:val="00645F95"/>
    <w:rsid w:val="00655535"/>
    <w:rsid w:val="00657103"/>
    <w:rsid w:val="00660D57"/>
    <w:rsid w:val="00667C00"/>
    <w:rsid w:val="00670E2E"/>
    <w:rsid w:val="0067297B"/>
    <w:rsid w:val="006946BB"/>
    <w:rsid w:val="006A3BFD"/>
    <w:rsid w:val="006A5EE1"/>
    <w:rsid w:val="006B0C10"/>
    <w:rsid w:val="006B204F"/>
    <w:rsid w:val="006B2D85"/>
    <w:rsid w:val="006B376D"/>
    <w:rsid w:val="006C69BB"/>
    <w:rsid w:val="006D0245"/>
    <w:rsid w:val="006D09CC"/>
    <w:rsid w:val="006D1D22"/>
    <w:rsid w:val="006D32B0"/>
    <w:rsid w:val="006E16E2"/>
    <w:rsid w:val="006F3B92"/>
    <w:rsid w:val="006F3C2B"/>
    <w:rsid w:val="006F5D3D"/>
    <w:rsid w:val="006F6734"/>
    <w:rsid w:val="00701F14"/>
    <w:rsid w:val="00702CFB"/>
    <w:rsid w:val="007119C3"/>
    <w:rsid w:val="00711B94"/>
    <w:rsid w:val="00713EC3"/>
    <w:rsid w:val="00715910"/>
    <w:rsid w:val="00723D80"/>
    <w:rsid w:val="007241D0"/>
    <w:rsid w:val="007428C5"/>
    <w:rsid w:val="007549A0"/>
    <w:rsid w:val="00757C6D"/>
    <w:rsid w:val="00763726"/>
    <w:rsid w:val="0076530A"/>
    <w:rsid w:val="0076530F"/>
    <w:rsid w:val="00771173"/>
    <w:rsid w:val="007738A1"/>
    <w:rsid w:val="007857CD"/>
    <w:rsid w:val="00786814"/>
    <w:rsid w:val="0078716A"/>
    <w:rsid w:val="007A0615"/>
    <w:rsid w:val="007A565E"/>
    <w:rsid w:val="007B3A9B"/>
    <w:rsid w:val="007C4137"/>
    <w:rsid w:val="007C5947"/>
    <w:rsid w:val="007D43ED"/>
    <w:rsid w:val="007D6B27"/>
    <w:rsid w:val="007E1407"/>
    <w:rsid w:val="007E2BE9"/>
    <w:rsid w:val="007E5E28"/>
    <w:rsid w:val="007E6BA2"/>
    <w:rsid w:val="007F3481"/>
    <w:rsid w:val="0080015B"/>
    <w:rsid w:val="00802836"/>
    <w:rsid w:val="0083643D"/>
    <w:rsid w:val="008428F7"/>
    <w:rsid w:val="00862CA4"/>
    <w:rsid w:val="008707BC"/>
    <w:rsid w:val="00871196"/>
    <w:rsid w:val="00871688"/>
    <w:rsid w:val="00872C09"/>
    <w:rsid w:val="00877A58"/>
    <w:rsid w:val="008B60C9"/>
    <w:rsid w:val="008B7462"/>
    <w:rsid w:val="008C137C"/>
    <w:rsid w:val="008C54A2"/>
    <w:rsid w:val="008C7F69"/>
    <w:rsid w:val="008D4815"/>
    <w:rsid w:val="008D7647"/>
    <w:rsid w:val="008F0309"/>
    <w:rsid w:val="008F148A"/>
    <w:rsid w:val="00906F45"/>
    <w:rsid w:val="00916DD9"/>
    <w:rsid w:val="009267DE"/>
    <w:rsid w:val="0093203E"/>
    <w:rsid w:val="0093219E"/>
    <w:rsid w:val="0093588A"/>
    <w:rsid w:val="00945779"/>
    <w:rsid w:val="00945C8C"/>
    <w:rsid w:val="0096364D"/>
    <w:rsid w:val="00964452"/>
    <w:rsid w:val="00972F70"/>
    <w:rsid w:val="00975B31"/>
    <w:rsid w:val="00977006"/>
    <w:rsid w:val="00980D51"/>
    <w:rsid w:val="00987638"/>
    <w:rsid w:val="00992281"/>
    <w:rsid w:val="009A3411"/>
    <w:rsid w:val="009A535B"/>
    <w:rsid w:val="009A74D1"/>
    <w:rsid w:val="009B0433"/>
    <w:rsid w:val="009B1252"/>
    <w:rsid w:val="009B4BAD"/>
    <w:rsid w:val="009B774B"/>
    <w:rsid w:val="009D65E2"/>
    <w:rsid w:val="009E250D"/>
    <w:rsid w:val="009E4D56"/>
    <w:rsid w:val="009E532B"/>
    <w:rsid w:val="009F7171"/>
    <w:rsid w:val="00A005B4"/>
    <w:rsid w:val="00A02BF9"/>
    <w:rsid w:val="00A12A30"/>
    <w:rsid w:val="00A150C5"/>
    <w:rsid w:val="00A24B30"/>
    <w:rsid w:val="00A26C82"/>
    <w:rsid w:val="00A314FE"/>
    <w:rsid w:val="00A405F5"/>
    <w:rsid w:val="00A4415C"/>
    <w:rsid w:val="00A4530E"/>
    <w:rsid w:val="00A506D4"/>
    <w:rsid w:val="00A51822"/>
    <w:rsid w:val="00A55D11"/>
    <w:rsid w:val="00A60609"/>
    <w:rsid w:val="00A63DE7"/>
    <w:rsid w:val="00A664FE"/>
    <w:rsid w:val="00A66B27"/>
    <w:rsid w:val="00A70139"/>
    <w:rsid w:val="00A73D01"/>
    <w:rsid w:val="00AA0C33"/>
    <w:rsid w:val="00AB3EBA"/>
    <w:rsid w:val="00AC5929"/>
    <w:rsid w:val="00AD33CD"/>
    <w:rsid w:val="00AD484D"/>
    <w:rsid w:val="00AE74F2"/>
    <w:rsid w:val="00AF0459"/>
    <w:rsid w:val="00AF4122"/>
    <w:rsid w:val="00AF7915"/>
    <w:rsid w:val="00B00B82"/>
    <w:rsid w:val="00B1412B"/>
    <w:rsid w:val="00B149CC"/>
    <w:rsid w:val="00B21C90"/>
    <w:rsid w:val="00B25E2F"/>
    <w:rsid w:val="00B41954"/>
    <w:rsid w:val="00B441C8"/>
    <w:rsid w:val="00B456D9"/>
    <w:rsid w:val="00B57986"/>
    <w:rsid w:val="00B62669"/>
    <w:rsid w:val="00B62B65"/>
    <w:rsid w:val="00B77088"/>
    <w:rsid w:val="00B7731E"/>
    <w:rsid w:val="00B81F0D"/>
    <w:rsid w:val="00B82CF4"/>
    <w:rsid w:val="00BA57D8"/>
    <w:rsid w:val="00BA711E"/>
    <w:rsid w:val="00BC47BF"/>
    <w:rsid w:val="00BC5DA4"/>
    <w:rsid w:val="00BD0C6E"/>
    <w:rsid w:val="00BD23D0"/>
    <w:rsid w:val="00BD30AC"/>
    <w:rsid w:val="00BF00A2"/>
    <w:rsid w:val="00BF0B85"/>
    <w:rsid w:val="00BF5891"/>
    <w:rsid w:val="00C04395"/>
    <w:rsid w:val="00C05310"/>
    <w:rsid w:val="00C13BD5"/>
    <w:rsid w:val="00C170C2"/>
    <w:rsid w:val="00C33F78"/>
    <w:rsid w:val="00C3525B"/>
    <w:rsid w:val="00C54B86"/>
    <w:rsid w:val="00C5659C"/>
    <w:rsid w:val="00C677D0"/>
    <w:rsid w:val="00C73696"/>
    <w:rsid w:val="00C765BA"/>
    <w:rsid w:val="00C80152"/>
    <w:rsid w:val="00CA6965"/>
    <w:rsid w:val="00CB1DFC"/>
    <w:rsid w:val="00CB2A6A"/>
    <w:rsid w:val="00CB50D2"/>
    <w:rsid w:val="00CC52F4"/>
    <w:rsid w:val="00CD023C"/>
    <w:rsid w:val="00CD1FC3"/>
    <w:rsid w:val="00CD499F"/>
    <w:rsid w:val="00CE15B0"/>
    <w:rsid w:val="00CE69A2"/>
    <w:rsid w:val="00CF1962"/>
    <w:rsid w:val="00CF36E7"/>
    <w:rsid w:val="00D0169D"/>
    <w:rsid w:val="00D066BE"/>
    <w:rsid w:val="00D11EDB"/>
    <w:rsid w:val="00D145E7"/>
    <w:rsid w:val="00D27FC3"/>
    <w:rsid w:val="00D32178"/>
    <w:rsid w:val="00D32543"/>
    <w:rsid w:val="00D35859"/>
    <w:rsid w:val="00D47C38"/>
    <w:rsid w:val="00D517A6"/>
    <w:rsid w:val="00D6339D"/>
    <w:rsid w:val="00D65334"/>
    <w:rsid w:val="00D654F8"/>
    <w:rsid w:val="00D66F61"/>
    <w:rsid w:val="00D81728"/>
    <w:rsid w:val="00D819B2"/>
    <w:rsid w:val="00D81AF1"/>
    <w:rsid w:val="00D83505"/>
    <w:rsid w:val="00D953F7"/>
    <w:rsid w:val="00D97D8D"/>
    <w:rsid w:val="00DA7AF1"/>
    <w:rsid w:val="00DB03D5"/>
    <w:rsid w:val="00DB19E4"/>
    <w:rsid w:val="00DC05DE"/>
    <w:rsid w:val="00DC13DD"/>
    <w:rsid w:val="00DC3812"/>
    <w:rsid w:val="00DC4835"/>
    <w:rsid w:val="00DD281C"/>
    <w:rsid w:val="00DD2FAA"/>
    <w:rsid w:val="00DD3428"/>
    <w:rsid w:val="00DD5E5D"/>
    <w:rsid w:val="00DD7946"/>
    <w:rsid w:val="00DE7D4F"/>
    <w:rsid w:val="00DF16C3"/>
    <w:rsid w:val="00DF3A11"/>
    <w:rsid w:val="00DF53FF"/>
    <w:rsid w:val="00DF56B9"/>
    <w:rsid w:val="00E00677"/>
    <w:rsid w:val="00E02062"/>
    <w:rsid w:val="00E03194"/>
    <w:rsid w:val="00E07559"/>
    <w:rsid w:val="00E17337"/>
    <w:rsid w:val="00E23FE9"/>
    <w:rsid w:val="00E32473"/>
    <w:rsid w:val="00E36B6A"/>
    <w:rsid w:val="00E42EDE"/>
    <w:rsid w:val="00E43AB5"/>
    <w:rsid w:val="00E458F1"/>
    <w:rsid w:val="00E45B8B"/>
    <w:rsid w:val="00E5456B"/>
    <w:rsid w:val="00E7119D"/>
    <w:rsid w:val="00E7185E"/>
    <w:rsid w:val="00E71BAA"/>
    <w:rsid w:val="00E7456E"/>
    <w:rsid w:val="00E808EE"/>
    <w:rsid w:val="00E81769"/>
    <w:rsid w:val="00E82630"/>
    <w:rsid w:val="00E85126"/>
    <w:rsid w:val="00E909F8"/>
    <w:rsid w:val="00E90EFF"/>
    <w:rsid w:val="00E9223C"/>
    <w:rsid w:val="00E93E0B"/>
    <w:rsid w:val="00E945E4"/>
    <w:rsid w:val="00EA16B7"/>
    <w:rsid w:val="00EA48F0"/>
    <w:rsid w:val="00EB0D11"/>
    <w:rsid w:val="00EB437C"/>
    <w:rsid w:val="00EC2413"/>
    <w:rsid w:val="00EF1635"/>
    <w:rsid w:val="00EF1FB2"/>
    <w:rsid w:val="00EF327E"/>
    <w:rsid w:val="00EF3940"/>
    <w:rsid w:val="00F01104"/>
    <w:rsid w:val="00F0703B"/>
    <w:rsid w:val="00F22093"/>
    <w:rsid w:val="00F24C50"/>
    <w:rsid w:val="00F26258"/>
    <w:rsid w:val="00F26DF0"/>
    <w:rsid w:val="00F2746D"/>
    <w:rsid w:val="00F327DB"/>
    <w:rsid w:val="00F41A69"/>
    <w:rsid w:val="00F41ECE"/>
    <w:rsid w:val="00F43339"/>
    <w:rsid w:val="00F463B9"/>
    <w:rsid w:val="00F47D1B"/>
    <w:rsid w:val="00F614BD"/>
    <w:rsid w:val="00F62A46"/>
    <w:rsid w:val="00F638DB"/>
    <w:rsid w:val="00F63938"/>
    <w:rsid w:val="00F67223"/>
    <w:rsid w:val="00F67952"/>
    <w:rsid w:val="00F949D2"/>
    <w:rsid w:val="00F9742D"/>
    <w:rsid w:val="00FA51D2"/>
    <w:rsid w:val="00FA6CDD"/>
    <w:rsid w:val="00FB222B"/>
    <w:rsid w:val="00FB295F"/>
    <w:rsid w:val="00FC4EBF"/>
    <w:rsid w:val="00FD7849"/>
    <w:rsid w:val="00FE0E57"/>
    <w:rsid w:val="00FF1776"/>
    <w:rsid w:val="00FF1C71"/>
    <w:rsid w:val="00FF62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C6B4"/>
  <w15:docId w15:val="{15AFDB06-8A8A-41AA-9A48-8D8B80E3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0A"/>
  </w:style>
  <w:style w:type="paragraph" w:styleId="Heading1">
    <w:name w:val="heading 1"/>
    <w:basedOn w:val="Normal"/>
    <w:next w:val="Normal"/>
    <w:link w:val="Heading1Char"/>
    <w:uiPriority w:val="9"/>
    <w:qFormat/>
    <w:rsid w:val="002664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267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F0"/>
    <w:pPr>
      <w:ind w:left="720"/>
      <w:contextualSpacing/>
    </w:pPr>
  </w:style>
  <w:style w:type="paragraph" w:styleId="Title">
    <w:name w:val="Title"/>
    <w:basedOn w:val="Normal"/>
    <w:link w:val="TitleChar"/>
    <w:uiPriority w:val="10"/>
    <w:qFormat/>
    <w:rsid w:val="006F3B92"/>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6F3B92"/>
    <w:rPr>
      <w:rFonts w:ascii="Times New Roman" w:eastAsia="Times New Roman" w:hAnsi="Times New Roman" w:cs="Times New Roman"/>
      <w:b/>
      <w:sz w:val="20"/>
      <w:szCs w:val="20"/>
    </w:rPr>
  </w:style>
  <w:style w:type="paragraph" w:styleId="Subtitle">
    <w:name w:val="Subtitle"/>
    <w:basedOn w:val="Normal"/>
    <w:link w:val="SubtitleChar"/>
    <w:uiPriority w:val="11"/>
    <w:qFormat/>
    <w:rsid w:val="006F3B92"/>
    <w:pPr>
      <w:jc w:val="center"/>
    </w:pPr>
    <w:rPr>
      <w:rFonts w:ascii="Times New Roman" w:eastAsia="Times New Roman" w:hAnsi="Times New Roman" w:cs="Times New Roman"/>
      <w:szCs w:val="20"/>
    </w:rPr>
  </w:style>
  <w:style w:type="character" w:customStyle="1" w:styleId="SubtitleChar">
    <w:name w:val="Subtitle Char"/>
    <w:basedOn w:val="DefaultParagraphFont"/>
    <w:link w:val="Subtitle"/>
    <w:uiPriority w:val="11"/>
    <w:rsid w:val="006F3B9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D33CD"/>
    <w:rPr>
      <w:color w:val="0563C1"/>
      <w:u w:val="single"/>
    </w:rPr>
  </w:style>
  <w:style w:type="paragraph" w:customStyle="1" w:styleId="Default">
    <w:name w:val="Default"/>
    <w:rsid w:val="00DF53FF"/>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626746"/>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C6111"/>
    <w:rPr>
      <w:color w:val="605E5C"/>
      <w:shd w:val="clear" w:color="auto" w:fill="E1DFDD"/>
    </w:rPr>
  </w:style>
  <w:style w:type="character" w:customStyle="1" w:styleId="Heading1Char">
    <w:name w:val="Heading 1 Char"/>
    <w:basedOn w:val="DefaultParagraphFont"/>
    <w:link w:val="Heading1"/>
    <w:uiPriority w:val="9"/>
    <w:rsid w:val="002664D3"/>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5251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35484">
      <w:bodyDiv w:val="1"/>
      <w:marLeft w:val="0"/>
      <w:marRight w:val="0"/>
      <w:marTop w:val="0"/>
      <w:marBottom w:val="0"/>
      <w:divBdr>
        <w:top w:val="none" w:sz="0" w:space="0" w:color="auto"/>
        <w:left w:val="none" w:sz="0" w:space="0" w:color="auto"/>
        <w:bottom w:val="none" w:sz="0" w:space="0" w:color="auto"/>
        <w:right w:val="none" w:sz="0" w:space="0" w:color="auto"/>
      </w:divBdr>
    </w:div>
    <w:div w:id="114932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additional-information/honor-code-and-committee/honor-code" TargetMode="External"/><Relationship Id="rId13" Type="http://schemas.openxmlformats.org/officeDocument/2006/relationships/hyperlink" Target="https://www.law.ufl.edu/attendance" TargetMode="External"/><Relationship Id="rId18" Type="http://schemas.openxmlformats.org/officeDocument/2006/relationships/hyperlink" Target="https://gatorevals.aa.ufl.edu/public-resul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delcode.delaware.gov/title8/c001/" TargetMode="External"/><Relationship Id="rId12" Type="http://schemas.openxmlformats.org/officeDocument/2006/relationships/hyperlink" Target="https://www.law.ufl.edu/student-life" TargetMode="External"/><Relationship Id="rId17" Type="http://schemas.openxmlformats.org/officeDocument/2006/relationships/hyperlink" Target="https://ufl.bluera.com/ufl/" TargetMode="External"/><Relationship Id="rId2" Type="http://schemas.openxmlformats.org/officeDocument/2006/relationships/numbering" Target="numbering.xml"/><Relationship Id="rId16" Type="http://schemas.openxmlformats.org/officeDocument/2006/relationships/hyperlink" Target="https://gatorevals.aa.ufl.edu/stud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hillmergersandacquisitions.com/public_resources.asp?ID=44" TargetMode="External"/><Relationship Id="rId11" Type="http://schemas.openxmlformats.org/officeDocument/2006/relationships/hyperlink" Target="https://www.law.ufl.edu/life-at-uf-law/office-of-student-affairs/current-students/uf-law-student-handbook-and-academic-policies" TargetMode="External"/><Relationship Id="rId5" Type="http://schemas.openxmlformats.org/officeDocument/2006/relationships/webSettings" Target="webSettings.xml"/><Relationship Id="rId15" Type="http://schemas.openxmlformats.org/officeDocument/2006/relationships/hyperlink" Target="https://ufl.instructure.com/courses/427635" TargetMode="Externa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yperlink" Target="https://delcode.delaware.gov/title8/c001/" TargetMode="External"/><Relationship Id="rId4" Type="http://schemas.openxmlformats.org/officeDocument/2006/relationships/settings" Target="settings.xml"/><Relationship Id="rId9" Type="http://schemas.openxmlformats.org/officeDocument/2006/relationships/hyperlink" Target="http://www.law.ufl.edu/student-affairs/current-students/forms-applications/exam-delays-accommodations-form" TargetMode="External"/><Relationship Id="rId14" Type="http://schemas.openxmlformats.org/officeDocument/2006/relationships/hyperlink" Target="https://catalog.ufl.edu/ugrad/1617/regulations/info/attend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 Antiqua">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82F6-4709-4717-8F1C-305DF34A5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3037</Words>
  <Characters>17313</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Rhee, Robert J.</dc:creator>
  <cp:lastModifiedBy>McIlhenny, Ruth M.</cp:lastModifiedBy>
  <cp:revision>2</cp:revision>
  <cp:lastPrinted>2014-08-28T15:00:00Z</cp:lastPrinted>
  <dcterms:created xsi:type="dcterms:W3CDTF">2023-01-05T14:54:00Z</dcterms:created>
  <dcterms:modified xsi:type="dcterms:W3CDTF">2023-01-05T14:54:00Z</dcterms:modified>
</cp:coreProperties>
</file>