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89B" w14:textId="77777777" w:rsidR="005B0D26" w:rsidRDefault="005B0D26"/>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0A481F5F" w:rsidR="00195D7B" w:rsidRPr="00401A87" w:rsidRDefault="00174694" w:rsidP="00195D7B">
      <w:pPr>
        <w:jc w:val="center"/>
        <w:rPr>
          <w:rFonts w:eastAsia="Times New Roman" w:cs="Times New Roman"/>
          <w:b/>
          <w:sz w:val="28"/>
          <w:szCs w:val="28"/>
        </w:rPr>
      </w:pPr>
      <w:r>
        <w:rPr>
          <w:rFonts w:eastAsia="Times New Roman" w:cs="Times New Roman"/>
          <w:b/>
          <w:sz w:val="28"/>
          <w:szCs w:val="28"/>
        </w:rPr>
        <w:t>MERGERS &amp; ACQUISITIONS</w:t>
      </w:r>
      <w:r w:rsidR="00195D7B">
        <w:rPr>
          <w:rFonts w:eastAsia="Times New Roman" w:cs="Times New Roman"/>
          <w:b/>
          <w:sz w:val="28"/>
          <w:szCs w:val="28"/>
        </w:rPr>
        <w:t xml:space="preserve"> (</w:t>
      </w:r>
      <w:r>
        <w:rPr>
          <w:rFonts w:eastAsia="Times New Roman" w:cs="Times New Roman"/>
          <w:b/>
          <w:sz w:val="28"/>
          <w:szCs w:val="28"/>
        </w:rPr>
        <w:t>Spring</w:t>
      </w:r>
      <w:r w:rsidR="00FF1C71">
        <w:rPr>
          <w:rFonts w:eastAsia="Times New Roman" w:cs="Times New Roman"/>
          <w:b/>
          <w:sz w:val="28"/>
          <w:szCs w:val="28"/>
        </w:rPr>
        <w:t xml:space="preserve"> 20</w:t>
      </w:r>
      <w:r w:rsidR="00711B94">
        <w:rPr>
          <w:rFonts w:eastAsia="Times New Roman" w:cs="Times New Roman"/>
          <w:b/>
          <w:sz w:val="28"/>
          <w:szCs w:val="28"/>
        </w:rPr>
        <w:t>2</w:t>
      </w:r>
      <w:r w:rsidR="00031FBD">
        <w:rPr>
          <w:rFonts w:eastAsia="Times New Roman" w:cs="Times New Roman"/>
          <w:b/>
          <w:sz w:val="28"/>
          <w:szCs w:val="28"/>
        </w:rPr>
        <w:t>4</w:t>
      </w:r>
      <w:r w:rsidR="00195D7B">
        <w:rPr>
          <w:rFonts w:eastAsia="Times New Roman" w:cs="Times New Roman"/>
          <w:b/>
          <w:sz w:val="28"/>
          <w:szCs w:val="28"/>
        </w:rPr>
        <w:t>)</w:t>
      </w:r>
    </w:p>
    <w:p w14:paraId="557EC396" w14:textId="5D8B91F0" w:rsidR="00195D7B" w:rsidRDefault="00195D7B" w:rsidP="00195D7B">
      <w:pPr>
        <w:ind w:right="-180"/>
        <w:jc w:val="both"/>
        <w:rPr>
          <w:rFonts w:ascii="Book Antiqua" w:eastAsia="Times New Roman" w:hAnsi="Book Antiqua" w:cs="Times New Roman"/>
          <w:sz w:val="26"/>
          <w:szCs w:val="26"/>
        </w:rPr>
      </w:pPr>
    </w:p>
    <w:p w14:paraId="4E6A9B9F" w14:textId="77777777" w:rsidR="00412943" w:rsidRDefault="00412943"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6C7C733A" w14:textId="77777777" w:rsidR="00031FBD"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w:t>
      </w:r>
      <w:r w:rsidR="00031FBD">
        <w:rPr>
          <w:rFonts w:ascii="Book Antiqua" w:eastAsia="Times New Roman" w:hAnsi="Book Antiqua" w:cs="Times New Roman"/>
        </w:rPr>
        <w:t xml:space="preserve">12C </w:t>
      </w:r>
    </w:p>
    <w:p w14:paraId="229477E4" w14:textId="77777777" w:rsidR="00031FBD" w:rsidRDefault="00195D7B" w:rsidP="00031FB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r w:rsidR="00031FBD">
        <w:rPr>
          <w:rFonts w:ascii="Book Antiqua" w:eastAsia="Times New Roman" w:hAnsi="Book Antiqua" w:cs="Times New Roman"/>
        </w:rPr>
        <w:t xml:space="preserve"> </w:t>
      </w:r>
    </w:p>
    <w:p w14:paraId="5A596075" w14:textId="21285012" w:rsidR="00195D7B" w:rsidRPr="00423960" w:rsidRDefault="00195D7B" w:rsidP="00031FB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14:paraId="31D644AB" w14:textId="77777777" w:rsidR="00195D7B" w:rsidRDefault="00195D7B" w:rsidP="00195D7B">
      <w:pPr>
        <w:ind w:right="-180"/>
        <w:jc w:val="both"/>
        <w:rPr>
          <w:rFonts w:ascii="Book Antiqua" w:eastAsia="Times New Roman" w:hAnsi="Book Antiqua" w:cs="Times New Roman"/>
        </w:rPr>
      </w:pPr>
    </w:p>
    <w:p w14:paraId="041517A3" w14:textId="179555C9"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4604BC">
        <w:rPr>
          <w:rFonts w:ascii="Book Antiqua" w:eastAsia="Times New Roman" w:hAnsi="Book Antiqua" w:cs="Times New Roman"/>
        </w:rPr>
        <w:t xml:space="preserve">Holland </w:t>
      </w:r>
      <w:r w:rsidR="00031FBD">
        <w:rPr>
          <w:rFonts w:ascii="Book Antiqua" w:eastAsia="Times New Roman" w:hAnsi="Book Antiqua" w:cs="Times New Roman"/>
        </w:rPr>
        <w:t>283</w:t>
      </w:r>
    </w:p>
    <w:p w14:paraId="38386E94" w14:textId="77777777" w:rsidR="00195D7B" w:rsidRDefault="00195D7B" w:rsidP="00195D7B">
      <w:pPr>
        <w:ind w:right="-187"/>
        <w:jc w:val="both"/>
        <w:rPr>
          <w:rFonts w:ascii="Book Antiqua" w:eastAsia="Times New Roman" w:hAnsi="Book Antiqua" w:cs="Times New Roman"/>
        </w:rPr>
      </w:pPr>
    </w:p>
    <w:p w14:paraId="614A81D1" w14:textId="601B4F60" w:rsidR="00AE74F2" w:rsidRDefault="00711B94" w:rsidP="00AE74F2">
      <w:pPr>
        <w:ind w:left="2880" w:right="-187" w:hanging="2880"/>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sidR="00031FBD">
        <w:rPr>
          <w:rFonts w:ascii="Book Antiqua" w:eastAsia="Times New Roman" w:hAnsi="Book Antiqua" w:cs="Times New Roman"/>
        </w:rPr>
        <w:t>Wednesday:</w:t>
      </w:r>
      <w:r w:rsidR="00BF5891">
        <w:rPr>
          <w:rFonts w:ascii="Book Antiqua" w:eastAsia="Times New Roman" w:hAnsi="Book Antiqua" w:cs="Times New Roman"/>
        </w:rPr>
        <w:t xml:space="preserve">   </w:t>
      </w:r>
      <w:r w:rsidR="00031FBD">
        <w:rPr>
          <w:rFonts w:ascii="Book Antiqua" w:eastAsia="Times New Roman" w:hAnsi="Book Antiqua" w:cs="Times New Roman"/>
        </w:rPr>
        <w:t>1:15</w:t>
      </w:r>
      <w:r w:rsidR="00BF5891">
        <w:rPr>
          <w:rFonts w:ascii="Book Antiqua" w:eastAsia="Times New Roman" w:hAnsi="Book Antiqua" w:cs="Times New Roman"/>
        </w:rPr>
        <w:t>p</w:t>
      </w:r>
      <w:r>
        <w:rPr>
          <w:rFonts w:ascii="Book Antiqua" w:eastAsia="Times New Roman" w:hAnsi="Book Antiqua" w:cs="Times New Roman"/>
        </w:rPr>
        <w:t xml:space="preserve">m to </w:t>
      </w:r>
      <w:r w:rsidR="00031FBD">
        <w:rPr>
          <w:rFonts w:ascii="Book Antiqua" w:eastAsia="Times New Roman" w:hAnsi="Book Antiqua" w:cs="Times New Roman"/>
        </w:rPr>
        <w:t>3</w:t>
      </w:r>
      <w:r>
        <w:rPr>
          <w:rFonts w:ascii="Book Antiqua" w:eastAsia="Times New Roman" w:hAnsi="Book Antiqua" w:cs="Times New Roman"/>
        </w:rPr>
        <w:t>:</w:t>
      </w:r>
      <w:r w:rsidR="00031FBD">
        <w:rPr>
          <w:rFonts w:ascii="Book Antiqua" w:eastAsia="Times New Roman" w:hAnsi="Book Antiqua" w:cs="Times New Roman"/>
        </w:rPr>
        <w:t>15</w:t>
      </w:r>
      <w:r w:rsidR="00174694">
        <w:rPr>
          <w:rFonts w:ascii="Book Antiqua" w:eastAsia="Times New Roman" w:hAnsi="Book Antiqua" w:cs="Times New Roman"/>
        </w:rPr>
        <w:t>p</w:t>
      </w:r>
      <w:r>
        <w:rPr>
          <w:rFonts w:ascii="Book Antiqua" w:eastAsia="Times New Roman" w:hAnsi="Book Antiqua" w:cs="Times New Roman"/>
        </w:rPr>
        <w:t>m</w:t>
      </w:r>
      <w:r w:rsidR="00174694">
        <w:rPr>
          <w:rFonts w:ascii="Book Antiqua" w:eastAsia="Times New Roman" w:hAnsi="Book Antiqua" w:cs="Times New Roman"/>
        </w:rPr>
        <w:t xml:space="preserve"> </w:t>
      </w:r>
      <w:r w:rsidR="00031FBD">
        <w:rPr>
          <w:rFonts w:ascii="Book Antiqua" w:eastAsia="Times New Roman" w:hAnsi="Book Antiqua" w:cs="Times New Roman"/>
        </w:rPr>
        <w:t xml:space="preserve">(2 hours) </w:t>
      </w:r>
    </w:p>
    <w:p w14:paraId="4420DA7F" w14:textId="5F5915B4" w:rsidR="00711B94" w:rsidRDefault="00174694" w:rsidP="00AE74F2">
      <w:pPr>
        <w:ind w:left="2880" w:right="-187"/>
        <w:jc w:val="both"/>
        <w:rPr>
          <w:rFonts w:ascii="Book Antiqua" w:eastAsia="Times New Roman" w:hAnsi="Book Antiqua" w:cs="Times New Roman"/>
        </w:rPr>
      </w:pPr>
      <w:r>
        <w:rPr>
          <w:rFonts w:ascii="Book Antiqua" w:eastAsia="Times New Roman" w:hAnsi="Book Antiqua" w:cs="Times New Roman"/>
        </w:rPr>
        <w:t>(</w:t>
      </w:r>
      <w:r w:rsidR="00AE74F2">
        <w:rPr>
          <w:rFonts w:ascii="Book Antiqua" w:eastAsia="Times New Roman" w:hAnsi="Book Antiqua" w:cs="Times New Roman"/>
        </w:rPr>
        <w:t xml:space="preserve">two 55-minute sessions, and </w:t>
      </w:r>
      <w:r>
        <w:rPr>
          <w:rFonts w:ascii="Book Antiqua" w:eastAsia="Times New Roman" w:hAnsi="Book Antiqua" w:cs="Times New Roman"/>
        </w:rPr>
        <w:t>10</w:t>
      </w:r>
      <w:r w:rsidR="00BF5891">
        <w:rPr>
          <w:rFonts w:ascii="Book Antiqua" w:eastAsia="Times New Roman" w:hAnsi="Book Antiqua" w:cs="Times New Roman"/>
        </w:rPr>
        <w:t>-</w:t>
      </w:r>
      <w:r>
        <w:rPr>
          <w:rFonts w:ascii="Book Antiqua" w:eastAsia="Times New Roman" w:hAnsi="Book Antiqua" w:cs="Times New Roman"/>
        </w:rPr>
        <w:t>minute break</w:t>
      </w:r>
      <w:r w:rsidR="00E17337">
        <w:rPr>
          <w:rFonts w:ascii="Book Antiqua" w:eastAsia="Times New Roman" w:hAnsi="Book Antiqua" w:cs="Times New Roman"/>
        </w:rPr>
        <w:t xml:space="preserve"> between</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7EBE9A46"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BF5891">
        <w:rPr>
          <w:rFonts w:ascii="Book Antiqua" w:eastAsia="Times New Roman" w:hAnsi="Book Antiqua" w:cs="Times New Roman"/>
        </w:rPr>
        <w:t xml:space="preserve">Tuesdays </w:t>
      </w:r>
      <w:r w:rsidR="00031FBD">
        <w:rPr>
          <w:rFonts w:ascii="Book Antiqua" w:eastAsia="Times New Roman" w:hAnsi="Book Antiqua" w:cs="Times New Roman"/>
        </w:rPr>
        <w:t>&amp; Wednesdays:</w:t>
      </w:r>
      <w:r w:rsidR="00BF5891">
        <w:rPr>
          <w:rFonts w:ascii="Book Antiqua" w:eastAsia="Times New Roman" w:hAnsi="Book Antiqua" w:cs="Times New Roman"/>
        </w:rPr>
        <w:t xml:space="preserve"> </w:t>
      </w:r>
      <w:r>
        <w:rPr>
          <w:rFonts w:ascii="Book Antiqua" w:eastAsia="Times New Roman" w:hAnsi="Book Antiqua" w:cs="Times New Roman"/>
        </w:rPr>
        <w:t>1</w:t>
      </w:r>
      <w:r w:rsidR="00031FBD">
        <w:rPr>
          <w:rFonts w:ascii="Book Antiqua" w:eastAsia="Times New Roman" w:hAnsi="Book Antiqua" w:cs="Times New Roman"/>
        </w:rPr>
        <w:t>1</w:t>
      </w:r>
      <w:r>
        <w:rPr>
          <w:rFonts w:ascii="Book Antiqua" w:eastAsia="Times New Roman" w:hAnsi="Book Antiqua" w:cs="Times New Roman"/>
        </w:rPr>
        <w:t>:</w:t>
      </w:r>
      <w:r w:rsidR="00174694">
        <w:rPr>
          <w:rFonts w:ascii="Book Antiqua" w:eastAsia="Times New Roman" w:hAnsi="Book Antiqua" w:cs="Times New Roman"/>
        </w:rPr>
        <w:t>00</w:t>
      </w:r>
      <w:r w:rsidR="00031FBD">
        <w:rPr>
          <w:rFonts w:ascii="Book Antiqua" w:eastAsia="Times New Roman" w:hAnsi="Book Antiqua" w:cs="Times New Roman"/>
        </w:rPr>
        <w:t>a</w:t>
      </w:r>
      <w:r>
        <w:rPr>
          <w:rFonts w:ascii="Book Antiqua" w:eastAsia="Times New Roman" w:hAnsi="Book Antiqua" w:cs="Times New Roman"/>
        </w:rPr>
        <w:t>m to 1:</w:t>
      </w:r>
      <w:r w:rsidR="00174694">
        <w:rPr>
          <w:rFonts w:ascii="Book Antiqua" w:eastAsia="Times New Roman" w:hAnsi="Book Antiqua" w:cs="Times New Roman"/>
        </w:rPr>
        <w:t>0</w:t>
      </w:r>
      <w:r>
        <w:rPr>
          <w:rFonts w:ascii="Book Antiqua" w:eastAsia="Times New Roman" w:hAnsi="Book Antiqua" w:cs="Times New Roman"/>
        </w:rPr>
        <w:t>0</w:t>
      </w:r>
      <w:r w:rsidR="00174694">
        <w:rPr>
          <w:rFonts w:ascii="Book Antiqua" w:eastAsia="Times New Roman" w:hAnsi="Book Antiqua" w:cs="Times New Roman"/>
        </w:rPr>
        <w:t>p</w:t>
      </w:r>
      <w:r>
        <w:rPr>
          <w:rFonts w:ascii="Book Antiqua" w:eastAsia="Times New Roman" w:hAnsi="Book Antiqua" w:cs="Times New Roman"/>
        </w:rPr>
        <w:t>m</w:t>
      </w:r>
    </w:p>
    <w:p w14:paraId="27D00C85" w14:textId="355815AA" w:rsidR="00292FBF" w:rsidRDefault="00292FBF">
      <w:pPr>
        <w:pStyle w:val="ListParagraph"/>
        <w:numPr>
          <w:ilvl w:val="4"/>
          <w:numId w:val="2"/>
        </w:numPr>
        <w:ind w:left="3240" w:right="-187"/>
        <w:jc w:val="both"/>
        <w:rPr>
          <w:rFonts w:ascii="Book Antiqua" w:eastAsia="Times New Roman" w:hAnsi="Book Antiqua" w:cs="Times New Roman"/>
        </w:rPr>
      </w:pPr>
      <w:r w:rsidRPr="00292FBF">
        <w:rPr>
          <w:rFonts w:ascii="Book Antiqua" w:eastAsia="Times New Roman" w:hAnsi="Book Antiqua" w:cs="Times New Roman"/>
        </w:rPr>
        <w:t>O</w:t>
      </w:r>
      <w:r w:rsidR="00407736" w:rsidRPr="00292FBF">
        <w:rPr>
          <w:rFonts w:ascii="Book Antiqua" w:eastAsia="Times New Roman" w:hAnsi="Book Antiqua" w:cs="Times New Roman"/>
        </w:rPr>
        <w:t xml:space="preserve">ffice hours will </w:t>
      </w:r>
      <w:r w:rsidR="00386A01">
        <w:rPr>
          <w:rFonts w:ascii="Book Antiqua" w:eastAsia="Times New Roman" w:hAnsi="Book Antiqua" w:cs="Times New Roman"/>
        </w:rPr>
        <w:t xml:space="preserve">always </w:t>
      </w:r>
      <w:r w:rsidR="00407736" w:rsidRPr="00292FBF">
        <w:rPr>
          <w:rFonts w:ascii="Book Antiqua" w:eastAsia="Times New Roman" w:hAnsi="Book Antiqua" w:cs="Times New Roman"/>
        </w:rPr>
        <w:t>be consistent with</w:t>
      </w:r>
      <w:r w:rsidR="00B1412B" w:rsidRPr="00292FBF">
        <w:rPr>
          <w:rFonts w:ascii="Book Antiqua" w:eastAsia="Times New Roman" w:hAnsi="Book Antiqua" w:cs="Times New Roman"/>
        </w:rPr>
        <w:t xml:space="preserve"> </w:t>
      </w:r>
      <w:r w:rsidR="00871196">
        <w:rPr>
          <w:rFonts w:ascii="Book Antiqua" w:eastAsia="Times New Roman" w:hAnsi="Book Antiqua" w:cs="Times New Roman"/>
        </w:rPr>
        <w:t xml:space="preserve">the </w:t>
      </w:r>
      <w:r w:rsidR="00B1412B" w:rsidRPr="00292FBF">
        <w:rPr>
          <w:rFonts w:ascii="Book Antiqua" w:eastAsia="Times New Roman" w:hAnsi="Book Antiqua" w:cs="Times New Roman"/>
        </w:rPr>
        <w:t>prevailing UF polic</w:t>
      </w:r>
      <w:r w:rsidR="00871196">
        <w:rPr>
          <w:rFonts w:ascii="Book Antiqua" w:eastAsia="Times New Roman" w:hAnsi="Book Antiqua" w:cs="Times New Roman"/>
        </w:rPr>
        <w:t xml:space="preserve">y. </w:t>
      </w:r>
    </w:p>
    <w:p w14:paraId="5523E1FA" w14:textId="0B5DA00A" w:rsidR="00C765BA" w:rsidRPr="00C765BA" w:rsidRDefault="00871196">
      <w:pPr>
        <w:pStyle w:val="ListParagraph"/>
        <w:numPr>
          <w:ilvl w:val="4"/>
          <w:numId w:val="2"/>
        </w:numPr>
        <w:ind w:left="3240" w:right="-187"/>
        <w:jc w:val="both"/>
        <w:rPr>
          <w:rFonts w:ascii="Book Antiqua" w:eastAsia="Times New Roman" w:hAnsi="Book Antiqua" w:cs="Times New Roman"/>
        </w:rPr>
      </w:pPr>
      <w:r>
        <w:rPr>
          <w:rFonts w:ascii="Book Antiqua" w:eastAsia="Times New Roman" w:hAnsi="Book Antiqua" w:cs="Times New Roman"/>
        </w:rPr>
        <w:t xml:space="preserve">Office hours can be through </w:t>
      </w:r>
      <w:r w:rsidR="00C765BA" w:rsidRPr="00292FBF">
        <w:rPr>
          <w:rFonts w:ascii="Book Antiqua" w:eastAsia="Times New Roman" w:hAnsi="Book Antiqua" w:cs="Times New Roman"/>
        </w:rPr>
        <w:t>Zoom, telephone, or in person</w:t>
      </w:r>
      <w:r w:rsidR="00386A01">
        <w:rPr>
          <w:rFonts w:ascii="Book Antiqua" w:eastAsia="Times New Roman" w:hAnsi="Book Antiqua" w:cs="Times New Roman"/>
        </w:rPr>
        <w:t xml:space="preserve"> (if UF policy permits)</w:t>
      </w:r>
      <w:r w:rsidR="00C765BA">
        <w:rPr>
          <w:rFonts w:ascii="Book Antiqua" w:eastAsia="Times New Roman" w:hAnsi="Book Antiqua" w:cs="Times New Roman"/>
        </w:rPr>
        <w:t xml:space="preserve">, </w:t>
      </w:r>
      <w:r>
        <w:rPr>
          <w:rFonts w:ascii="Book Antiqua" w:eastAsia="Times New Roman" w:hAnsi="Book Antiqua" w:cs="Times New Roman"/>
        </w:rPr>
        <w:t xml:space="preserve">and there are </w:t>
      </w:r>
      <w:r w:rsidR="00C765BA">
        <w:rPr>
          <w:rFonts w:ascii="Book Antiqua" w:eastAsia="Times New Roman" w:hAnsi="Book Antiqua" w:cs="Times New Roman"/>
        </w:rPr>
        <w:t>no restrictions on any of these methods</w:t>
      </w:r>
      <w:r>
        <w:rPr>
          <w:rFonts w:ascii="Book Antiqua" w:eastAsia="Times New Roman" w:hAnsi="Book Antiqua" w:cs="Times New Roman"/>
        </w:rPr>
        <w:t xml:space="preserve">. </w:t>
      </w:r>
      <w:r w:rsidR="00C765BA">
        <w:rPr>
          <w:rFonts w:ascii="Book Antiqua" w:eastAsia="Times New Roman" w:hAnsi="Book Antiqua" w:cs="Times New Roman"/>
        </w:rPr>
        <w:t xml:space="preserv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627E3EEF" w:rsidR="00711B94"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980D51">
        <w:rPr>
          <w:rFonts w:ascii="Book Antiqua" w:eastAsia="Times New Roman" w:hAnsi="Book Antiqua" w:cs="Times New Roman"/>
        </w:rPr>
        <w:t>TBD</w:t>
      </w:r>
      <w:r w:rsidR="00407736">
        <w:t xml:space="preserve"> (</w:t>
      </w:r>
      <w:r w:rsidR="00174694">
        <w:t>3</w:t>
      </w:r>
      <w:r w:rsidR="00407736">
        <w:t xml:space="preserve"> hours) </w:t>
      </w:r>
    </w:p>
    <w:p w14:paraId="4404A00B" w14:textId="77777777" w:rsidR="00E82630" w:rsidRPr="00A664FE" w:rsidRDefault="00E82630" w:rsidP="00B1412B">
      <w:pPr>
        <w:autoSpaceDE w:val="0"/>
        <w:autoSpaceDN w:val="0"/>
        <w:adjustRightInd w:val="0"/>
        <w:jc w:val="both"/>
      </w:pPr>
    </w:p>
    <w:p w14:paraId="399C9180" w14:textId="77777777" w:rsidR="0039279E" w:rsidRPr="00423960" w:rsidRDefault="0039279E" w:rsidP="00195D7B">
      <w:pPr>
        <w:jc w:val="both"/>
        <w:rPr>
          <w:rFonts w:ascii="Book Antiqua" w:eastAsia="Times New Roman" w:hAnsi="Book Antiqua" w:cs="Times New Roman"/>
        </w:rPr>
      </w:pPr>
    </w:p>
    <w:p w14:paraId="325D29F6" w14:textId="77777777" w:rsidR="00031FBD" w:rsidRPr="00547D10" w:rsidRDefault="00031FBD" w:rsidP="00031FBD">
      <w:pPr>
        <w:rPr>
          <w:rFonts w:ascii="Book Antiqua" w:eastAsia="Times New Roman" w:hAnsi="Book Antiqua" w:cs="Times New Roman"/>
          <w:b/>
        </w:rPr>
      </w:pPr>
      <w:r w:rsidRPr="00547D10">
        <w:rPr>
          <w:rFonts w:ascii="Book Antiqua" w:eastAsia="Times New Roman" w:hAnsi="Book Antiqua" w:cs="Times New Roman"/>
          <w:b/>
        </w:rPr>
        <w:t>UF LEVIN COLLEGE OF LAW STANDARD SYLLABUS POLICIES</w:t>
      </w:r>
    </w:p>
    <w:p w14:paraId="3B1F7E89" w14:textId="77777777" w:rsidR="00031FBD" w:rsidRPr="00547D10" w:rsidRDefault="00031FBD" w:rsidP="00031FBD">
      <w:pPr>
        <w:rPr>
          <w:color w:val="201F1E"/>
          <w:bdr w:val="none" w:sz="0" w:space="0" w:color="auto" w:frame="1"/>
          <w:shd w:val="clear" w:color="auto" w:fill="FFFFFF"/>
        </w:rPr>
      </w:pPr>
    </w:p>
    <w:p w14:paraId="42462224" w14:textId="77777777" w:rsidR="00031FBD" w:rsidRPr="00547D10" w:rsidRDefault="00031FBD" w:rsidP="00031FBD">
      <w:pPr>
        <w:jc w:val="both"/>
        <w:rPr>
          <w:color w:val="201F1E"/>
          <w:bdr w:val="none" w:sz="0" w:space="0" w:color="auto" w:frame="1"/>
          <w:shd w:val="clear" w:color="auto" w:fill="FFFFFF"/>
        </w:rPr>
      </w:pPr>
      <w:r w:rsidRPr="00547D10">
        <w:rPr>
          <w:color w:val="201F1E"/>
          <w:bdr w:val="none" w:sz="0" w:space="0" w:color="auto" w:frame="1"/>
          <w:shd w:val="clear" w:color="auto" w:fill="FFFFFF"/>
        </w:rPr>
        <w:t xml:space="preserve">This syllabus contains information about UF Levin College of Law policies, including compliance with the UF Honor Code, Grading, Accommodations, Class Recordings, and Course Evaluations can be found at this link: </w:t>
      </w:r>
      <w:hyperlink r:id="rId6" w:tgtFrame="_blank" w:history="1">
        <w:r w:rsidRPr="00547D10">
          <w:rPr>
            <w:rStyle w:val="Hyperlink"/>
            <w:bdr w:val="none" w:sz="0" w:space="0" w:color="auto" w:frame="1"/>
            <w:shd w:val="clear" w:color="auto" w:fill="FFFFFF"/>
          </w:rPr>
          <w:t>https://ufl.instructure.com/courses/427635/files/74674656?wrap=1</w:t>
        </w:r>
      </w:hyperlink>
      <w:r w:rsidRPr="00547D10">
        <w:t xml:space="preserve">. </w:t>
      </w:r>
    </w:p>
    <w:p w14:paraId="179886CA" w14:textId="77777777" w:rsidR="00031FBD" w:rsidRPr="00547D10" w:rsidRDefault="00031FBD" w:rsidP="00031FBD">
      <w:pPr>
        <w:jc w:val="both"/>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263E0AE8" w14:textId="2C74C64A" w:rsidR="00195D7B" w:rsidRDefault="00174694" w:rsidP="00195D7B">
      <w:pPr>
        <w:jc w:val="both"/>
      </w:pPr>
      <w:r>
        <w:t>Claire Hill, Brian Quinn &amp; Steven Solomon</w:t>
      </w:r>
      <w:r w:rsidR="00E17337">
        <w:t>, Mergers and Acquisitions: Law, Theory, and Practice</w:t>
      </w:r>
      <w:r w:rsidR="00AD33CD">
        <w:t xml:space="preserve"> (</w:t>
      </w:r>
      <w:r>
        <w:t xml:space="preserve">West </w:t>
      </w:r>
      <w:r w:rsidR="00031FBD" w:rsidRPr="00031FBD">
        <w:rPr>
          <w:b/>
          <w:bCs/>
          <w:u w:val="single"/>
        </w:rPr>
        <w:t>third</w:t>
      </w:r>
      <w:r w:rsidRPr="00031FBD">
        <w:rPr>
          <w:b/>
          <w:bCs/>
          <w:u w:val="single"/>
        </w:rPr>
        <w:t xml:space="preserve"> edition</w:t>
      </w:r>
      <w:r w:rsidR="00AD33CD">
        <w:t xml:space="preserve"> </w:t>
      </w:r>
      <w:r w:rsidR="00031FBD">
        <w:t>2023</w:t>
      </w:r>
      <w:r w:rsidR="00AD33CD">
        <w:t xml:space="preserve">) </w:t>
      </w:r>
      <w:r w:rsidR="00031FBD">
        <w:t xml:space="preserve">(please make sure to buy the </w:t>
      </w:r>
      <w:r w:rsidR="00031FBD" w:rsidRPr="00031FBD">
        <w:rPr>
          <w:b/>
          <w:bCs/>
          <w:u w:val="single"/>
        </w:rPr>
        <w:t>third edition</w:t>
      </w:r>
      <w:r w:rsidR="00031FBD">
        <w:t>)</w:t>
      </w:r>
    </w:p>
    <w:p w14:paraId="6A11FA46" w14:textId="4EBB3AF4" w:rsidR="00412943" w:rsidRDefault="00412943" w:rsidP="00195D7B">
      <w:pPr>
        <w:jc w:val="both"/>
      </w:pPr>
    </w:p>
    <w:p w14:paraId="53B2019D" w14:textId="47D234D9" w:rsidR="00302C91" w:rsidRPr="00F41A69" w:rsidRDefault="00302C91" w:rsidP="00195D7B">
      <w:pPr>
        <w:jc w:val="both"/>
      </w:pPr>
      <w:r>
        <w:t xml:space="preserve">Additionally, M&amp;A deals are enabled by statutes and rules. The core substantive rules come from state corporation statutes. We will study principally Delaware General Corporation Law (DGCL). When the book refers to statutes, students should refer to the statute. It is the responsibility of students to review key provisions in the statute. The DGCL can be accessed at: </w:t>
      </w:r>
      <w:hyperlink r:id="rId7" w:history="1">
        <w:r w:rsidRPr="00172D55">
          <w:rPr>
            <w:rStyle w:val="Hyperlink"/>
          </w:rPr>
          <w:t>https://delcode.delaware.gov/title8/c001/</w:t>
        </w:r>
      </w:hyperlink>
      <w:r>
        <w:t xml:space="preserve">. The merger provisions are found in Subchapter IX.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6414AF46" w:rsidR="003042DC" w:rsidRDefault="00174694" w:rsidP="003042DC">
      <w:pPr>
        <w:jc w:val="both"/>
      </w:pPr>
      <w:r>
        <w:lastRenderedPageBreak/>
        <w:t>Mergers &amp; Acquisitions</w:t>
      </w:r>
      <w:r w:rsidR="003042DC">
        <w:t xml:space="preserve"> </w:t>
      </w:r>
      <w:r w:rsidR="003042DC" w:rsidRPr="006B5B38">
        <w:t xml:space="preserve">(LAW </w:t>
      </w:r>
      <w:r>
        <w:t>6067</w:t>
      </w:r>
      <w:r w:rsidR="003042DC" w:rsidRPr="006B5B38">
        <w:t>)</w:t>
      </w:r>
      <w:r w:rsidR="003042DC">
        <w:t xml:space="preserve">: </w:t>
      </w:r>
      <w:r w:rsidR="00FC4EBF">
        <w:t>This course is an</w:t>
      </w:r>
      <w:r w:rsidR="00FC4EBF" w:rsidRPr="00FC4EBF">
        <w:t xml:space="preserve"> advanced </w:t>
      </w:r>
      <w:r w:rsidR="00FC4EBF">
        <w:t xml:space="preserve">corporate </w:t>
      </w:r>
      <w:r w:rsidR="00FC4EBF" w:rsidRPr="00FC4EBF">
        <w:t xml:space="preserve">transactional </w:t>
      </w:r>
      <w:r w:rsidR="00FC4EBF">
        <w:t>course. It teaches the legal aspects of corporate combinations including mergers and acquisitions.</w:t>
      </w:r>
      <w:r w:rsidR="00FC4EBF" w:rsidRPr="00FC4EBF">
        <w:t xml:space="preserve"> Prerequisite: </w:t>
      </w:r>
      <w:r w:rsidR="00FC4EBF">
        <w:t xml:space="preserve">prior completion of </w:t>
      </w:r>
      <w:r w:rsidR="00FC4EBF" w:rsidRPr="00FC4EBF">
        <w:t xml:space="preserve">Corporations </w:t>
      </w:r>
      <w:r w:rsidR="00FC4EBF">
        <w:t>or Business Associations</w:t>
      </w:r>
      <w:r w:rsidR="00031FBD">
        <w:t xml:space="preserve">, or concurrent with these courses with professor permission. </w:t>
      </w:r>
    </w:p>
    <w:p w14:paraId="3535315C" w14:textId="77777777" w:rsidR="00195D7B" w:rsidRDefault="00195D7B" w:rsidP="00195D7B">
      <w:pPr>
        <w:jc w:val="both"/>
        <w:rPr>
          <w:rFonts w:ascii="Book Antiqua" w:eastAsia="Times New Roman" w:hAnsi="Book Antiqua" w:cs="Times New Roman"/>
        </w:rPr>
      </w:pPr>
    </w:p>
    <w:p w14:paraId="54B37069" w14:textId="6AE11121"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01DBE827" w:rsidR="00DF53FF" w:rsidRDefault="00FC4EBF" w:rsidP="00195D7B">
      <w:pPr>
        <w:jc w:val="both"/>
        <w:rPr>
          <w:rFonts w:ascii="Book Antiqua" w:eastAsia="Times New Roman" w:hAnsi="Book Antiqua" w:cs="Times New Roman"/>
        </w:rPr>
      </w:pPr>
      <w:r>
        <w:rPr>
          <w:rFonts w:ascii="Book Antiqua" w:eastAsia="Times New Roman" w:hAnsi="Book Antiqua" w:cs="Times New Roman"/>
        </w:rPr>
        <w:t>Mergers and acquisitions</w:t>
      </w:r>
      <w:r w:rsidR="00DF53FF">
        <w:rPr>
          <w:rFonts w:ascii="Book Antiqua" w:eastAsia="Times New Roman" w:hAnsi="Book Antiqua" w:cs="Times New Roman"/>
        </w:rPr>
        <w:t xml:space="preserve"> transactions are some of the </w:t>
      </w:r>
      <w:r>
        <w:rPr>
          <w:rFonts w:ascii="Book Antiqua" w:eastAsia="Times New Roman" w:hAnsi="Book Antiqua" w:cs="Times New Roman"/>
        </w:rPr>
        <w:t>most important</w:t>
      </w:r>
      <w:r w:rsidR="00DF53FF">
        <w:rPr>
          <w:rFonts w:ascii="Book Antiqua" w:eastAsia="Times New Roman" w:hAnsi="Book Antiqua" w:cs="Times New Roman"/>
        </w:rPr>
        <w:t xml:space="preserve"> corporate transactions in the practice of business and corporate law. Whenever a corporate seeks </w:t>
      </w:r>
      <w:r>
        <w:rPr>
          <w:rFonts w:ascii="Book Antiqua" w:eastAsia="Times New Roman" w:hAnsi="Book Antiqua" w:cs="Times New Roman"/>
        </w:rPr>
        <w:t>to do an M&amp;A transaction</w:t>
      </w:r>
      <w:r w:rsidR="00DF53FF">
        <w:rPr>
          <w:rFonts w:ascii="Book Antiqua" w:eastAsia="Times New Roman" w:hAnsi="Book Antiqua" w:cs="Times New Roman"/>
        </w:rPr>
        <w:t xml:space="preserve">, the laws of </w:t>
      </w:r>
      <w:r>
        <w:rPr>
          <w:rFonts w:ascii="Book Antiqua" w:eastAsia="Times New Roman" w:hAnsi="Book Antiqua" w:cs="Times New Roman"/>
        </w:rPr>
        <w:t>mergers and acquisitions</w:t>
      </w:r>
      <w:r w:rsidR="00DF53FF">
        <w:rPr>
          <w:rFonts w:ascii="Book Antiqua" w:eastAsia="Times New Roman" w:hAnsi="Book Antiqua" w:cs="Times New Roman"/>
        </w:rPr>
        <w:t xml:space="preserve"> are always involved. This course teaches the basic legal </w:t>
      </w:r>
      <w:r>
        <w:rPr>
          <w:rFonts w:ascii="Book Antiqua" w:eastAsia="Times New Roman" w:hAnsi="Book Antiqua" w:cs="Times New Roman"/>
        </w:rPr>
        <w:t>and business issues involved in these kinds of transactions</w:t>
      </w:r>
      <w:r w:rsidR="00DF53FF">
        <w:rPr>
          <w:rFonts w:ascii="Book Antiqua" w:eastAsia="Times New Roman" w:hAnsi="Book Antiqua" w:cs="Times New Roman"/>
        </w:rPr>
        <w:t xml:space="preserve">.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08472977" w:rsidR="00626746" w:rsidRDefault="00626746">
      <w:pPr>
        <w:pStyle w:val="ListParagraph"/>
        <w:numPr>
          <w:ilvl w:val="0"/>
          <w:numId w:val="1"/>
        </w:numPr>
        <w:jc w:val="both"/>
      </w:pPr>
      <w:r>
        <w:t xml:space="preserve">Know and analyze the legal </w:t>
      </w:r>
      <w:r w:rsidR="00FC4EBF">
        <w:t>issues</w:t>
      </w:r>
      <w:r w:rsidR="004300A5">
        <w:t xml:space="preserve"> related to various </w:t>
      </w:r>
      <w:r w:rsidR="00FC4EBF">
        <w:t>kinds of M&amp;A transactions and deal structures</w:t>
      </w:r>
      <w:r w:rsidR="004B24C1">
        <w:t>.</w:t>
      </w:r>
    </w:p>
    <w:p w14:paraId="27F8EB9C" w14:textId="14DCBCDF" w:rsidR="00626746" w:rsidRDefault="00626746">
      <w:pPr>
        <w:pStyle w:val="ListParagraph"/>
        <w:numPr>
          <w:ilvl w:val="0"/>
          <w:numId w:val="1"/>
        </w:numPr>
        <w:jc w:val="both"/>
      </w:pPr>
      <w:r>
        <w:t xml:space="preserve">Consider issues related to advising the board and officers of matters arising under </w:t>
      </w:r>
      <w:r w:rsidR="00FC4EBF">
        <w:t>M&amp;A deals</w:t>
      </w:r>
      <w:r>
        <w:t>, including issues related to their fiduciary duties</w:t>
      </w:r>
      <w:r w:rsidR="004B24C1">
        <w:t>.</w:t>
      </w:r>
    </w:p>
    <w:p w14:paraId="137377F2" w14:textId="76904D23" w:rsidR="00626746" w:rsidRDefault="00626746">
      <w:pPr>
        <w:pStyle w:val="ListParagraph"/>
        <w:numPr>
          <w:ilvl w:val="0"/>
          <w:numId w:val="1"/>
        </w:numPr>
        <w:jc w:val="both"/>
      </w:pPr>
      <w:r>
        <w:t xml:space="preserve">Know basic aspects of </w:t>
      </w:r>
      <w:r w:rsidR="00657103">
        <w:t xml:space="preserve">transaction structures including statutory mergers, triangular mergers, sale of all or substantially all assets. </w:t>
      </w:r>
    </w:p>
    <w:p w14:paraId="4FCD4233" w14:textId="7DABA6CA" w:rsidR="00626746" w:rsidRDefault="00626746">
      <w:pPr>
        <w:pStyle w:val="ListParagraph"/>
        <w:numPr>
          <w:ilvl w:val="0"/>
          <w:numId w:val="1"/>
        </w:numPr>
        <w:jc w:val="both"/>
      </w:pPr>
      <w:r>
        <w:t xml:space="preserve">Know and apply basic business concepts in accounting, finance, and economics specifically relevant and related to the understanding of corporations and </w:t>
      </w:r>
      <w:r w:rsidR="00FC4EBF">
        <w:t>transactions</w:t>
      </w:r>
      <w:r w:rsidR="00657103">
        <w:t xml:space="preserve">, including accounting and valuation issues. </w:t>
      </w:r>
    </w:p>
    <w:p w14:paraId="6CCA3851" w14:textId="4C9A5EF1" w:rsidR="00AB3EBA" w:rsidRPr="00800466" w:rsidRDefault="00626746">
      <w:pPr>
        <w:pStyle w:val="ListParagraph"/>
        <w:numPr>
          <w:ilvl w:val="0"/>
          <w:numId w:val="1"/>
        </w:numPr>
        <w:jc w:val="both"/>
      </w:pPr>
      <w:r>
        <w:t xml:space="preserve">Read and analyze essential corporate documents such as </w:t>
      </w:r>
      <w:r w:rsidR="003D0CC5">
        <w:t>merger proxies and acquisition agreements</w:t>
      </w:r>
      <w:r>
        <w:t xml:space="preserve">. </w:t>
      </w:r>
    </w:p>
    <w:p w14:paraId="24DF7257" w14:textId="77777777" w:rsidR="00626746" w:rsidRPr="00DF53FF" w:rsidRDefault="00626746" w:rsidP="00195D7B">
      <w:pPr>
        <w:jc w:val="both"/>
      </w:pPr>
    </w:p>
    <w:p w14:paraId="29552B0F" w14:textId="77777777" w:rsidR="007634A8" w:rsidRPr="00423960" w:rsidRDefault="007634A8" w:rsidP="007634A8">
      <w:pPr>
        <w:rPr>
          <w:rFonts w:ascii="Book Antiqua" w:eastAsia="Times New Roman" w:hAnsi="Book Antiqua" w:cs="Times New Roman"/>
          <w:b/>
        </w:rPr>
      </w:pPr>
      <w:r w:rsidRPr="00423960">
        <w:rPr>
          <w:rFonts w:ascii="Book Antiqua" w:eastAsia="Times New Roman" w:hAnsi="Book Antiqua" w:cs="Times New Roman"/>
          <w:b/>
        </w:rPr>
        <w:t>GRADING</w:t>
      </w:r>
    </w:p>
    <w:p w14:paraId="4361AD20" w14:textId="77777777" w:rsidR="007634A8" w:rsidRPr="00423960" w:rsidRDefault="007634A8" w:rsidP="007634A8">
      <w:pPr>
        <w:jc w:val="both"/>
        <w:rPr>
          <w:rFonts w:ascii="Book Antiqua" w:eastAsia="Times New Roman" w:hAnsi="Book Antiqua" w:cs="Times New Roman"/>
        </w:rPr>
      </w:pPr>
    </w:p>
    <w:p w14:paraId="153B73D4" w14:textId="77777777" w:rsidR="007634A8" w:rsidRDefault="007634A8" w:rsidP="007634A8">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Pr="00423960">
        <w:rPr>
          <w:rFonts w:ascii="Book Antiqua" w:eastAsia="Times New Roman" w:hAnsi="Book Antiqua" w:cs="Times New Roman"/>
        </w:rPr>
        <w:t xml:space="preserve">Your grade will be based on </w:t>
      </w:r>
      <w:r>
        <w:rPr>
          <w:rFonts w:ascii="Book Antiqua" w:eastAsia="Times New Roman" w:hAnsi="Book Antiqua" w:cs="Times New Roman"/>
        </w:rPr>
        <w:t>a final exam (100% of the final grade)</w:t>
      </w:r>
      <w:r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6969D7C2" w14:textId="77777777" w:rsidR="0052514D" w:rsidRDefault="0052514D" w:rsidP="0052514D">
      <w:pPr>
        <w:jc w:val="both"/>
        <w:rPr>
          <w:rFonts w:ascii="Book Antiqua" w:eastAsia="Times New Roman" w:hAnsi="Book Antiqua" w:cs="Times New Roman"/>
        </w:rPr>
      </w:pPr>
    </w:p>
    <w:p w14:paraId="4E3A24F9" w14:textId="77777777" w:rsidR="007634A8" w:rsidRPr="00423960" w:rsidRDefault="007634A8" w:rsidP="007634A8">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27A93B27" w14:textId="77777777" w:rsidR="007634A8" w:rsidRDefault="007634A8" w:rsidP="007634A8">
      <w:pPr>
        <w:jc w:val="both"/>
        <w:rPr>
          <w:rFonts w:ascii="Book Antiqua" w:eastAsia="Times New Roman" w:hAnsi="Book Antiqua" w:cs="Times New Roman"/>
        </w:rPr>
      </w:pPr>
    </w:p>
    <w:p w14:paraId="224F00B7" w14:textId="77777777" w:rsidR="007634A8" w:rsidRPr="00922D66" w:rsidRDefault="007634A8" w:rsidP="007634A8">
      <w:pPr>
        <w:jc w:val="both"/>
      </w:pPr>
      <w:r>
        <w:t xml:space="preserve">The final exam will follow UF’s “online open-book” policy. </w:t>
      </w:r>
      <w:r w:rsidRPr="00922D66">
        <w:t xml:space="preserve">This is an open book online exam. Students can use their textbooks and any other source including the internet, with two exceptions: (1) students may not contact any person for assistance during this exam (contact means asking a person via phone, text, chat, or any other communication means); (2) students may not use any artificial intelligence platforms, software, or services, such as for example </w:t>
      </w:r>
      <w:proofErr w:type="spellStart"/>
      <w:r w:rsidRPr="00922D66">
        <w:t>ChatGTP</w:t>
      </w:r>
      <w:proofErr w:type="spellEnd"/>
      <w:r w:rsidRPr="00922D66">
        <w:t xml:space="preserve"> or similar kinds of products or services. This exam must be a solo effort by the student without the assistance from any persons or artificial intelligence products.  </w:t>
      </w:r>
      <w:r>
        <w:t>Your professor has chosen the “</w:t>
      </w:r>
      <w:r w:rsidRPr="00A63DB4">
        <w:t>Fixed (Pre-scheduled Set Date and/or Time)</w:t>
      </w:r>
      <w:r>
        <w:t>” option. The final exam will be a</w:t>
      </w:r>
      <w:r>
        <w:rPr>
          <w:rFonts w:eastAsia="Times New Roman"/>
        </w:rPr>
        <w:t xml:space="preserve"> one-day remote exam that is scheduled on a fixed date, just like an in-class exam (subject to any approved accommodation by exam administrators, such as time conflicts and approved delays).  </w:t>
      </w:r>
    </w:p>
    <w:p w14:paraId="4BDB3323" w14:textId="77777777" w:rsidR="007634A8" w:rsidRDefault="007634A8" w:rsidP="007634A8">
      <w:pPr>
        <w:jc w:val="both"/>
        <w:rPr>
          <w:rFonts w:ascii="Book Antiqua" w:eastAsia="Times New Roman" w:hAnsi="Book Antiqua" w:cs="Times New Roman"/>
        </w:rPr>
      </w:pPr>
    </w:p>
    <w:p w14:paraId="3345AA92" w14:textId="77777777" w:rsidR="007634A8" w:rsidRDefault="007634A8" w:rsidP="007634A8">
      <w:pPr>
        <w:jc w:val="both"/>
        <w:rPr>
          <w:rFonts w:ascii="Book Antiqua" w:eastAsia="Times New Roman" w:hAnsi="Book Antiqua" w:cs="Times New Roman"/>
        </w:rPr>
      </w:pPr>
      <w:r>
        <w:rPr>
          <w:rFonts w:ascii="Book Antiqua" w:eastAsia="Times New Roman" w:hAnsi="Book Antiqua" w:cs="Times New Roman"/>
        </w:rPr>
        <w:lastRenderedPageBreak/>
        <w:t xml:space="preserve">The final exam may have essay, short answer,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12AD6940" w14:textId="77777777" w:rsidR="007634A8" w:rsidRPr="00407736" w:rsidRDefault="007634A8" w:rsidP="007634A8">
      <w:pPr>
        <w:rPr>
          <w:rFonts w:ascii="Book Antiqua" w:hAnsi="Book Antiqua"/>
        </w:rPr>
      </w:pPr>
    </w:p>
    <w:p w14:paraId="21AB774C" w14:textId="77777777" w:rsidR="007634A8" w:rsidRPr="00407736" w:rsidRDefault="007634A8" w:rsidP="007634A8">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Pr>
          <w:rFonts w:ascii="Book Antiqua" w:hAnsi="Book Antiqua" w:cs="Times New Roman"/>
        </w:rPr>
        <w:t xml:space="preserve">see </w:t>
      </w:r>
      <w:hyperlink r:id="rId8"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p>
    <w:p w14:paraId="016D4B09" w14:textId="77777777" w:rsidR="0052514D" w:rsidRPr="00407736" w:rsidRDefault="0052514D" w:rsidP="0052514D">
      <w:pPr>
        <w:rPr>
          <w:rFonts w:ascii="Book Antiqua" w:hAnsi="Book Antiqua"/>
        </w:rPr>
      </w:pPr>
    </w:p>
    <w:p w14:paraId="717DA624" w14:textId="77777777" w:rsidR="00DD1738" w:rsidRPr="00423960" w:rsidRDefault="00DD1738" w:rsidP="00DD1738">
      <w:pPr>
        <w:rPr>
          <w:rFonts w:ascii="Book Antiqua" w:eastAsia="Times New Roman" w:hAnsi="Book Antiqua" w:cs="Times New Roman"/>
          <w:b/>
        </w:rPr>
      </w:pPr>
      <w:r>
        <w:rPr>
          <w:rFonts w:ascii="Book Antiqua" w:eastAsia="Times New Roman" w:hAnsi="Book Antiqua" w:cs="Times New Roman"/>
          <w:b/>
        </w:rPr>
        <w:t xml:space="preserve">COURSE EXPECTATIONS AND </w:t>
      </w:r>
      <w:r w:rsidRPr="00423960">
        <w:rPr>
          <w:rFonts w:ascii="Book Antiqua" w:eastAsia="Times New Roman" w:hAnsi="Book Antiqua" w:cs="Times New Roman"/>
          <w:b/>
        </w:rPr>
        <w:t>GRADING</w:t>
      </w:r>
      <w:r>
        <w:rPr>
          <w:rFonts w:ascii="Book Antiqua" w:eastAsia="Times New Roman" w:hAnsi="Book Antiqua" w:cs="Times New Roman"/>
          <w:b/>
        </w:rPr>
        <w:t xml:space="preserve"> EVALUATIONS</w:t>
      </w:r>
    </w:p>
    <w:p w14:paraId="7C5B9B73" w14:textId="77777777" w:rsidR="00DD1738" w:rsidRPr="00423960" w:rsidRDefault="00DD1738" w:rsidP="00DD1738">
      <w:pPr>
        <w:jc w:val="both"/>
        <w:rPr>
          <w:rFonts w:ascii="Book Antiqua" w:eastAsia="Times New Roman" w:hAnsi="Book Antiqua" w:cs="Times New Roman"/>
        </w:rPr>
      </w:pPr>
    </w:p>
    <w:p w14:paraId="61678C07" w14:textId="77777777" w:rsidR="00DD1738" w:rsidRDefault="00DD1738" w:rsidP="00DD1738">
      <w:pPr>
        <w:jc w:val="both"/>
        <w:rPr>
          <w:rFonts w:ascii="Book Antiqua" w:eastAsia="Times New Roman" w:hAnsi="Book Antiqua" w:cs="Times New Roman"/>
        </w:rPr>
      </w:pPr>
      <w:r w:rsidRPr="00F83637">
        <w:rPr>
          <w:rFonts w:ascii="Book Antiqua" w:eastAsia="Times New Roman" w:hAnsi="Book Antiqua" w:cs="Times New Roman"/>
        </w:rPr>
        <w:t xml:space="preserve">Students will be evaluated based upon on a final exam. </w:t>
      </w:r>
      <w:r>
        <w:rPr>
          <w:rFonts w:ascii="Book Antiqua" w:eastAsia="Times New Roman" w:hAnsi="Book Antiqua" w:cs="Times New Roman"/>
        </w:rPr>
        <w:t xml:space="preserve">Grading will be consistent with College of Law policy. </w:t>
      </w:r>
      <w:r w:rsidRPr="00423960">
        <w:rPr>
          <w:rFonts w:ascii="Book Antiqua" w:eastAsia="Times New Roman" w:hAnsi="Book Antiqua" w:cs="Times New Roman"/>
        </w:rPr>
        <w:t xml:space="preserve">Your grade will be based on </w:t>
      </w:r>
      <w:r>
        <w:rPr>
          <w:rFonts w:ascii="Book Antiqua" w:eastAsia="Times New Roman" w:hAnsi="Book Antiqua" w:cs="Times New Roman"/>
        </w:rPr>
        <w:t>a final exam (100% of the final grade)</w:t>
      </w:r>
      <w:r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5C73CF1E" w14:textId="77777777" w:rsidR="00DD1738" w:rsidRDefault="00DD1738" w:rsidP="00DD1738">
      <w:pPr>
        <w:jc w:val="both"/>
        <w:rPr>
          <w:rFonts w:ascii="Book Antiqua" w:eastAsia="Times New Roman" w:hAnsi="Book Antiqua" w:cs="Times New Roman"/>
        </w:rPr>
      </w:pPr>
    </w:p>
    <w:p w14:paraId="61DDA549" w14:textId="77777777" w:rsidR="00DD1738" w:rsidRPr="00423960" w:rsidRDefault="00DD1738" w:rsidP="00DD1738">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0F1AD73C" w14:textId="77777777" w:rsidR="00DD1738" w:rsidRDefault="00DD1738" w:rsidP="00DD1738">
      <w:pPr>
        <w:jc w:val="both"/>
        <w:rPr>
          <w:rFonts w:ascii="Book Antiqua" w:eastAsia="Times New Roman" w:hAnsi="Book Antiqua" w:cs="Times New Roman"/>
        </w:rPr>
      </w:pPr>
    </w:p>
    <w:p w14:paraId="13BFD9FD" w14:textId="77777777" w:rsidR="00DD1738" w:rsidRPr="00922D66" w:rsidRDefault="00DD1738" w:rsidP="00DD1738">
      <w:pPr>
        <w:jc w:val="both"/>
      </w:pPr>
      <w:r>
        <w:t xml:space="preserve">The final exam will follow UF’s “online open-book” policy. </w:t>
      </w:r>
      <w:r w:rsidRPr="00922D66">
        <w:t xml:space="preserve">This is an open book online exam. Students can use their textbooks and any other source including the internet, with two exceptions: (1) students may not contact any person for assistance during this exam (contact means asking a person via phone, text, chat, or any other communication means); (2) students may not use any artificial intelligence platforms, software, or services, such as for example </w:t>
      </w:r>
      <w:proofErr w:type="spellStart"/>
      <w:r w:rsidRPr="00922D66">
        <w:t>ChatGTP</w:t>
      </w:r>
      <w:proofErr w:type="spellEnd"/>
      <w:r w:rsidRPr="00922D66">
        <w:t xml:space="preserve"> or similar kinds of products or services. This exam must be a solo effort by the student without the assistance from any persons or artificial intelligence products.  </w:t>
      </w:r>
      <w:r>
        <w:t>Your professor has chosen the “</w:t>
      </w:r>
      <w:r w:rsidRPr="00A63DB4">
        <w:t>Fixed (Pre-scheduled Set Date and/or Time)</w:t>
      </w:r>
      <w:r>
        <w:t>” option. The final exam will be a</w:t>
      </w:r>
      <w:r>
        <w:rPr>
          <w:rFonts w:eastAsia="Times New Roman"/>
        </w:rPr>
        <w:t xml:space="preserve"> one-day remote exam that is scheduled on a fixed date, just like an in-class exam (subject to any approved accommodation by exam administrators, such as time conflicts and approved delays).  </w:t>
      </w:r>
    </w:p>
    <w:p w14:paraId="421A736F" w14:textId="77777777" w:rsidR="00DD1738" w:rsidRDefault="00DD1738" w:rsidP="00DD1738">
      <w:pPr>
        <w:jc w:val="both"/>
        <w:rPr>
          <w:rFonts w:ascii="Book Antiqua" w:eastAsia="Times New Roman" w:hAnsi="Book Antiqua" w:cs="Times New Roman"/>
        </w:rPr>
      </w:pPr>
    </w:p>
    <w:p w14:paraId="0BCB4FD4" w14:textId="77777777" w:rsidR="00DD1738" w:rsidRDefault="00DD1738" w:rsidP="00DD1738">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11C23E14" w14:textId="77777777" w:rsidR="00DD1738" w:rsidRPr="00407736" w:rsidRDefault="00DD1738" w:rsidP="00DD1738">
      <w:pPr>
        <w:rPr>
          <w:rFonts w:ascii="Book Antiqua" w:hAnsi="Book Antiqua"/>
        </w:rPr>
      </w:pPr>
    </w:p>
    <w:p w14:paraId="63D4325F" w14:textId="77777777" w:rsidR="00DD1738" w:rsidRDefault="00DD1738" w:rsidP="00DD1738">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Pr>
          <w:rFonts w:ascii="Book Antiqua" w:hAnsi="Book Antiqua" w:cs="Times New Roman"/>
        </w:rPr>
        <w:t xml:space="preserve">see </w:t>
      </w:r>
      <w:hyperlink r:id="rId9"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r>
        <w:rPr>
          <w:rFonts w:ascii="Book Antiqua" w:eastAsia="Times New Roman" w:hAnsi="Book Antiqua" w:cs="Times New Roman"/>
        </w:rPr>
        <w:t xml:space="preserve"> </w:t>
      </w:r>
    </w:p>
    <w:p w14:paraId="5E9D4DB0" w14:textId="77777777" w:rsidR="00DD1738" w:rsidRDefault="00DD1738" w:rsidP="00DD1738">
      <w:pPr>
        <w:jc w:val="both"/>
        <w:rPr>
          <w:rFonts w:ascii="Book Antiqua" w:eastAsia="Times New Roman" w:hAnsi="Book Antiqua" w:cs="Times New Roman"/>
        </w:rPr>
      </w:pPr>
    </w:p>
    <w:p w14:paraId="53BA3759" w14:textId="77777777" w:rsidR="00DD1738" w:rsidRPr="00D01FEB" w:rsidRDefault="00DD1738" w:rsidP="00DD1738">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29EA2614" w14:textId="77777777" w:rsidR="00DD1738" w:rsidRDefault="00DD1738" w:rsidP="00DD1738">
      <w:pPr>
        <w:jc w:val="both"/>
        <w:rPr>
          <w:rFonts w:ascii="Book Antiqua" w:eastAsia="Times New Roman" w:hAnsi="Book Antiqua" w:cs="Times New Roman"/>
        </w:rPr>
      </w:pPr>
    </w:p>
    <w:p w14:paraId="16C39174" w14:textId="77777777" w:rsidR="00DD1738" w:rsidRPr="00F83637" w:rsidRDefault="00DD1738" w:rsidP="00DD1738">
      <w:pPr>
        <w:jc w:val="both"/>
      </w:pPr>
      <w:r w:rsidRPr="00D01FEB">
        <w:t xml:space="preserve">Academic honesty and integrity are fundamental values of the University community. Students should be sure that they understand the UF Student Honor Code at </w:t>
      </w:r>
      <w:hyperlink r:id="rId10" w:history="1">
        <w:r w:rsidRPr="00D01FEB">
          <w:rPr>
            <w:rStyle w:val="Hyperlink"/>
          </w:rPr>
          <w:t>http</w:t>
        </w:r>
      </w:hyperlink>
      <w:hyperlink r:id="rId11" w:history="1">
        <w:r w:rsidRPr="00D01FEB">
          <w:rPr>
            <w:rStyle w:val="Hyperlink"/>
          </w:rPr>
          <w:t>://</w:t>
        </w:r>
      </w:hyperlink>
      <w:hyperlink r:id="rId12" w:history="1">
        <w:r w:rsidRPr="00D01FEB">
          <w:rPr>
            <w:rStyle w:val="Hyperlink"/>
          </w:rPr>
          <w:t>www</w:t>
        </w:r>
      </w:hyperlink>
      <w:hyperlink r:id="rId13" w:history="1">
        <w:r w:rsidRPr="00D01FEB">
          <w:rPr>
            <w:rStyle w:val="Hyperlink"/>
          </w:rPr>
          <w:t>.</w:t>
        </w:r>
      </w:hyperlink>
      <w:hyperlink r:id="rId14" w:history="1">
        <w:r w:rsidRPr="00D01FEB">
          <w:rPr>
            <w:rStyle w:val="Hyperlink"/>
          </w:rPr>
          <w:t>dso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students</w:t>
        </w:r>
      </w:hyperlink>
      <w:hyperlink r:id="rId21" w:history="1">
        <w:r w:rsidRPr="00D01FEB">
          <w:rPr>
            <w:rStyle w:val="Hyperlink"/>
          </w:rPr>
          <w:t>.</w:t>
        </w:r>
      </w:hyperlink>
      <w:hyperlink r:id="rId22" w:history="1">
        <w:r w:rsidRPr="00D01FEB">
          <w:rPr>
            <w:rStyle w:val="Hyperlink"/>
          </w:rPr>
          <w:t>php</w:t>
        </w:r>
      </w:hyperlink>
      <w:r w:rsidRPr="00D01FEB">
        <w:t>.</w:t>
      </w:r>
      <w:r>
        <w:t xml:space="preserve"> </w:t>
      </w:r>
    </w:p>
    <w:p w14:paraId="67AFCDDA" w14:textId="77777777" w:rsidR="00DD1738" w:rsidRDefault="00DD1738" w:rsidP="00DD1738">
      <w:pPr>
        <w:jc w:val="both"/>
        <w:rPr>
          <w:rFonts w:ascii="Book Antiqua" w:eastAsia="Times New Roman" w:hAnsi="Book Antiqua" w:cs="Times New Roman"/>
        </w:rPr>
      </w:pPr>
    </w:p>
    <w:p w14:paraId="5E7925AB" w14:textId="77777777" w:rsidR="00DD1738" w:rsidRPr="001D0D2C" w:rsidRDefault="00DD1738" w:rsidP="00DD1738">
      <w:pPr>
        <w:jc w:val="both"/>
        <w:rPr>
          <w:rFonts w:ascii="Book Antiqua" w:eastAsia="Times New Roman" w:hAnsi="Book Antiqua" w:cs="Times New Roman"/>
          <w:b/>
          <w:sz w:val="28"/>
          <w:szCs w:val="28"/>
        </w:rPr>
      </w:pPr>
      <w:r w:rsidRPr="001D0D2C">
        <w:rPr>
          <w:b/>
        </w:rPr>
        <w:lastRenderedPageBreak/>
        <w:t>ABA OUT-OF-CLASS HOURS REQUIREMENTS</w:t>
      </w:r>
    </w:p>
    <w:p w14:paraId="68A70C87" w14:textId="77777777" w:rsidR="00DD1738" w:rsidRDefault="00DD1738" w:rsidP="00DD1738">
      <w:pPr>
        <w:jc w:val="both"/>
        <w:rPr>
          <w:rFonts w:ascii="Book Antiqua" w:eastAsia="Times New Roman" w:hAnsi="Book Antiqua" w:cs="Times New Roman"/>
        </w:rPr>
      </w:pPr>
    </w:p>
    <w:p w14:paraId="6B987719" w14:textId="77777777" w:rsidR="00DD1738" w:rsidRDefault="00DD1738" w:rsidP="00DD1738">
      <w:pPr>
        <w:jc w:val="both"/>
      </w:pPr>
      <w:r w:rsidRPr="00005A0C">
        <w:rPr>
          <w:rFonts w:eastAsia="Baskerville Old Face"/>
        </w:rPr>
        <w:t>ABA Standard 310 requires that students devote 120 minutes to out-of-class preparation for every “classroom hour” of in-class instruction. It is anticipated that you will spend approximately 2 hours out of class reading and/or preparing for in class assignments for every 1 hour in class. Outside of class including reading the assigned materials and developing your critical analyses of the materials.</w:t>
      </w:r>
    </w:p>
    <w:p w14:paraId="531DF50A" w14:textId="77777777" w:rsidR="00DD1738" w:rsidRPr="00800466" w:rsidRDefault="00DD1738" w:rsidP="00DD1738">
      <w:pPr>
        <w:jc w:val="both"/>
      </w:pPr>
    </w:p>
    <w:p w14:paraId="3F4E5D52" w14:textId="77777777" w:rsidR="00DD1738" w:rsidRPr="006B2D85" w:rsidRDefault="00DD1738" w:rsidP="00DD1738">
      <w:pPr>
        <w:jc w:val="both"/>
        <w:rPr>
          <w:rFonts w:ascii="Book Antiqua" w:eastAsia="Times New Roman" w:hAnsi="Book Antiqua" w:cs="Times New Roman"/>
          <w:b/>
        </w:rPr>
      </w:pPr>
      <w:r>
        <w:rPr>
          <w:rFonts w:ascii="Book Antiqua" w:eastAsia="Times New Roman" w:hAnsi="Book Antiqua" w:cs="Times New Roman"/>
          <w:b/>
        </w:rPr>
        <w:t xml:space="preserve">CLASS </w:t>
      </w:r>
      <w:r w:rsidRPr="006B2D85">
        <w:rPr>
          <w:rFonts w:ascii="Book Antiqua" w:eastAsia="Times New Roman" w:hAnsi="Book Antiqua" w:cs="Times New Roman"/>
          <w:b/>
        </w:rPr>
        <w:t xml:space="preserve">ATTENDANCE </w:t>
      </w:r>
      <w:r>
        <w:rPr>
          <w:rFonts w:ascii="Book Antiqua" w:eastAsia="Times New Roman" w:hAnsi="Book Antiqua" w:cs="Times New Roman"/>
          <w:b/>
        </w:rPr>
        <w:t xml:space="preserve">POLICY </w:t>
      </w:r>
    </w:p>
    <w:p w14:paraId="3C5EE0B7" w14:textId="77777777" w:rsidR="00DD1738" w:rsidRPr="006B2D85" w:rsidRDefault="00DD1738" w:rsidP="00DD1738">
      <w:pPr>
        <w:jc w:val="both"/>
        <w:rPr>
          <w:rFonts w:ascii="Book Antiqua" w:eastAsia="Times New Roman" w:hAnsi="Book Antiqua" w:cs="Times New Roman"/>
        </w:rPr>
      </w:pPr>
    </w:p>
    <w:p w14:paraId="1EDFA2BA" w14:textId="2D8A2EBC" w:rsidR="00DD1738" w:rsidRPr="00FA59E1" w:rsidRDefault="00DD1738" w:rsidP="00DD1738">
      <w:pPr>
        <w:jc w:val="both"/>
      </w:pPr>
      <w:r w:rsidRPr="00FA59E1">
        <w:t xml:space="preserve">Attendance in class is required by both the ABA and the Law School. Attendance will be taken at each class meeting.  Students are allowed </w:t>
      </w:r>
      <w:r>
        <w:t>three (3)</w:t>
      </w:r>
      <w:r w:rsidRPr="00FA59E1">
        <w:t xml:space="preserve">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23" w:anchor=":~:text=co%2Dcurricular%20activities.-,Attendance,regular%20and%20punctual%20class%20attendance.&amp;text=UF%20Law%20policy%20permits%20dismissal,of%2012%20credits%20per%20semester." w:history="1">
        <w:r w:rsidRPr="00FA59E1">
          <w:rPr>
            <w:rStyle w:val="Hyperlink"/>
          </w:rPr>
          <w:t>here</w:t>
        </w:r>
      </w:hyperlink>
      <w:r w:rsidRPr="00FA59E1">
        <w:t>.</w:t>
      </w:r>
    </w:p>
    <w:p w14:paraId="04726FAC" w14:textId="77777777" w:rsidR="00DD1738" w:rsidRDefault="00DD1738" w:rsidP="00DD1738">
      <w:pPr>
        <w:jc w:val="both"/>
      </w:pPr>
    </w:p>
    <w:p w14:paraId="3532D281" w14:textId="77777777" w:rsidR="00DD1738" w:rsidRPr="00FA59E1" w:rsidRDefault="00DD1738" w:rsidP="00DD1738">
      <w:pPr>
        <w:rPr>
          <w:b/>
          <w:bCs/>
          <w:bdr w:val="none" w:sz="0" w:space="0" w:color="auto" w:frame="1"/>
          <w:shd w:val="clear" w:color="auto" w:fill="FFFFFF"/>
        </w:rPr>
      </w:pPr>
      <w:r w:rsidRPr="00FA59E1">
        <w:rPr>
          <w:b/>
          <w:bCs/>
          <w:bdr w:val="none" w:sz="0" w:space="0" w:color="auto" w:frame="1"/>
          <w:shd w:val="clear" w:color="auto" w:fill="FFFFFF"/>
        </w:rPr>
        <w:t>UF LEVIN COLLEGE OF LAW STANDARD SYLLABUS POLICIES</w:t>
      </w:r>
    </w:p>
    <w:p w14:paraId="79C28177" w14:textId="77777777" w:rsidR="00DD1738" w:rsidRDefault="00DD1738" w:rsidP="00DD1738">
      <w:pPr>
        <w:jc w:val="both"/>
        <w:rPr>
          <w:bdr w:val="none" w:sz="0" w:space="0" w:color="auto" w:frame="1"/>
          <w:shd w:val="clear" w:color="auto" w:fill="FFFFFF"/>
        </w:rPr>
      </w:pPr>
    </w:p>
    <w:p w14:paraId="35EDB3EF" w14:textId="77777777" w:rsidR="00DD1738" w:rsidRPr="00FA59E1" w:rsidRDefault="00DD1738" w:rsidP="00DD1738">
      <w:pPr>
        <w:jc w:val="both"/>
        <w:rPr>
          <w:rFonts w:ascii="Book Antiqua" w:hAnsi="Book Antiqua" w:cs="Times New Roman"/>
        </w:rPr>
      </w:pPr>
      <w:r w:rsidRPr="00FA59E1">
        <w:rPr>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24" w:tgtFrame="_blank" w:history="1">
        <w:r w:rsidRPr="00FA59E1">
          <w:rPr>
            <w:rStyle w:val="Hyperlink"/>
          </w:rPr>
          <w:t>https://ufl.instructure.com/courses/427635/files/74674656?wrap=1</w:t>
        </w:r>
      </w:hyperlink>
      <w:r w:rsidRPr="00FA59E1">
        <w:t>.</w:t>
      </w:r>
    </w:p>
    <w:p w14:paraId="7B1C9B7B" w14:textId="77777777" w:rsidR="00DD1738" w:rsidRPr="00292FBF" w:rsidRDefault="00DD1738" w:rsidP="00DD1738">
      <w:pPr>
        <w:jc w:val="both"/>
        <w:rPr>
          <w:rFonts w:ascii="Book Antiqua" w:hAnsi="Book Antiqua" w:cs="Times New Roman"/>
        </w:rPr>
      </w:pPr>
    </w:p>
    <w:p w14:paraId="6BF3D471" w14:textId="77777777" w:rsidR="00166274" w:rsidRPr="00166274" w:rsidRDefault="00166274" w:rsidP="00166274">
      <w:pPr>
        <w:rPr>
          <w:b/>
          <w:bCs/>
          <w:bdr w:val="none" w:sz="0" w:space="0" w:color="auto" w:frame="1"/>
          <w:shd w:val="clear" w:color="auto" w:fill="FFFFFF"/>
        </w:rPr>
      </w:pPr>
      <w:bookmarkStart w:id="0" w:name="_Hlk150084666"/>
      <w:r w:rsidRPr="00166274">
        <w:rPr>
          <w:b/>
          <w:bCs/>
          <w:bdr w:val="none" w:sz="0" w:space="0" w:color="auto" w:frame="1"/>
          <w:shd w:val="clear" w:color="auto" w:fill="FFFFFF"/>
        </w:rPr>
        <w:t xml:space="preserve">COURSE SCHEDULE OF TOPICS AND ASSIGNMENTS </w:t>
      </w:r>
    </w:p>
    <w:p w14:paraId="05F187D0" w14:textId="77777777" w:rsidR="00166274" w:rsidRDefault="00166274" w:rsidP="00166274">
      <w:pPr>
        <w:jc w:val="both"/>
        <w:rPr>
          <w:bdr w:val="none" w:sz="0" w:space="0" w:color="auto" w:frame="1"/>
          <w:shd w:val="clear" w:color="auto" w:fill="FFFFFF"/>
        </w:rPr>
      </w:pPr>
    </w:p>
    <w:p w14:paraId="1D92AFBF" w14:textId="4263B3B2" w:rsidR="00166274" w:rsidRPr="00166274" w:rsidRDefault="00166274" w:rsidP="00166274">
      <w:pPr>
        <w:jc w:val="both"/>
        <w:rPr>
          <w:bdr w:val="none" w:sz="0" w:space="0" w:color="auto" w:frame="1"/>
          <w:shd w:val="clear" w:color="auto" w:fill="FFFFFF"/>
        </w:rPr>
      </w:pPr>
      <w:r w:rsidRPr="00166274">
        <w:rPr>
          <w:bdr w:val="none" w:sz="0" w:space="0" w:color="auto" w:frame="1"/>
          <w:shd w:val="clear" w:color="auto" w:fill="FFFFFF"/>
        </w:rPr>
        <w:t>This syllabus is offered as a guide to the direction of the course. Our pace will depend in part on the level of interest and the level of difficulty of each section and is subject to change.</w:t>
      </w:r>
    </w:p>
    <w:p w14:paraId="30C0B531" w14:textId="77777777" w:rsidR="00166274" w:rsidRDefault="00166274" w:rsidP="00DD1738">
      <w:pPr>
        <w:jc w:val="both"/>
        <w:rPr>
          <w:rFonts w:ascii="Book Antiqua" w:eastAsia="Times New Roman" w:hAnsi="Book Antiqua" w:cs="Times New Roman"/>
          <w:b/>
        </w:rPr>
      </w:pPr>
    </w:p>
    <w:bookmarkEnd w:id="0"/>
    <w:p w14:paraId="1385BEB7" w14:textId="1F6CECAF" w:rsidR="00DD1738" w:rsidRPr="00D01FEB" w:rsidRDefault="00DD1738" w:rsidP="00DD1738">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0CF21DDE" w14:textId="77777777" w:rsidR="00DD1738" w:rsidRDefault="00DD1738" w:rsidP="00DD1738">
      <w:pPr>
        <w:jc w:val="both"/>
        <w:rPr>
          <w:rFonts w:ascii="Book Antiqua" w:eastAsia="Times New Roman" w:hAnsi="Book Antiqua" w:cs="Times New Roman"/>
        </w:rPr>
      </w:pPr>
    </w:p>
    <w:p w14:paraId="3F7087A5" w14:textId="77777777" w:rsidR="00DD1738" w:rsidRPr="00896E6F" w:rsidRDefault="00DD1738" w:rsidP="00DD1738">
      <w:pPr>
        <w:jc w:val="both"/>
      </w:pPr>
      <w:r>
        <w:t xml:space="preserve">Classes may be held on Zoom as announced. These class sessions will be recorded. </w:t>
      </w:r>
    </w:p>
    <w:p w14:paraId="69C2D67A" w14:textId="3FA3298C" w:rsidR="007634A8" w:rsidRPr="00292FBF" w:rsidRDefault="007634A8" w:rsidP="007634A8">
      <w:pPr>
        <w:jc w:val="both"/>
        <w:rPr>
          <w:rFonts w:ascii="Book Antiqua" w:hAnsi="Book Antiqua" w:cs="Times New Roman"/>
        </w:rPr>
      </w:pPr>
    </w:p>
    <w:p w14:paraId="3A8D7F5D" w14:textId="6A2F6749" w:rsidR="00345474" w:rsidRPr="003B0E7D" w:rsidRDefault="00345474" w:rsidP="003B0E7D">
      <w:pPr>
        <w:jc w:val="both"/>
      </w:pPr>
      <w:r>
        <w:rPr>
          <w:rFonts w:ascii="Book Antiqua" w:hAnsi="Book Antiqua"/>
          <w:b/>
          <w:sz w:val="40"/>
        </w:rPr>
        <w:br w:type="page"/>
      </w:r>
    </w:p>
    <w:p w14:paraId="62DE5BD1" w14:textId="15E96A8E" w:rsidR="00AD33CD" w:rsidRPr="002664D3" w:rsidRDefault="00AD33CD" w:rsidP="002664D3">
      <w:pPr>
        <w:pStyle w:val="Heading1"/>
        <w:jc w:val="center"/>
        <w:rPr>
          <w:rFonts w:ascii="Book Antiqua" w:hAnsi="Book Antiqua"/>
          <w:b/>
          <w:color w:val="000000" w:themeColor="text1"/>
          <w:sz w:val="40"/>
        </w:rPr>
      </w:pPr>
      <w:r w:rsidRPr="002664D3">
        <w:rPr>
          <w:rFonts w:ascii="Book Antiqua" w:hAnsi="Book Antiqua"/>
          <w:b/>
          <w:color w:val="000000" w:themeColor="text1"/>
          <w:sz w:val="40"/>
        </w:rPr>
        <w:lastRenderedPageBreak/>
        <w:t>ASSIGNMENTS</w:t>
      </w:r>
    </w:p>
    <w:p w14:paraId="6636B483" w14:textId="77777777" w:rsidR="00763726" w:rsidRDefault="00763726" w:rsidP="00980D51">
      <w:pPr>
        <w:jc w:val="both"/>
        <w:rPr>
          <w:rFonts w:ascii="Book Antiqua" w:hAnsi="Book Antiqua"/>
          <w:b/>
        </w:rPr>
      </w:pPr>
    </w:p>
    <w:p w14:paraId="2785DDAC" w14:textId="69D0B97B" w:rsidR="003C56B1" w:rsidRDefault="00763726" w:rsidP="00D446BC">
      <w:pPr>
        <w:spacing w:before="120" w:after="120"/>
        <w:jc w:val="both"/>
        <w:rPr>
          <w:rFonts w:ascii="Book Antiqua" w:hAnsi="Book Antiqua"/>
          <w:b/>
        </w:rPr>
      </w:pPr>
      <w:r>
        <w:rPr>
          <w:rFonts w:ascii="Book Antiqua" w:hAnsi="Book Antiqua"/>
          <w:b/>
        </w:rPr>
        <w:t>IMPORTANT NOTE</w:t>
      </w:r>
      <w:r w:rsidR="003C56B1">
        <w:rPr>
          <w:rFonts w:ascii="Book Antiqua" w:hAnsi="Book Antiqua"/>
          <w:b/>
        </w:rPr>
        <w:t>S</w:t>
      </w:r>
      <w:r>
        <w:rPr>
          <w:rFonts w:ascii="Book Antiqua" w:hAnsi="Book Antiqua"/>
          <w:b/>
        </w:rPr>
        <w:t xml:space="preserve"> TO STUDENTS:  </w:t>
      </w:r>
    </w:p>
    <w:p w14:paraId="53124F7B" w14:textId="2B03FBB9" w:rsidR="003C56B1" w:rsidRPr="00D446BC" w:rsidRDefault="003468A3" w:rsidP="00D446BC">
      <w:pPr>
        <w:pStyle w:val="ListParagraph"/>
        <w:numPr>
          <w:ilvl w:val="0"/>
          <w:numId w:val="22"/>
        </w:numPr>
        <w:spacing w:before="120" w:after="120"/>
        <w:ind w:left="360"/>
        <w:contextualSpacing w:val="0"/>
        <w:jc w:val="both"/>
        <w:rPr>
          <w:rFonts w:ascii="Book Antiqua" w:hAnsi="Book Antiqua"/>
          <w:b/>
        </w:rPr>
      </w:pPr>
      <w:r w:rsidRPr="003C56B1">
        <w:rPr>
          <w:rFonts w:ascii="Book Antiqua" w:hAnsi="Book Antiqua"/>
          <w:b/>
        </w:rPr>
        <w:t xml:space="preserve">The syllabus </w:t>
      </w:r>
      <w:r w:rsidR="00302C91" w:rsidRPr="003C56B1">
        <w:rPr>
          <w:rFonts w:ascii="Book Antiqua" w:hAnsi="Book Antiqua"/>
          <w:b/>
        </w:rPr>
        <w:t>may</w:t>
      </w:r>
      <w:r w:rsidRPr="003C56B1">
        <w:rPr>
          <w:rFonts w:ascii="Book Antiqua" w:hAnsi="Book Antiqua"/>
          <w:b/>
        </w:rPr>
        <w:t xml:space="preserve"> be continuously updated throughout the course. </w:t>
      </w:r>
      <w:r w:rsidR="007119C3" w:rsidRPr="003C56B1">
        <w:rPr>
          <w:rFonts w:ascii="Book Antiqua" w:hAnsi="Book Antiqua"/>
          <w:b/>
        </w:rPr>
        <w:t>P</w:t>
      </w:r>
      <w:r w:rsidRPr="003C56B1">
        <w:rPr>
          <w:rFonts w:ascii="Book Antiqua" w:hAnsi="Book Antiqua"/>
          <w:b/>
        </w:rPr>
        <w:t xml:space="preserve">lease read at least </w:t>
      </w:r>
      <w:r w:rsidR="007119C3" w:rsidRPr="003C56B1">
        <w:rPr>
          <w:rFonts w:ascii="Book Antiqua" w:hAnsi="Book Antiqua"/>
          <w:b/>
        </w:rPr>
        <w:t>1</w:t>
      </w:r>
      <w:r w:rsidR="00166274">
        <w:rPr>
          <w:rFonts w:ascii="Book Antiqua" w:hAnsi="Book Antiqua"/>
          <w:b/>
        </w:rPr>
        <w:t>5</w:t>
      </w:r>
      <w:r w:rsidRPr="003C56B1">
        <w:rPr>
          <w:rFonts w:ascii="Book Antiqua" w:hAnsi="Book Antiqua"/>
          <w:b/>
        </w:rPr>
        <w:t xml:space="preserve"> pages ahead of the current assignment </w:t>
      </w:r>
      <w:r w:rsidR="007119C3" w:rsidRPr="003C56B1">
        <w:rPr>
          <w:rFonts w:ascii="Book Antiqua" w:hAnsi="Book Antiqua"/>
          <w:b/>
        </w:rPr>
        <w:t xml:space="preserve">for the class session </w:t>
      </w:r>
      <w:r w:rsidRPr="003C56B1">
        <w:rPr>
          <w:rFonts w:ascii="Book Antiqua" w:hAnsi="Book Antiqua"/>
          <w:b/>
        </w:rPr>
        <w:t xml:space="preserve">in the </w:t>
      </w:r>
      <w:r w:rsidR="007119C3" w:rsidRPr="003C56B1">
        <w:rPr>
          <w:rFonts w:ascii="Book Antiqua" w:hAnsi="Book Antiqua"/>
          <w:b/>
        </w:rPr>
        <w:t>event</w:t>
      </w:r>
      <w:r w:rsidRPr="003C56B1">
        <w:rPr>
          <w:rFonts w:ascii="Book Antiqua" w:hAnsi="Book Antiqua"/>
          <w:b/>
        </w:rPr>
        <w:t xml:space="preserve"> that a particular class moves faster than anticipated. </w:t>
      </w:r>
    </w:p>
    <w:p w14:paraId="695FE4C1" w14:textId="01D8F3ED" w:rsidR="003C56B1" w:rsidRPr="00D446BC" w:rsidRDefault="003C56B1" w:rsidP="00D446BC">
      <w:pPr>
        <w:pStyle w:val="ListParagraph"/>
        <w:numPr>
          <w:ilvl w:val="0"/>
          <w:numId w:val="22"/>
        </w:numPr>
        <w:spacing w:before="120" w:after="120"/>
        <w:ind w:left="360"/>
        <w:contextualSpacing w:val="0"/>
        <w:jc w:val="both"/>
        <w:rPr>
          <w:rFonts w:ascii="Book Antiqua" w:hAnsi="Book Antiqua"/>
          <w:b/>
        </w:rPr>
      </w:pPr>
      <w:r w:rsidRPr="007B3A9B">
        <w:rPr>
          <w:rFonts w:ascii="Book Antiqua" w:hAnsi="Book Antiqua"/>
          <w:b/>
          <w:bCs/>
        </w:rPr>
        <w:t xml:space="preserve">Questions and </w:t>
      </w:r>
      <w:r w:rsidR="005F61B2">
        <w:rPr>
          <w:rFonts w:ascii="Book Antiqua" w:hAnsi="Book Antiqua"/>
          <w:b/>
          <w:bCs/>
        </w:rPr>
        <w:t>P</w:t>
      </w:r>
      <w:r w:rsidRPr="007B3A9B">
        <w:rPr>
          <w:rFonts w:ascii="Book Antiqua" w:hAnsi="Book Antiqua"/>
          <w:b/>
          <w:bCs/>
        </w:rPr>
        <w:t xml:space="preserve">roblems are at the end of each chapter. Please prepare to discuss </w:t>
      </w:r>
      <w:r w:rsidR="005F61B2">
        <w:rPr>
          <w:rFonts w:ascii="Book Antiqua" w:hAnsi="Book Antiqua"/>
          <w:b/>
          <w:bCs/>
        </w:rPr>
        <w:t>them</w:t>
      </w:r>
      <w:r w:rsidRPr="007B3A9B">
        <w:rPr>
          <w:rFonts w:ascii="Book Antiqua" w:hAnsi="Book Antiqua"/>
          <w:b/>
          <w:bCs/>
        </w:rPr>
        <w:t xml:space="preserve"> at the end of each chapter.</w:t>
      </w:r>
      <w:r w:rsidR="005F61B2">
        <w:rPr>
          <w:rFonts w:ascii="Book Antiqua" w:hAnsi="Book Antiqua"/>
          <w:b/>
        </w:rPr>
        <w:t xml:space="preserve"> We may not cover all of them, but we will try to cover them. </w:t>
      </w:r>
    </w:p>
    <w:p w14:paraId="6F46D845" w14:textId="663F1417" w:rsidR="00052974" w:rsidRDefault="003C56B1" w:rsidP="00D446BC">
      <w:pPr>
        <w:pStyle w:val="ListParagraph"/>
        <w:numPr>
          <w:ilvl w:val="0"/>
          <w:numId w:val="22"/>
        </w:numPr>
        <w:spacing w:before="120" w:after="120"/>
        <w:ind w:left="360"/>
        <w:contextualSpacing w:val="0"/>
        <w:jc w:val="both"/>
        <w:rPr>
          <w:rFonts w:ascii="Book Antiqua" w:hAnsi="Book Antiqua"/>
          <w:b/>
        </w:rPr>
      </w:pPr>
      <w:r>
        <w:rPr>
          <w:rFonts w:ascii="Book Antiqua" w:hAnsi="Book Antiqua"/>
          <w:b/>
          <w:bCs/>
        </w:rPr>
        <w:t xml:space="preserve">When the casebook cites key statutory provisions, students should review them. The DGCL can be accessed at: </w:t>
      </w:r>
      <w:hyperlink r:id="rId25" w:history="1">
        <w:r w:rsidRPr="00172D55">
          <w:rPr>
            <w:rStyle w:val="Hyperlink"/>
            <w:rFonts w:ascii="Book Antiqua" w:hAnsi="Book Antiqua"/>
            <w:b/>
            <w:bCs/>
          </w:rPr>
          <w:t>https://delcode.delaware.gov/title8/c001/</w:t>
        </w:r>
      </w:hyperlink>
      <w:r>
        <w:rPr>
          <w:rFonts w:ascii="Book Antiqua" w:hAnsi="Book Antiqua"/>
          <w:b/>
          <w:bCs/>
        </w:rPr>
        <w:t xml:space="preserve">. </w:t>
      </w:r>
      <w:r>
        <w:rPr>
          <w:rFonts w:ascii="Book Antiqua" w:hAnsi="Book Antiqua"/>
          <w:b/>
        </w:rPr>
        <w:t xml:space="preserve"> </w:t>
      </w:r>
    </w:p>
    <w:p w14:paraId="44FD5726" w14:textId="37474F97" w:rsidR="00BA711E" w:rsidRDefault="00BA711E" w:rsidP="00AD33CD">
      <w:pPr>
        <w:rPr>
          <w:rFonts w:ascii="Book Antiqua" w:hAnsi="Book Antiqua"/>
          <w:b/>
        </w:rPr>
      </w:pPr>
    </w:p>
    <w:p w14:paraId="45C52CB8" w14:textId="77777777" w:rsidR="00052974" w:rsidRPr="0048487B" w:rsidRDefault="00052974" w:rsidP="00AD33CD">
      <w:pPr>
        <w:rPr>
          <w:rFonts w:ascii="Book Antiqua" w:hAnsi="Book Antiqua"/>
          <w:b/>
        </w:rPr>
      </w:pPr>
    </w:p>
    <w:tbl>
      <w:tblPr>
        <w:tblStyle w:val="TableGrid"/>
        <w:tblW w:w="9473" w:type="dxa"/>
        <w:tblInd w:w="-5" w:type="dxa"/>
        <w:tblLayout w:type="fixed"/>
        <w:tblLook w:val="04A0" w:firstRow="1" w:lastRow="0" w:firstColumn="1" w:lastColumn="0" w:noHBand="0" w:noVBand="1"/>
      </w:tblPr>
      <w:tblGrid>
        <w:gridCol w:w="1283"/>
        <w:gridCol w:w="7020"/>
        <w:gridCol w:w="1170"/>
      </w:tblGrid>
      <w:tr w:rsidR="00AD33CD" w14:paraId="40E1FA44" w14:textId="77777777" w:rsidTr="004B1C31">
        <w:trPr>
          <w:trHeight w:val="773"/>
        </w:trPr>
        <w:tc>
          <w:tcPr>
            <w:tcW w:w="1283"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7020" w:type="dxa"/>
          </w:tcPr>
          <w:p w14:paraId="71771D00" w14:textId="77777777" w:rsidR="00AD33CD" w:rsidRPr="00E81769" w:rsidRDefault="00AD33CD" w:rsidP="00B57107">
            <w:pPr>
              <w:jc w:val="center"/>
              <w:rPr>
                <w:rFonts w:ascii="Book Antiqua" w:hAnsi="Book Antiqua"/>
                <w:b/>
              </w:rPr>
            </w:pPr>
          </w:p>
          <w:p w14:paraId="01A08EE7" w14:textId="63002D89"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170" w:type="dxa"/>
            <w:vAlign w:val="center"/>
          </w:tcPr>
          <w:p w14:paraId="0796D7D0" w14:textId="46A781E2" w:rsidR="0052514D" w:rsidRPr="00E81769" w:rsidRDefault="006A3BFD" w:rsidP="00052974">
            <w:pPr>
              <w:jc w:val="center"/>
              <w:rPr>
                <w:rFonts w:ascii="Book Antiqua" w:hAnsi="Book Antiqua"/>
                <w:b/>
              </w:rPr>
            </w:pPr>
            <w:r w:rsidRPr="00E81769">
              <w:rPr>
                <w:rFonts w:ascii="Book Antiqua" w:hAnsi="Book Antiqua"/>
                <w:b/>
              </w:rPr>
              <w:t>Text pages</w:t>
            </w:r>
          </w:p>
        </w:tc>
      </w:tr>
      <w:tr w:rsidR="00AD33CD" w14:paraId="57ADEFD4" w14:textId="77777777" w:rsidTr="004B1C31">
        <w:trPr>
          <w:trHeight w:val="692"/>
        </w:trPr>
        <w:tc>
          <w:tcPr>
            <w:tcW w:w="1283" w:type="dxa"/>
            <w:shd w:val="clear" w:color="auto" w:fill="FFFFFF" w:themeFill="background1"/>
          </w:tcPr>
          <w:p w14:paraId="72CEC4AE" w14:textId="0E5EF958" w:rsidR="00AD33CD" w:rsidRDefault="009B774B" w:rsidP="00B57107">
            <w:pPr>
              <w:jc w:val="center"/>
              <w:rPr>
                <w:rFonts w:ascii="Book Antiqua" w:hAnsi="Book Antiqua"/>
              </w:rPr>
            </w:pPr>
            <w:r>
              <w:rPr>
                <w:rFonts w:ascii="Book Antiqua" w:hAnsi="Book Antiqua"/>
              </w:rPr>
              <w:t>1</w:t>
            </w:r>
          </w:p>
          <w:p w14:paraId="39EBA2B8" w14:textId="1FCE34C7" w:rsidR="006B376D" w:rsidRDefault="006B376D" w:rsidP="00B57107">
            <w:pPr>
              <w:jc w:val="center"/>
              <w:rPr>
                <w:rFonts w:ascii="Book Antiqua" w:hAnsi="Book Antiqua"/>
              </w:rPr>
            </w:pPr>
          </w:p>
          <w:p w14:paraId="626028E5" w14:textId="77777777" w:rsidR="00763726" w:rsidRDefault="00763726" w:rsidP="00B57107">
            <w:pPr>
              <w:jc w:val="center"/>
              <w:rPr>
                <w:rFonts w:ascii="Book Antiqua" w:hAnsi="Book Antiqua"/>
              </w:rPr>
            </w:pPr>
          </w:p>
          <w:p w14:paraId="384ACE6B" w14:textId="3ADE7E74" w:rsidR="00763726" w:rsidRPr="00E81769" w:rsidRDefault="00763726" w:rsidP="00B57107">
            <w:pPr>
              <w:jc w:val="center"/>
              <w:rPr>
                <w:rFonts w:ascii="Book Antiqua" w:hAnsi="Book Antiqua"/>
              </w:rPr>
            </w:pPr>
          </w:p>
        </w:tc>
        <w:tc>
          <w:tcPr>
            <w:tcW w:w="7020" w:type="dxa"/>
            <w:shd w:val="clear" w:color="auto" w:fill="FFFFFF" w:themeFill="background1"/>
          </w:tcPr>
          <w:p w14:paraId="7B89829A" w14:textId="756C3C7B" w:rsidR="00D6339D" w:rsidRPr="006F6734" w:rsidRDefault="00FA51D2" w:rsidP="003D0CC5">
            <w:pPr>
              <w:jc w:val="both"/>
              <w:rPr>
                <w:rFonts w:ascii="Book Antiqua" w:hAnsi="Book Antiqua"/>
                <w:b/>
                <w:bCs/>
              </w:rPr>
            </w:pPr>
            <w:r w:rsidRPr="006F6734">
              <w:rPr>
                <w:rFonts w:ascii="Book Antiqua" w:hAnsi="Book Antiqua"/>
                <w:b/>
                <w:bCs/>
              </w:rPr>
              <w:t xml:space="preserve">Chapter </w:t>
            </w:r>
            <w:r w:rsidR="00A55D11" w:rsidRPr="006F6734">
              <w:rPr>
                <w:rFonts w:ascii="Book Antiqua" w:hAnsi="Book Antiqua"/>
                <w:b/>
                <w:bCs/>
              </w:rPr>
              <w:t>1</w:t>
            </w:r>
            <w:r w:rsidR="00D6339D" w:rsidRPr="006F6734">
              <w:rPr>
                <w:rFonts w:ascii="Book Antiqua" w:hAnsi="Book Antiqua"/>
                <w:b/>
                <w:bCs/>
              </w:rPr>
              <w:t xml:space="preserve">:  Introduction </w:t>
            </w:r>
          </w:p>
          <w:p w14:paraId="45F30A93" w14:textId="3354EE37" w:rsidR="00FF1776" w:rsidRDefault="00FA51D2">
            <w:pPr>
              <w:pStyle w:val="ListParagraph"/>
              <w:numPr>
                <w:ilvl w:val="0"/>
                <w:numId w:val="3"/>
              </w:numPr>
              <w:jc w:val="both"/>
              <w:rPr>
                <w:rFonts w:ascii="Book Antiqua" w:hAnsi="Book Antiqua"/>
              </w:rPr>
            </w:pPr>
            <w:r w:rsidRPr="00D6339D">
              <w:rPr>
                <w:rFonts w:ascii="Book Antiqua" w:hAnsi="Book Antiqua"/>
              </w:rPr>
              <w:t>Section</w:t>
            </w:r>
            <w:r w:rsidR="00D6339D">
              <w:rPr>
                <w:rFonts w:ascii="Book Antiqua" w:hAnsi="Book Antiqua"/>
              </w:rPr>
              <w:t xml:space="preserve"> A:  History </w:t>
            </w:r>
          </w:p>
          <w:p w14:paraId="5C438367" w14:textId="66B5DCF1" w:rsidR="00FD7849" w:rsidRDefault="00FD7849" w:rsidP="00FD7849">
            <w:pPr>
              <w:pStyle w:val="ListParagraph"/>
              <w:numPr>
                <w:ilvl w:val="0"/>
                <w:numId w:val="20"/>
              </w:numPr>
              <w:jc w:val="both"/>
              <w:rPr>
                <w:rFonts w:ascii="Book Antiqua" w:hAnsi="Book Antiqua"/>
              </w:rPr>
            </w:pPr>
            <w:r>
              <w:rPr>
                <w:rFonts w:ascii="Book Antiqua" w:hAnsi="Book Antiqua"/>
              </w:rPr>
              <w:t xml:space="preserve">Skim read this section, pages 1-15 (we will briskly cover this material in class) </w:t>
            </w:r>
          </w:p>
          <w:p w14:paraId="6B2881A8" w14:textId="5021A660" w:rsidR="00D6339D" w:rsidRDefault="00D6339D">
            <w:pPr>
              <w:pStyle w:val="ListParagraph"/>
              <w:numPr>
                <w:ilvl w:val="0"/>
                <w:numId w:val="3"/>
              </w:numPr>
              <w:jc w:val="both"/>
              <w:rPr>
                <w:rFonts w:ascii="Book Antiqua" w:hAnsi="Book Antiqua"/>
              </w:rPr>
            </w:pPr>
            <w:r>
              <w:rPr>
                <w:rFonts w:ascii="Book Antiqua" w:hAnsi="Book Antiqua"/>
              </w:rPr>
              <w:t xml:space="preserve">Section B:  Drivers of Mergers and Acquisitions </w:t>
            </w:r>
          </w:p>
          <w:p w14:paraId="35F890A2" w14:textId="2886D123" w:rsidR="00D6339D" w:rsidRDefault="00D6339D">
            <w:pPr>
              <w:pStyle w:val="ListParagraph"/>
              <w:numPr>
                <w:ilvl w:val="0"/>
                <w:numId w:val="3"/>
              </w:numPr>
              <w:jc w:val="both"/>
              <w:rPr>
                <w:rFonts w:ascii="Book Antiqua" w:hAnsi="Book Antiqua"/>
              </w:rPr>
            </w:pPr>
            <w:r>
              <w:rPr>
                <w:rFonts w:ascii="Book Antiqua" w:hAnsi="Book Antiqua"/>
              </w:rPr>
              <w:t>Section C</w:t>
            </w:r>
            <w:r w:rsidR="00C33F78">
              <w:rPr>
                <w:rFonts w:ascii="Book Antiqua" w:hAnsi="Book Antiqua"/>
              </w:rPr>
              <w:t xml:space="preserve">:  Note on Applicable Law </w:t>
            </w:r>
          </w:p>
          <w:p w14:paraId="57120635" w14:textId="1C6EF986" w:rsidR="00C33F78" w:rsidRDefault="00C33F78">
            <w:pPr>
              <w:pStyle w:val="ListParagraph"/>
              <w:numPr>
                <w:ilvl w:val="0"/>
                <w:numId w:val="3"/>
              </w:numPr>
              <w:jc w:val="both"/>
              <w:rPr>
                <w:rFonts w:ascii="Book Antiqua" w:hAnsi="Book Antiqua"/>
              </w:rPr>
            </w:pPr>
            <w:r>
              <w:rPr>
                <w:rFonts w:ascii="Book Antiqua" w:hAnsi="Book Antiqua"/>
              </w:rPr>
              <w:t xml:space="preserve">Section D:  Introduction Note on Valuation </w:t>
            </w:r>
          </w:p>
          <w:p w14:paraId="121DEB5C" w14:textId="60498F8A" w:rsidR="00D6339D" w:rsidRPr="00C33F78" w:rsidRDefault="00C33F78">
            <w:pPr>
              <w:pStyle w:val="ListParagraph"/>
              <w:numPr>
                <w:ilvl w:val="0"/>
                <w:numId w:val="3"/>
              </w:numPr>
              <w:jc w:val="both"/>
              <w:rPr>
                <w:rFonts w:ascii="Book Antiqua" w:hAnsi="Book Antiqua"/>
              </w:rPr>
            </w:pPr>
            <w:r>
              <w:rPr>
                <w:rFonts w:ascii="Book Antiqua" w:hAnsi="Book Antiqua"/>
              </w:rPr>
              <w:t xml:space="preserve">Section E:  The Deals in This Casebook </w:t>
            </w:r>
          </w:p>
          <w:p w14:paraId="08946853" w14:textId="77777777" w:rsidR="00D6339D" w:rsidRDefault="00D6339D" w:rsidP="003D0CC5">
            <w:pPr>
              <w:jc w:val="both"/>
              <w:rPr>
                <w:rFonts w:ascii="Book Antiqua" w:hAnsi="Book Antiqua"/>
              </w:rPr>
            </w:pPr>
          </w:p>
          <w:p w14:paraId="69705BC3" w14:textId="012FB0C1" w:rsidR="00FA51D2" w:rsidRPr="006F6734" w:rsidRDefault="00FA51D2" w:rsidP="003D0CC5">
            <w:pPr>
              <w:jc w:val="both"/>
              <w:rPr>
                <w:rFonts w:ascii="Book Antiqua" w:hAnsi="Book Antiqua"/>
                <w:b/>
                <w:bCs/>
              </w:rPr>
            </w:pPr>
            <w:r w:rsidRPr="006F6734">
              <w:rPr>
                <w:rFonts w:ascii="Book Antiqua" w:hAnsi="Book Antiqua"/>
                <w:b/>
                <w:bCs/>
              </w:rPr>
              <w:t xml:space="preserve">Chapter </w:t>
            </w:r>
            <w:r w:rsidR="00A55D11" w:rsidRPr="006F6734">
              <w:rPr>
                <w:rFonts w:ascii="Book Antiqua" w:hAnsi="Book Antiqua"/>
                <w:b/>
                <w:bCs/>
              </w:rPr>
              <w:t>2</w:t>
            </w:r>
            <w:r w:rsidR="00C33F78" w:rsidRPr="006F6734">
              <w:rPr>
                <w:rFonts w:ascii="Book Antiqua" w:hAnsi="Book Antiqua"/>
                <w:b/>
                <w:bCs/>
              </w:rPr>
              <w:t>:  Deal Structures</w:t>
            </w:r>
            <w:r w:rsidR="006F6734">
              <w:rPr>
                <w:rFonts w:ascii="Book Antiqua" w:hAnsi="Book Antiqua"/>
                <w:b/>
                <w:bCs/>
              </w:rPr>
              <w:t>:</w:t>
            </w:r>
            <w:r w:rsidR="00C33F78" w:rsidRPr="006F6734">
              <w:rPr>
                <w:rFonts w:ascii="Book Antiqua" w:hAnsi="Book Antiqua"/>
                <w:b/>
                <w:bCs/>
              </w:rPr>
              <w:t xml:space="preserve"> Introduction to Mergers and Asset Sales </w:t>
            </w:r>
          </w:p>
          <w:p w14:paraId="0C8FF3AC" w14:textId="13C071C7" w:rsidR="00C33F78" w:rsidRDefault="00C33F78">
            <w:pPr>
              <w:pStyle w:val="ListParagraph"/>
              <w:numPr>
                <w:ilvl w:val="0"/>
                <w:numId w:val="4"/>
              </w:numPr>
              <w:jc w:val="both"/>
              <w:rPr>
                <w:rFonts w:ascii="Book Antiqua" w:hAnsi="Book Antiqua"/>
              </w:rPr>
            </w:pPr>
            <w:r>
              <w:rPr>
                <w:rFonts w:ascii="Book Antiqua" w:hAnsi="Book Antiqua"/>
              </w:rPr>
              <w:t xml:space="preserve">Section A:  Building Your Deal Vocabulary </w:t>
            </w:r>
          </w:p>
          <w:p w14:paraId="58D98954" w14:textId="093ED92B" w:rsidR="00C33F78" w:rsidRPr="00C33F78" w:rsidRDefault="00C33F78">
            <w:pPr>
              <w:pStyle w:val="ListParagraph"/>
              <w:numPr>
                <w:ilvl w:val="0"/>
                <w:numId w:val="4"/>
              </w:numPr>
              <w:jc w:val="both"/>
              <w:rPr>
                <w:rFonts w:ascii="Book Antiqua" w:hAnsi="Book Antiqua"/>
              </w:rPr>
            </w:pPr>
            <w:r>
              <w:rPr>
                <w:rFonts w:ascii="Book Antiqua" w:hAnsi="Book Antiqua"/>
              </w:rPr>
              <w:t xml:space="preserve">Section B:  Statutory Merger </w:t>
            </w:r>
          </w:p>
          <w:p w14:paraId="5322B5E1" w14:textId="65462CEF" w:rsidR="00C73696" w:rsidRPr="003C56B1" w:rsidRDefault="00C73696" w:rsidP="003C56B1">
            <w:pPr>
              <w:jc w:val="both"/>
              <w:rPr>
                <w:rFonts w:ascii="Book Antiqua" w:hAnsi="Book Antiqua"/>
              </w:rPr>
            </w:pPr>
          </w:p>
        </w:tc>
        <w:tc>
          <w:tcPr>
            <w:tcW w:w="1170" w:type="dxa"/>
            <w:shd w:val="clear" w:color="auto" w:fill="FFFFFF" w:themeFill="background1"/>
          </w:tcPr>
          <w:p w14:paraId="03165E29" w14:textId="425FAFA2" w:rsidR="00427558" w:rsidRDefault="00FA51D2" w:rsidP="00B57107">
            <w:pPr>
              <w:jc w:val="center"/>
              <w:rPr>
                <w:rFonts w:ascii="Book Antiqua" w:hAnsi="Book Antiqua"/>
              </w:rPr>
            </w:pPr>
            <w:r>
              <w:rPr>
                <w:rFonts w:ascii="Book Antiqua" w:hAnsi="Book Antiqua"/>
              </w:rPr>
              <w:t>1-</w:t>
            </w:r>
            <w:r w:rsidR="00163B4E">
              <w:rPr>
                <w:rFonts w:ascii="Book Antiqua" w:hAnsi="Book Antiqua"/>
              </w:rPr>
              <w:t>28</w:t>
            </w:r>
          </w:p>
          <w:p w14:paraId="4C24F4C7" w14:textId="77777777" w:rsidR="00427558" w:rsidRDefault="00427558" w:rsidP="00B57107">
            <w:pPr>
              <w:jc w:val="center"/>
              <w:rPr>
                <w:rFonts w:ascii="Book Antiqua" w:hAnsi="Book Antiqua"/>
              </w:rPr>
            </w:pPr>
          </w:p>
          <w:p w14:paraId="592A1614" w14:textId="77777777" w:rsidR="00C33F78" w:rsidRDefault="00C33F78" w:rsidP="00B57107">
            <w:pPr>
              <w:jc w:val="center"/>
              <w:rPr>
                <w:rFonts w:ascii="Book Antiqua" w:hAnsi="Book Antiqua"/>
              </w:rPr>
            </w:pPr>
          </w:p>
          <w:p w14:paraId="4AF859F6" w14:textId="77777777" w:rsidR="00C33F78" w:rsidRDefault="00C33F78" w:rsidP="00B57107">
            <w:pPr>
              <w:jc w:val="center"/>
              <w:rPr>
                <w:rFonts w:ascii="Book Antiqua" w:hAnsi="Book Antiqua"/>
              </w:rPr>
            </w:pPr>
          </w:p>
          <w:p w14:paraId="78EA76FA" w14:textId="77777777" w:rsidR="00C33F78" w:rsidRDefault="00C33F78" w:rsidP="00B57107">
            <w:pPr>
              <w:jc w:val="center"/>
              <w:rPr>
                <w:rFonts w:ascii="Book Antiqua" w:hAnsi="Book Antiqua"/>
              </w:rPr>
            </w:pPr>
          </w:p>
          <w:p w14:paraId="0D139B00" w14:textId="77777777" w:rsidR="00C33F78" w:rsidRDefault="00C33F78" w:rsidP="00B57107">
            <w:pPr>
              <w:jc w:val="center"/>
              <w:rPr>
                <w:rFonts w:ascii="Book Antiqua" w:hAnsi="Book Antiqua"/>
              </w:rPr>
            </w:pPr>
          </w:p>
          <w:p w14:paraId="337DFB5D" w14:textId="77777777" w:rsidR="00C33F78" w:rsidRDefault="00C33F78" w:rsidP="00B57107">
            <w:pPr>
              <w:jc w:val="center"/>
              <w:rPr>
                <w:rFonts w:ascii="Book Antiqua" w:hAnsi="Book Antiqua"/>
              </w:rPr>
            </w:pPr>
          </w:p>
          <w:p w14:paraId="502F1DAF" w14:textId="77777777" w:rsidR="00FD7849" w:rsidRDefault="00FD7849" w:rsidP="00B57107">
            <w:pPr>
              <w:jc w:val="center"/>
              <w:rPr>
                <w:rFonts w:ascii="Book Antiqua" w:hAnsi="Book Antiqua"/>
              </w:rPr>
            </w:pPr>
          </w:p>
          <w:p w14:paraId="27700A32" w14:textId="77777777" w:rsidR="00FD7849" w:rsidRDefault="00FD7849" w:rsidP="00B57107">
            <w:pPr>
              <w:jc w:val="center"/>
              <w:rPr>
                <w:rFonts w:ascii="Book Antiqua" w:hAnsi="Book Antiqua"/>
              </w:rPr>
            </w:pPr>
          </w:p>
          <w:p w14:paraId="75A86169" w14:textId="3A92A927" w:rsidR="00AD33CD" w:rsidRPr="00E81769" w:rsidRDefault="00163B4E" w:rsidP="00B57107">
            <w:pPr>
              <w:jc w:val="center"/>
              <w:rPr>
                <w:rFonts w:ascii="Book Antiqua" w:hAnsi="Book Antiqua"/>
              </w:rPr>
            </w:pPr>
            <w:r>
              <w:rPr>
                <w:rFonts w:ascii="Book Antiqua" w:hAnsi="Book Antiqua"/>
              </w:rPr>
              <w:t>31</w:t>
            </w:r>
            <w:r w:rsidR="00FA51D2">
              <w:rPr>
                <w:rFonts w:ascii="Book Antiqua" w:hAnsi="Book Antiqua"/>
              </w:rPr>
              <w:t>-</w:t>
            </w:r>
            <w:r w:rsidR="0093219E">
              <w:rPr>
                <w:rFonts w:ascii="Book Antiqua" w:hAnsi="Book Antiqua"/>
              </w:rPr>
              <w:t>46</w:t>
            </w:r>
          </w:p>
        </w:tc>
      </w:tr>
      <w:tr w:rsidR="00AD33CD" w:rsidRPr="00420406" w14:paraId="6736307B" w14:textId="77777777" w:rsidTr="004B1C31">
        <w:tc>
          <w:tcPr>
            <w:tcW w:w="1283" w:type="dxa"/>
            <w:shd w:val="clear" w:color="auto" w:fill="FFFFFF" w:themeFill="background1"/>
          </w:tcPr>
          <w:p w14:paraId="699460F7" w14:textId="3CAC2AB5" w:rsidR="00763726" w:rsidRDefault="00AD33CD" w:rsidP="0007278A">
            <w:pPr>
              <w:jc w:val="center"/>
            </w:pPr>
            <w:r w:rsidRPr="00E81769">
              <w:t>2</w:t>
            </w:r>
          </w:p>
          <w:p w14:paraId="33EF2484" w14:textId="7858AFB8" w:rsidR="006B376D" w:rsidRDefault="006B376D" w:rsidP="0007278A">
            <w:pPr>
              <w:jc w:val="center"/>
            </w:pPr>
          </w:p>
          <w:p w14:paraId="46D68D6E" w14:textId="04A5F206" w:rsidR="00763726" w:rsidRPr="00E81769" w:rsidRDefault="00763726" w:rsidP="00100DC5">
            <w:pPr>
              <w:jc w:val="center"/>
            </w:pPr>
          </w:p>
        </w:tc>
        <w:tc>
          <w:tcPr>
            <w:tcW w:w="7020" w:type="dxa"/>
            <w:shd w:val="clear" w:color="auto" w:fill="FFFFFF" w:themeFill="background1"/>
          </w:tcPr>
          <w:p w14:paraId="36A6A934" w14:textId="60749D09" w:rsidR="00C33F78" w:rsidRPr="006F6734" w:rsidRDefault="00C33F78" w:rsidP="003D0CC5">
            <w:pPr>
              <w:jc w:val="both"/>
              <w:rPr>
                <w:rFonts w:ascii="Book Antiqua" w:hAnsi="Book Antiqua"/>
                <w:b/>
                <w:bCs/>
              </w:rPr>
            </w:pPr>
            <w:r w:rsidRPr="006F6734">
              <w:rPr>
                <w:rFonts w:ascii="Book Antiqua" w:hAnsi="Book Antiqua"/>
                <w:b/>
                <w:bCs/>
              </w:rPr>
              <w:t>Chapter 2:  Deal Structures</w:t>
            </w:r>
            <w:r w:rsidR="006F6734">
              <w:rPr>
                <w:rFonts w:ascii="Book Antiqua" w:hAnsi="Book Antiqua"/>
                <w:b/>
                <w:bCs/>
              </w:rPr>
              <w:t>:</w:t>
            </w:r>
            <w:r w:rsidRPr="006F6734">
              <w:rPr>
                <w:rFonts w:ascii="Book Antiqua" w:hAnsi="Book Antiqua"/>
                <w:b/>
                <w:bCs/>
              </w:rPr>
              <w:t xml:space="preserve"> Introduction to Mergers and Asset Sales  </w:t>
            </w:r>
          </w:p>
          <w:p w14:paraId="26F22B8C" w14:textId="2E7CCC9C" w:rsidR="00AD33CD" w:rsidRDefault="00C170C2">
            <w:pPr>
              <w:pStyle w:val="ListParagraph"/>
              <w:numPr>
                <w:ilvl w:val="0"/>
                <w:numId w:val="5"/>
              </w:numPr>
              <w:jc w:val="both"/>
              <w:rPr>
                <w:rFonts w:ascii="Book Antiqua" w:hAnsi="Book Antiqua"/>
              </w:rPr>
            </w:pPr>
            <w:r w:rsidRPr="00C33F78">
              <w:rPr>
                <w:rFonts w:ascii="Book Antiqua" w:hAnsi="Book Antiqua"/>
              </w:rPr>
              <w:t xml:space="preserve">Section </w:t>
            </w:r>
            <w:r w:rsidR="0093219E" w:rsidRPr="00C33F78">
              <w:rPr>
                <w:rFonts w:ascii="Book Antiqua" w:hAnsi="Book Antiqua"/>
              </w:rPr>
              <w:t>C</w:t>
            </w:r>
            <w:r w:rsidR="00C33F78">
              <w:rPr>
                <w:rFonts w:ascii="Book Antiqua" w:hAnsi="Book Antiqua"/>
              </w:rPr>
              <w:t xml:space="preserve">:  Mergers in Practice, The Dell Example </w:t>
            </w:r>
          </w:p>
          <w:p w14:paraId="5A487B25" w14:textId="45A0AA16" w:rsidR="00C33F78" w:rsidRDefault="00C33F78">
            <w:pPr>
              <w:pStyle w:val="ListParagraph"/>
              <w:numPr>
                <w:ilvl w:val="0"/>
                <w:numId w:val="5"/>
              </w:numPr>
              <w:jc w:val="both"/>
              <w:rPr>
                <w:rFonts w:ascii="Book Antiqua" w:hAnsi="Book Antiqua"/>
              </w:rPr>
            </w:pPr>
            <w:r>
              <w:rPr>
                <w:rFonts w:ascii="Book Antiqua" w:hAnsi="Book Antiqua"/>
              </w:rPr>
              <w:t xml:space="preserve">Section D:  Sale of All or Substantially All Assets </w:t>
            </w:r>
          </w:p>
          <w:p w14:paraId="3A28803F" w14:textId="665307DD" w:rsidR="00C33F78" w:rsidRPr="00C33F78" w:rsidRDefault="00C33F78">
            <w:pPr>
              <w:pStyle w:val="ListParagraph"/>
              <w:numPr>
                <w:ilvl w:val="0"/>
                <w:numId w:val="5"/>
              </w:numPr>
              <w:jc w:val="both"/>
              <w:rPr>
                <w:rFonts w:ascii="Book Antiqua" w:hAnsi="Book Antiqua"/>
              </w:rPr>
            </w:pPr>
            <w:r>
              <w:rPr>
                <w:rFonts w:ascii="Book Antiqua" w:hAnsi="Book Antiqua"/>
              </w:rPr>
              <w:t xml:space="preserve">Section E:  Tax Considerations </w:t>
            </w:r>
          </w:p>
          <w:p w14:paraId="697CC8DE" w14:textId="7C36A6BF" w:rsidR="004F3FE5" w:rsidRDefault="004F3FE5" w:rsidP="003D0CC5">
            <w:pPr>
              <w:jc w:val="both"/>
              <w:rPr>
                <w:rFonts w:ascii="Book Antiqua" w:hAnsi="Book Antiqua"/>
              </w:rPr>
            </w:pPr>
          </w:p>
          <w:p w14:paraId="05C572D0" w14:textId="1C58E2E6" w:rsidR="00C33F78" w:rsidRPr="006F6734" w:rsidRDefault="00A12A30" w:rsidP="00C33F78">
            <w:pPr>
              <w:jc w:val="both"/>
              <w:rPr>
                <w:rFonts w:ascii="Book Antiqua" w:hAnsi="Book Antiqua"/>
                <w:b/>
                <w:bCs/>
              </w:rPr>
            </w:pPr>
            <w:r w:rsidRPr="006F6734">
              <w:rPr>
                <w:rFonts w:ascii="Book Antiqua" w:hAnsi="Book Antiqua"/>
                <w:b/>
                <w:bCs/>
              </w:rPr>
              <w:t>Chapter 3</w:t>
            </w:r>
            <w:r w:rsidR="00C33F78" w:rsidRPr="006F6734">
              <w:rPr>
                <w:rFonts w:ascii="Book Antiqua" w:hAnsi="Book Antiqua"/>
                <w:b/>
                <w:bCs/>
              </w:rPr>
              <w:t xml:space="preserve">:  Appraisal Rights </w:t>
            </w:r>
          </w:p>
          <w:p w14:paraId="02D23FC0" w14:textId="099A912D" w:rsidR="00C33F78" w:rsidRDefault="00C33F78">
            <w:pPr>
              <w:pStyle w:val="ListParagraph"/>
              <w:numPr>
                <w:ilvl w:val="0"/>
                <w:numId w:val="5"/>
              </w:numPr>
              <w:jc w:val="both"/>
              <w:rPr>
                <w:rFonts w:ascii="Book Antiqua" w:hAnsi="Book Antiqua"/>
              </w:rPr>
            </w:pPr>
            <w:r w:rsidRPr="00C33F78">
              <w:rPr>
                <w:rFonts w:ascii="Book Antiqua" w:hAnsi="Book Antiqua"/>
              </w:rPr>
              <w:t xml:space="preserve">Section </w:t>
            </w:r>
            <w:r>
              <w:rPr>
                <w:rFonts w:ascii="Book Antiqua" w:hAnsi="Book Antiqua"/>
              </w:rPr>
              <w:t xml:space="preserve">A:  Perfecting Appraisal Rights? </w:t>
            </w:r>
          </w:p>
          <w:p w14:paraId="56E46657" w14:textId="078C1F2B" w:rsidR="00C33F78" w:rsidRDefault="00C33F78">
            <w:pPr>
              <w:pStyle w:val="ListParagraph"/>
              <w:numPr>
                <w:ilvl w:val="0"/>
                <w:numId w:val="5"/>
              </w:numPr>
              <w:jc w:val="both"/>
              <w:rPr>
                <w:rFonts w:ascii="Book Antiqua" w:hAnsi="Book Antiqua"/>
              </w:rPr>
            </w:pPr>
            <w:r>
              <w:rPr>
                <w:rFonts w:ascii="Book Antiqua" w:hAnsi="Book Antiqua"/>
              </w:rPr>
              <w:t xml:space="preserve">Section B:  The Market Out Exception </w:t>
            </w:r>
          </w:p>
          <w:p w14:paraId="4C72EF13" w14:textId="3DF519F5" w:rsidR="00BA711E" w:rsidRPr="0052514D" w:rsidRDefault="00C33F78" w:rsidP="002664D3">
            <w:pPr>
              <w:pStyle w:val="ListParagraph"/>
              <w:numPr>
                <w:ilvl w:val="0"/>
                <w:numId w:val="5"/>
              </w:numPr>
              <w:jc w:val="both"/>
              <w:rPr>
                <w:rFonts w:ascii="Book Antiqua" w:hAnsi="Book Antiqua"/>
              </w:rPr>
            </w:pPr>
            <w:r>
              <w:rPr>
                <w:rFonts w:ascii="Book Antiqua" w:hAnsi="Book Antiqua"/>
              </w:rPr>
              <w:t xml:space="preserve">Section C:  </w:t>
            </w:r>
            <w:r w:rsidR="00221C48">
              <w:rPr>
                <w:rFonts w:ascii="Book Antiqua" w:hAnsi="Book Antiqua"/>
              </w:rPr>
              <w:t xml:space="preserve">Appraisal Arbitrage and “Fair Value” </w:t>
            </w:r>
          </w:p>
          <w:p w14:paraId="6BE14F9F" w14:textId="55EEFD29" w:rsidR="00D97D8D" w:rsidRPr="002664D3" w:rsidRDefault="00D97D8D" w:rsidP="002664D3">
            <w:pPr>
              <w:jc w:val="both"/>
              <w:rPr>
                <w:rFonts w:ascii="Book Antiqua" w:hAnsi="Book Antiqua"/>
              </w:rPr>
            </w:pPr>
          </w:p>
        </w:tc>
        <w:tc>
          <w:tcPr>
            <w:tcW w:w="1170" w:type="dxa"/>
            <w:shd w:val="clear" w:color="auto" w:fill="FFFFFF" w:themeFill="background1"/>
          </w:tcPr>
          <w:p w14:paraId="161110DE" w14:textId="50B8E862" w:rsidR="00AD33CD" w:rsidRDefault="004F3FE5" w:rsidP="00B57107">
            <w:pPr>
              <w:jc w:val="center"/>
            </w:pPr>
            <w:r>
              <w:t>46</w:t>
            </w:r>
            <w:r w:rsidR="00C170C2">
              <w:t>-</w:t>
            </w:r>
            <w:r>
              <w:t>6</w:t>
            </w:r>
            <w:r w:rsidR="00100DC5">
              <w:t>3</w:t>
            </w:r>
          </w:p>
          <w:p w14:paraId="2F123501" w14:textId="68882613" w:rsidR="00A12A30" w:rsidRDefault="00A12A30" w:rsidP="00B57107">
            <w:pPr>
              <w:jc w:val="center"/>
            </w:pPr>
          </w:p>
          <w:p w14:paraId="2C606EF7" w14:textId="77777777" w:rsidR="00221C48" w:rsidRDefault="00221C48" w:rsidP="00A12A30">
            <w:pPr>
              <w:jc w:val="center"/>
            </w:pPr>
          </w:p>
          <w:p w14:paraId="7B56D819" w14:textId="77777777" w:rsidR="00221C48" w:rsidRDefault="00221C48" w:rsidP="00A12A30">
            <w:pPr>
              <w:jc w:val="center"/>
            </w:pPr>
          </w:p>
          <w:p w14:paraId="0A84CDF4" w14:textId="77777777" w:rsidR="00221C48" w:rsidRDefault="00221C48" w:rsidP="00A12A30">
            <w:pPr>
              <w:jc w:val="center"/>
            </w:pPr>
          </w:p>
          <w:p w14:paraId="0FF173F1" w14:textId="77777777" w:rsidR="00221C48" w:rsidRDefault="00221C48" w:rsidP="00A12A30">
            <w:pPr>
              <w:jc w:val="center"/>
            </w:pPr>
          </w:p>
          <w:p w14:paraId="4EE5B537" w14:textId="06C26F89" w:rsidR="004F3FE5" w:rsidRDefault="00A12A30" w:rsidP="00A12A30">
            <w:pPr>
              <w:jc w:val="center"/>
            </w:pPr>
            <w:r>
              <w:t>6</w:t>
            </w:r>
            <w:r w:rsidR="00100DC5">
              <w:t>5</w:t>
            </w:r>
            <w:r>
              <w:t>-</w:t>
            </w:r>
            <w:r w:rsidR="002664D3">
              <w:t>8</w:t>
            </w:r>
            <w:r>
              <w:t>7</w:t>
            </w:r>
          </w:p>
          <w:p w14:paraId="3DB86CE4" w14:textId="27C0D0BE" w:rsidR="004F3FE5" w:rsidRPr="00E81769" w:rsidRDefault="004F3FE5" w:rsidP="00A12A30">
            <w:pPr>
              <w:jc w:val="center"/>
            </w:pPr>
          </w:p>
        </w:tc>
      </w:tr>
      <w:tr w:rsidR="00AD33CD" w:rsidRPr="00420406" w14:paraId="6020CFFC" w14:textId="77777777" w:rsidTr="004B1C31">
        <w:tc>
          <w:tcPr>
            <w:tcW w:w="1283" w:type="dxa"/>
            <w:shd w:val="clear" w:color="auto" w:fill="FFFFFF" w:themeFill="background1"/>
          </w:tcPr>
          <w:p w14:paraId="1A8A5C25" w14:textId="65F15B5D" w:rsidR="00763726" w:rsidRPr="0052514D" w:rsidRDefault="009B774B" w:rsidP="004F3FE5">
            <w:pPr>
              <w:jc w:val="center"/>
            </w:pPr>
            <w:r w:rsidRPr="0052514D">
              <w:t>3</w:t>
            </w:r>
          </w:p>
          <w:p w14:paraId="774AF552" w14:textId="11B23245" w:rsidR="006B376D" w:rsidRPr="0052514D" w:rsidRDefault="006B376D" w:rsidP="004F3FE5">
            <w:pPr>
              <w:jc w:val="center"/>
            </w:pPr>
          </w:p>
          <w:p w14:paraId="24EECDBB" w14:textId="6D428766" w:rsidR="00763726" w:rsidRPr="0052514D" w:rsidRDefault="00763726" w:rsidP="00100DC5">
            <w:pPr>
              <w:jc w:val="center"/>
            </w:pPr>
          </w:p>
        </w:tc>
        <w:tc>
          <w:tcPr>
            <w:tcW w:w="7020" w:type="dxa"/>
            <w:shd w:val="clear" w:color="auto" w:fill="FFFFFF" w:themeFill="background1"/>
          </w:tcPr>
          <w:p w14:paraId="1C13BED8" w14:textId="77777777" w:rsidR="00221C48" w:rsidRPr="0052514D" w:rsidRDefault="00221C48" w:rsidP="00221C48">
            <w:pPr>
              <w:jc w:val="both"/>
              <w:rPr>
                <w:rFonts w:ascii="Book Antiqua" w:hAnsi="Book Antiqua"/>
                <w:b/>
                <w:bCs/>
              </w:rPr>
            </w:pPr>
            <w:r w:rsidRPr="0052514D">
              <w:rPr>
                <w:rFonts w:ascii="Book Antiqua" w:hAnsi="Book Antiqua"/>
                <w:b/>
                <w:bCs/>
              </w:rPr>
              <w:t xml:space="preserve">Chapter 3:  Appraisal Rights </w:t>
            </w:r>
          </w:p>
          <w:p w14:paraId="54F86BE9" w14:textId="77777777" w:rsidR="002664D3" w:rsidRPr="0052514D" w:rsidRDefault="002664D3" w:rsidP="002664D3">
            <w:pPr>
              <w:pStyle w:val="ListParagraph"/>
              <w:numPr>
                <w:ilvl w:val="0"/>
                <w:numId w:val="5"/>
              </w:numPr>
              <w:jc w:val="both"/>
              <w:rPr>
                <w:rFonts w:ascii="Book Antiqua" w:hAnsi="Book Antiqua"/>
              </w:rPr>
            </w:pPr>
            <w:r w:rsidRPr="0052514D">
              <w:rPr>
                <w:rFonts w:ascii="Book Antiqua" w:hAnsi="Book Antiqua"/>
              </w:rPr>
              <w:t xml:space="preserve">Section C:  Appraisal Arbitrage and “Fair Value” </w:t>
            </w:r>
          </w:p>
          <w:p w14:paraId="59509D43" w14:textId="77777777" w:rsidR="002664D3" w:rsidRPr="0052514D" w:rsidRDefault="002664D3" w:rsidP="002664D3">
            <w:pPr>
              <w:pStyle w:val="ListParagraph"/>
              <w:numPr>
                <w:ilvl w:val="1"/>
                <w:numId w:val="5"/>
              </w:numPr>
              <w:jc w:val="both"/>
              <w:rPr>
                <w:rFonts w:ascii="Book Antiqua" w:hAnsi="Book Antiqua"/>
                <w:i/>
                <w:iCs/>
              </w:rPr>
            </w:pPr>
            <w:r w:rsidRPr="0052514D">
              <w:rPr>
                <w:rFonts w:ascii="Book Antiqua" w:hAnsi="Book Antiqua"/>
                <w:i/>
                <w:iCs/>
              </w:rPr>
              <w:t>DFC Global Corp. v. Muirfield Value Partners</w:t>
            </w:r>
          </w:p>
          <w:p w14:paraId="3C8D3671" w14:textId="0E920F67"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D:  Quasi-Appraisal Proceedings  </w:t>
            </w:r>
          </w:p>
          <w:p w14:paraId="146597C5" w14:textId="21FA854D" w:rsidR="00221C48" w:rsidRPr="0052514D" w:rsidRDefault="00221C48">
            <w:pPr>
              <w:pStyle w:val="ListParagraph"/>
              <w:numPr>
                <w:ilvl w:val="1"/>
                <w:numId w:val="5"/>
              </w:numPr>
              <w:jc w:val="both"/>
              <w:rPr>
                <w:rFonts w:ascii="Book Antiqua" w:hAnsi="Book Antiqua"/>
                <w:i/>
                <w:iCs/>
              </w:rPr>
            </w:pPr>
            <w:r w:rsidRPr="0052514D">
              <w:rPr>
                <w:rFonts w:ascii="Book Antiqua" w:hAnsi="Book Antiqua"/>
                <w:i/>
                <w:iCs/>
              </w:rPr>
              <w:lastRenderedPageBreak/>
              <w:t xml:space="preserve">Berger v. </w:t>
            </w:r>
            <w:proofErr w:type="spellStart"/>
            <w:r w:rsidRPr="0052514D">
              <w:rPr>
                <w:rFonts w:ascii="Book Antiqua" w:hAnsi="Book Antiqua"/>
                <w:i/>
                <w:iCs/>
              </w:rPr>
              <w:t>Pubco</w:t>
            </w:r>
            <w:proofErr w:type="spellEnd"/>
            <w:r w:rsidRPr="0052514D">
              <w:rPr>
                <w:rFonts w:ascii="Book Antiqua" w:hAnsi="Book Antiqua"/>
                <w:i/>
                <w:iCs/>
              </w:rPr>
              <w:t xml:space="preserve"> Corp.</w:t>
            </w:r>
          </w:p>
          <w:p w14:paraId="106E5BF4" w14:textId="61363AE0"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E:  Appraisal Rights and Other Remedies, When Are Appraisal Rights Exclusive? </w:t>
            </w:r>
          </w:p>
          <w:p w14:paraId="74CA5D61" w14:textId="655BD1F2"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F:  Delaware and MBCA Compared </w:t>
            </w:r>
          </w:p>
          <w:p w14:paraId="12E52896" w14:textId="03FCA2EC" w:rsidR="00A12A30" w:rsidRPr="0052514D" w:rsidRDefault="00A12A30" w:rsidP="0093219E">
            <w:pPr>
              <w:jc w:val="both"/>
              <w:rPr>
                <w:rFonts w:ascii="Book Antiqua" w:hAnsi="Book Antiqua"/>
              </w:rPr>
            </w:pPr>
          </w:p>
          <w:p w14:paraId="0E02D9C1" w14:textId="2A293169" w:rsidR="006F3C2B" w:rsidRPr="0052514D" w:rsidRDefault="006F3C2B" w:rsidP="0093219E">
            <w:pPr>
              <w:jc w:val="both"/>
              <w:rPr>
                <w:rFonts w:ascii="Book Antiqua" w:hAnsi="Book Antiqua"/>
                <w:b/>
                <w:bCs/>
              </w:rPr>
            </w:pPr>
            <w:r w:rsidRPr="0052514D">
              <w:rPr>
                <w:rFonts w:ascii="Book Antiqua" w:hAnsi="Book Antiqua"/>
                <w:b/>
                <w:bCs/>
              </w:rPr>
              <w:t xml:space="preserve">Note:  </w:t>
            </w:r>
            <w:r w:rsidR="006C4C6A">
              <w:rPr>
                <w:rFonts w:ascii="Book Antiqua" w:hAnsi="Book Antiqua"/>
                <w:b/>
                <w:bCs/>
              </w:rPr>
              <w:t>In light of the fact that this course is 2 credits only, w</w:t>
            </w:r>
            <w:r w:rsidRPr="0052514D">
              <w:rPr>
                <w:rFonts w:ascii="Book Antiqua" w:hAnsi="Book Antiqua"/>
                <w:b/>
                <w:bCs/>
              </w:rPr>
              <w:t>e will skip Chapters 4 through 8</w:t>
            </w:r>
            <w:r w:rsidR="00EC2413" w:rsidRPr="0052514D">
              <w:rPr>
                <w:rFonts w:ascii="Book Antiqua" w:hAnsi="Book Antiqua"/>
                <w:b/>
                <w:bCs/>
              </w:rPr>
              <w:t xml:space="preserve"> (aspects of federal securities laws including proxy regulation). </w:t>
            </w:r>
          </w:p>
          <w:p w14:paraId="2AF9B7C0" w14:textId="77777777" w:rsidR="006F3C2B" w:rsidRPr="0052514D" w:rsidRDefault="006F3C2B" w:rsidP="0093219E">
            <w:pPr>
              <w:jc w:val="both"/>
              <w:rPr>
                <w:rFonts w:ascii="Book Antiqua" w:hAnsi="Book Antiqua"/>
              </w:rPr>
            </w:pPr>
          </w:p>
          <w:p w14:paraId="246B9258" w14:textId="7D3D59FC" w:rsidR="00221C48" w:rsidRPr="0052514D" w:rsidRDefault="00A12A30" w:rsidP="0093219E">
            <w:pPr>
              <w:jc w:val="both"/>
              <w:rPr>
                <w:rFonts w:ascii="Book Antiqua" w:hAnsi="Book Antiqua"/>
                <w:b/>
                <w:bCs/>
              </w:rPr>
            </w:pPr>
            <w:r w:rsidRPr="0052514D">
              <w:rPr>
                <w:rFonts w:ascii="Book Antiqua" w:hAnsi="Book Antiqua"/>
                <w:b/>
                <w:bCs/>
              </w:rPr>
              <w:t>Chapter 9</w:t>
            </w:r>
            <w:r w:rsidR="00B21C90" w:rsidRPr="0052514D">
              <w:rPr>
                <w:rFonts w:ascii="Book Antiqua" w:hAnsi="Book Antiqua"/>
                <w:b/>
                <w:bCs/>
              </w:rPr>
              <w:t xml:space="preserve">:  Accounting </w:t>
            </w:r>
          </w:p>
          <w:p w14:paraId="056A6DFF" w14:textId="754986C5" w:rsidR="00A12A30" w:rsidRPr="0052514D" w:rsidRDefault="00A12A30">
            <w:pPr>
              <w:pStyle w:val="ListParagraph"/>
              <w:numPr>
                <w:ilvl w:val="0"/>
                <w:numId w:val="6"/>
              </w:numPr>
              <w:jc w:val="both"/>
              <w:rPr>
                <w:rFonts w:ascii="Book Antiqua" w:hAnsi="Book Antiqua"/>
              </w:rPr>
            </w:pPr>
            <w:r w:rsidRPr="0052514D">
              <w:rPr>
                <w:rFonts w:ascii="Book Antiqua" w:hAnsi="Book Antiqua"/>
              </w:rPr>
              <w:t>Section</w:t>
            </w:r>
            <w:r w:rsidR="00221C48" w:rsidRPr="0052514D">
              <w:rPr>
                <w:rFonts w:ascii="Book Antiqua" w:hAnsi="Book Antiqua"/>
              </w:rPr>
              <w:t xml:space="preserve"> A:  </w:t>
            </w:r>
            <w:r w:rsidR="00B21C90" w:rsidRPr="0052514D">
              <w:rPr>
                <w:rFonts w:ascii="Book Antiqua" w:hAnsi="Book Antiqua"/>
              </w:rPr>
              <w:t xml:space="preserve">Introduction </w:t>
            </w:r>
          </w:p>
          <w:p w14:paraId="3B2D53C6" w14:textId="1A4B3205" w:rsidR="00221C48" w:rsidRPr="0052514D" w:rsidRDefault="00221C48">
            <w:pPr>
              <w:pStyle w:val="ListParagraph"/>
              <w:numPr>
                <w:ilvl w:val="0"/>
                <w:numId w:val="6"/>
              </w:numPr>
              <w:jc w:val="both"/>
              <w:rPr>
                <w:rFonts w:ascii="Book Antiqua" w:hAnsi="Book Antiqua"/>
              </w:rPr>
            </w:pPr>
            <w:r w:rsidRPr="0052514D">
              <w:rPr>
                <w:rFonts w:ascii="Book Antiqua" w:hAnsi="Book Antiqua"/>
              </w:rPr>
              <w:t xml:space="preserve">Section B:  </w:t>
            </w:r>
            <w:r w:rsidR="00B21C90" w:rsidRPr="0052514D">
              <w:rPr>
                <w:rFonts w:ascii="Book Antiqua" w:hAnsi="Book Antiqua"/>
              </w:rPr>
              <w:t xml:space="preserve">Balance Sheet </w:t>
            </w:r>
          </w:p>
          <w:p w14:paraId="5C63D4C2" w14:textId="1B50D07D" w:rsidR="00C73696" w:rsidRPr="0052514D" w:rsidRDefault="00221C48" w:rsidP="002664D3">
            <w:pPr>
              <w:pStyle w:val="ListParagraph"/>
              <w:numPr>
                <w:ilvl w:val="0"/>
                <w:numId w:val="6"/>
              </w:numPr>
              <w:jc w:val="both"/>
              <w:rPr>
                <w:rFonts w:ascii="Book Antiqua" w:hAnsi="Book Antiqua"/>
              </w:rPr>
            </w:pPr>
            <w:r w:rsidRPr="0052514D">
              <w:rPr>
                <w:rFonts w:ascii="Book Antiqua" w:hAnsi="Book Antiqua"/>
              </w:rPr>
              <w:t xml:space="preserve">Section C:  </w:t>
            </w:r>
            <w:r w:rsidR="00B21C90" w:rsidRPr="0052514D">
              <w:rPr>
                <w:rFonts w:ascii="Book Antiqua" w:hAnsi="Book Antiqua"/>
              </w:rPr>
              <w:t xml:space="preserve">Income Statement </w:t>
            </w:r>
          </w:p>
          <w:p w14:paraId="065B11A0" w14:textId="153BDFCA" w:rsidR="00E7456E" w:rsidRPr="0052514D" w:rsidRDefault="00E7456E" w:rsidP="00E7456E">
            <w:pPr>
              <w:jc w:val="both"/>
              <w:rPr>
                <w:rFonts w:ascii="Book Antiqua" w:hAnsi="Book Antiqua"/>
              </w:rPr>
            </w:pPr>
          </w:p>
          <w:p w14:paraId="3504FFE8" w14:textId="2B5E0FCB" w:rsidR="00E7456E" w:rsidRPr="0052514D" w:rsidRDefault="00E7456E" w:rsidP="00E7456E">
            <w:pPr>
              <w:jc w:val="both"/>
              <w:rPr>
                <w:rFonts w:ascii="Book Antiqua" w:hAnsi="Book Antiqua"/>
                <w:b/>
                <w:bCs/>
              </w:rPr>
            </w:pPr>
            <w:r w:rsidRPr="0052514D">
              <w:rPr>
                <w:rFonts w:ascii="Book Antiqua" w:hAnsi="Book Antiqua"/>
                <w:b/>
                <w:bCs/>
              </w:rPr>
              <w:t>Note:  On Twitter’s Form 10-K uploaded on Canvass, find “Item 8</w:t>
            </w:r>
            <w:proofErr w:type="gramStart"/>
            <w:r w:rsidRPr="0052514D">
              <w:rPr>
                <w:rFonts w:ascii="Book Antiqua" w:hAnsi="Book Antiqua"/>
                <w:b/>
                <w:bCs/>
              </w:rPr>
              <w:t>”</w:t>
            </w:r>
            <w:proofErr w:type="gramEnd"/>
            <w:r w:rsidRPr="0052514D">
              <w:rPr>
                <w:rFonts w:ascii="Book Antiqua" w:hAnsi="Book Antiqua"/>
                <w:b/>
                <w:bCs/>
              </w:rPr>
              <w:t xml:space="preserve"> and then quickly review “Consolidated Balance Sheets” and “Consolidated Statements of Operations.” Review </w:t>
            </w:r>
            <w:r w:rsidR="00A63FC3">
              <w:rPr>
                <w:rFonts w:ascii="Book Antiqua" w:hAnsi="Book Antiqua"/>
                <w:b/>
                <w:bCs/>
              </w:rPr>
              <w:t>them</w:t>
            </w:r>
            <w:r w:rsidRPr="0052514D">
              <w:rPr>
                <w:rFonts w:ascii="Book Antiqua" w:hAnsi="Book Antiqua"/>
                <w:b/>
                <w:bCs/>
              </w:rPr>
              <w:t xml:space="preserve"> in light of the lesson learned in Chapter 9.  </w:t>
            </w:r>
          </w:p>
          <w:p w14:paraId="3FCAD3A3" w14:textId="53092ED3" w:rsidR="00C73696" w:rsidRPr="0052514D" w:rsidRDefault="00C73696" w:rsidP="002664D3">
            <w:pPr>
              <w:jc w:val="both"/>
              <w:rPr>
                <w:rFonts w:ascii="Book Antiqua" w:hAnsi="Book Antiqua"/>
              </w:rPr>
            </w:pPr>
          </w:p>
        </w:tc>
        <w:tc>
          <w:tcPr>
            <w:tcW w:w="1170" w:type="dxa"/>
            <w:shd w:val="clear" w:color="auto" w:fill="FFFFFF" w:themeFill="background1"/>
          </w:tcPr>
          <w:p w14:paraId="21595C4C" w14:textId="135B37F9" w:rsidR="00A12A30" w:rsidRDefault="002664D3" w:rsidP="00A12A30">
            <w:pPr>
              <w:jc w:val="center"/>
            </w:pPr>
            <w:r>
              <w:lastRenderedPageBreak/>
              <w:t>8</w:t>
            </w:r>
            <w:r w:rsidR="00A12A30">
              <w:t>7-10</w:t>
            </w:r>
            <w:r w:rsidR="00100DC5">
              <w:t>8</w:t>
            </w:r>
          </w:p>
          <w:p w14:paraId="7F1AC13F" w14:textId="77777777" w:rsidR="00A12A30" w:rsidRDefault="00A12A30" w:rsidP="00A12A30"/>
          <w:p w14:paraId="052E7327" w14:textId="77777777" w:rsidR="00221C48" w:rsidRDefault="00221C48" w:rsidP="0093219E">
            <w:pPr>
              <w:jc w:val="center"/>
            </w:pPr>
          </w:p>
          <w:p w14:paraId="58FAAB99" w14:textId="77777777" w:rsidR="00221C48" w:rsidRDefault="00221C48" w:rsidP="0093219E">
            <w:pPr>
              <w:jc w:val="center"/>
            </w:pPr>
          </w:p>
          <w:p w14:paraId="4A257E5A" w14:textId="77777777" w:rsidR="00221C48" w:rsidRDefault="00221C48" w:rsidP="0093219E">
            <w:pPr>
              <w:jc w:val="center"/>
            </w:pPr>
          </w:p>
          <w:p w14:paraId="454B35AA" w14:textId="77777777" w:rsidR="00221C48" w:rsidRDefault="00221C48" w:rsidP="0093219E">
            <w:pPr>
              <w:jc w:val="center"/>
            </w:pPr>
          </w:p>
          <w:p w14:paraId="20E30B04" w14:textId="77777777" w:rsidR="00221C48" w:rsidRDefault="00221C48" w:rsidP="0093219E">
            <w:pPr>
              <w:jc w:val="center"/>
            </w:pPr>
          </w:p>
          <w:p w14:paraId="0131C232" w14:textId="77777777" w:rsidR="00EC2413" w:rsidRDefault="00EC2413" w:rsidP="0093219E">
            <w:pPr>
              <w:jc w:val="center"/>
            </w:pPr>
          </w:p>
          <w:p w14:paraId="5940A471" w14:textId="77777777" w:rsidR="00EC2413" w:rsidRDefault="00EC2413" w:rsidP="0093219E">
            <w:pPr>
              <w:jc w:val="center"/>
            </w:pPr>
          </w:p>
          <w:p w14:paraId="046BE800" w14:textId="77777777" w:rsidR="00EC2413" w:rsidRDefault="00EC2413" w:rsidP="00862CA4"/>
          <w:p w14:paraId="5B931FC3" w14:textId="77777777" w:rsidR="002664D3" w:rsidRDefault="002664D3" w:rsidP="0093219E">
            <w:pPr>
              <w:jc w:val="center"/>
            </w:pPr>
          </w:p>
          <w:p w14:paraId="60E8BEB2" w14:textId="77777777" w:rsidR="002664D3" w:rsidRDefault="002664D3" w:rsidP="0093219E">
            <w:pPr>
              <w:jc w:val="center"/>
            </w:pPr>
          </w:p>
          <w:p w14:paraId="4411FC69" w14:textId="77777777" w:rsidR="006C4C6A" w:rsidRDefault="006C4C6A" w:rsidP="0093219E">
            <w:pPr>
              <w:jc w:val="center"/>
            </w:pPr>
          </w:p>
          <w:p w14:paraId="7F8D05B4" w14:textId="09595B58" w:rsidR="00A55D11" w:rsidRPr="00E81769" w:rsidRDefault="00A12A30" w:rsidP="0093219E">
            <w:pPr>
              <w:jc w:val="center"/>
            </w:pPr>
            <w:r>
              <w:t>21</w:t>
            </w:r>
            <w:r w:rsidR="00B42392">
              <w:t>7</w:t>
            </w:r>
            <w:r>
              <w:t>-2</w:t>
            </w:r>
            <w:r w:rsidR="00B42392">
              <w:t>22</w:t>
            </w:r>
          </w:p>
        </w:tc>
      </w:tr>
      <w:tr w:rsidR="00E81769" w:rsidRPr="00420406" w14:paraId="7537E9FC" w14:textId="77777777" w:rsidTr="004B1C31">
        <w:tc>
          <w:tcPr>
            <w:tcW w:w="1283" w:type="dxa"/>
            <w:shd w:val="clear" w:color="auto" w:fill="FFFFFF" w:themeFill="background1"/>
          </w:tcPr>
          <w:p w14:paraId="14D1044E" w14:textId="77777777" w:rsidR="00763726" w:rsidRPr="0052514D" w:rsidRDefault="009B774B" w:rsidP="003D0CC5">
            <w:pPr>
              <w:jc w:val="center"/>
            </w:pPr>
            <w:r w:rsidRPr="0052514D">
              <w:lastRenderedPageBreak/>
              <w:t>4</w:t>
            </w:r>
          </w:p>
          <w:p w14:paraId="35851B57" w14:textId="77777777" w:rsidR="006B376D" w:rsidRPr="0052514D" w:rsidRDefault="006B376D" w:rsidP="003D0CC5">
            <w:pPr>
              <w:jc w:val="center"/>
            </w:pPr>
          </w:p>
          <w:p w14:paraId="65D7F1A7" w14:textId="3CDF1DEE" w:rsidR="006B376D" w:rsidRPr="0052514D" w:rsidRDefault="006B376D" w:rsidP="00100DC5">
            <w:pPr>
              <w:jc w:val="center"/>
            </w:pPr>
          </w:p>
        </w:tc>
        <w:tc>
          <w:tcPr>
            <w:tcW w:w="7020" w:type="dxa"/>
            <w:shd w:val="clear" w:color="auto" w:fill="FFFFFF" w:themeFill="background1"/>
          </w:tcPr>
          <w:p w14:paraId="3C8D62A5" w14:textId="77777777" w:rsidR="002664D3" w:rsidRPr="0052514D" w:rsidRDefault="002664D3" w:rsidP="002664D3">
            <w:pPr>
              <w:jc w:val="both"/>
              <w:rPr>
                <w:rFonts w:ascii="Book Antiqua" w:hAnsi="Book Antiqua"/>
                <w:b/>
                <w:bCs/>
              </w:rPr>
            </w:pPr>
            <w:r w:rsidRPr="0052514D">
              <w:rPr>
                <w:rFonts w:ascii="Book Antiqua" w:hAnsi="Book Antiqua"/>
                <w:b/>
                <w:bCs/>
              </w:rPr>
              <w:t xml:space="preserve">Chapter 9:  Accounting </w:t>
            </w:r>
          </w:p>
          <w:p w14:paraId="4ED085C7"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D:  Note on Goodwill </w:t>
            </w:r>
          </w:p>
          <w:p w14:paraId="30A90693"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Section E:  Note on Contingencies and Reserves</w:t>
            </w:r>
          </w:p>
          <w:p w14:paraId="5F6E02BA"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F:  How Is Accounting Used in M&amp;A? </w:t>
            </w:r>
          </w:p>
          <w:p w14:paraId="1A6B84CC"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G:  Purchase Accounting </w:t>
            </w:r>
          </w:p>
          <w:p w14:paraId="1848D12D" w14:textId="77777777" w:rsidR="002664D3" w:rsidRPr="0052514D" w:rsidRDefault="002664D3" w:rsidP="00B21C90">
            <w:pPr>
              <w:jc w:val="both"/>
              <w:rPr>
                <w:rFonts w:ascii="Book Antiqua" w:hAnsi="Book Antiqua"/>
                <w:b/>
                <w:bCs/>
              </w:rPr>
            </w:pPr>
          </w:p>
          <w:p w14:paraId="67969490" w14:textId="09D3AAB6" w:rsidR="00B21C90" w:rsidRPr="0052514D" w:rsidRDefault="00A12A30" w:rsidP="00B21C90">
            <w:pPr>
              <w:jc w:val="both"/>
              <w:rPr>
                <w:rFonts w:ascii="Book Antiqua" w:hAnsi="Book Antiqua"/>
                <w:b/>
                <w:bCs/>
              </w:rPr>
            </w:pPr>
            <w:r w:rsidRPr="0052514D">
              <w:rPr>
                <w:rFonts w:ascii="Book Antiqua" w:hAnsi="Book Antiqua"/>
                <w:b/>
                <w:bCs/>
              </w:rPr>
              <w:t>Chapter 10</w:t>
            </w:r>
            <w:r w:rsidR="00B21C90" w:rsidRPr="0052514D">
              <w:rPr>
                <w:rFonts w:ascii="Book Antiqua" w:hAnsi="Book Antiqua"/>
                <w:b/>
                <w:bCs/>
              </w:rPr>
              <w:t xml:space="preserve">:  Valuation </w:t>
            </w:r>
          </w:p>
          <w:p w14:paraId="16CE39CC" w14:textId="77777777" w:rsidR="00B21C90" w:rsidRPr="0052514D" w:rsidRDefault="00B21C90">
            <w:pPr>
              <w:pStyle w:val="ListParagraph"/>
              <w:numPr>
                <w:ilvl w:val="0"/>
                <w:numId w:val="6"/>
              </w:numPr>
              <w:jc w:val="both"/>
              <w:rPr>
                <w:rFonts w:ascii="Book Antiqua" w:hAnsi="Book Antiqua"/>
              </w:rPr>
            </w:pPr>
            <w:r w:rsidRPr="0052514D">
              <w:rPr>
                <w:rFonts w:ascii="Book Antiqua" w:hAnsi="Book Antiqua"/>
              </w:rPr>
              <w:t xml:space="preserve">Section A:  Introduction </w:t>
            </w:r>
          </w:p>
          <w:p w14:paraId="1FBF1CE1" w14:textId="7FEF7495" w:rsidR="00C73696" w:rsidRPr="0052514D" w:rsidRDefault="00B21C90" w:rsidP="002664D3">
            <w:pPr>
              <w:pStyle w:val="ListParagraph"/>
              <w:numPr>
                <w:ilvl w:val="0"/>
                <w:numId w:val="6"/>
              </w:numPr>
              <w:jc w:val="both"/>
              <w:rPr>
                <w:rFonts w:ascii="Book Antiqua" w:hAnsi="Book Antiqua"/>
              </w:rPr>
            </w:pPr>
            <w:r w:rsidRPr="0052514D">
              <w:rPr>
                <w:rFonts w:ascii="Book Antiqua" w:hAnsi="Book Antiqua"/>
              </w:rPr>
              <w:t xml:space="preserve">Section B:  Valuation Techniques  </w:t>
            </w:r>
          </w:p>
          <w:p w14:paraId="09A2BC77" w14:textId="61BDACDD" w:rsidR="00C73696" w:rsidRPr="0052514D" w:rsidRDefault="00C73696" w:rsidP="002664D3">
            <w:pPr>
              <w:jc w:val="both"/>
              <w:rPr>
                <w:rFonts w:ascii="Book Antiqua" w:hAnsi="Book Antiqua"/>
              </w:rPr>
            </w:pPr>
          </w:p>
        </w:tc>
        <w:tc>
          <w:tcPr>
            <w:tcW w:w="1170" w:type="dxa"/>
            <w:shd w:val="clear" w:color="auto" w:fill="FFFFFF" w:themeFill="background1"/>
          </w:tcPr>
          <w:p w14:paraId="618B207C" w14:textId="4C051C92" w:rsidR="00A12A30" w:rsidRDefault="00A12A30" w:rsidP="0030076E">
            <w:pPr>
              <w:jc w:val="center"/>
            </w:pPr>
            <w:r>
              <w:t>2</w:t>
            </w:r>
            <w:r w:rsidR="00B42392">
              <w:t>22</w:t>
            </w:r>
            <w:r>
              <w:t>-2</w:t>
            </w:r>
            <w:r w:rsidR="00B42392">
              <w:t>30</w:t>
            </w:r>
          </w:p>
          <w:p w14:paraId="3F97CA8D" w14:textId="3D425FFC" w:rsidR="002664D3" w:rsidRDefault="002664D3" w:rsidP="0030076E">
            <w:pPr>
              <w:jc w:val="center"/>
            </w:pPr>
          </w:p>
          <w:p w14:paraId="36691B71" w14:textId="794E902B" w:rsidR="002664D3" w:rsidRDefault="002664D3" w:rsidP="0030076E">
            <w:pPr>
              <w:jc w:val="center"/>
            </w:pPr>
          </w:p>
          <w:p w14:paraId="55FDC4D2" w14:textId="0374883B" w:rsidR="002664D3" w:rsidRDefault="002664D3" w:rsidP="0030076E">
            <w:pPr>
              <w:jc w:val="center"/>
            </w:pPr>
          </w:p>
          <w:p w14:paraId="289AEE0A" w14:textId="5AAACEB9" w:rsidR="002664D3" w:rsidRDefault="002664D3" w:rsidP="0030076E">
            <w:pPr>
              <w:jc w:val="center"/>
            </w:pPr>
          </w:p>
          <w:p w14:paraId="65C967EC" w14:textId="7AA4A4F8" w:rsidR="002664D3" w:rsidRDefault="002664D3" w:rsidP="0030076E">
            <w:pPr>
              <w:jc w:val="center"/>
            </w:pPr>
          </w:p>
          <w:p w14:paraId="1959AEF0" w14:textId="5ED9DF3E" w:rsidR="002664D3" w:rsidRDefault="002664D3" w:rsidP="0030076E">
            <w:pPr>
              <w:jc w:val="center"/>
            </w:pPr>
            <w:r>
              <w:t>2</w:t>
            </w:r>
            <w:r w:rsidR="00B42392">
              <w:t>31</w:t>
            </w:r>
            <w:r>
              <w:t>-24</w:t>
            </w:r>
            <w:r w:rsidR="00B42392">
              <w:t>8</w:t>
            </w:r>
          </w:p>
          <w:p w14:paraId="4324C8CB" w14:textId="4262C0CC" w:rsidR="00A12A30" w:rsidRPr="00E81769" w:rsidRDefault="00A12A30" w:rsidP="0030076E">
            <w:pPr>
              <w:jc w:val="center"/>
            </w:pPr>
          </w:p>
        </w:tc>
      </w:tr>
      <w:tr w:rsidR="00AD33CD" w:rsidRPr="00420406" w14:paraId="0C056AE5" w14:textId="77777777" w:rsidTr="004B1C31">
        <w:tc>
          <w:tcPr>
            <w:tcW w:w="1283" w:type="dxa"/>
            <w:shd w:val="clear" w:color="auto" w:fill="FFFFFF" w:themeFill="background1"/>
          </w:tcPr>
          <w:p w14:paraId="5ECD9C5B" w14:textId="6109F74C" w:rsidR="00AD33CD" w:rsidRPr="0052514D" w:rsidRDefault="009B774B" w:rsidP="00B57107">
            <w:pPr>
              <w:jc w:val="center"/>
            </w:pPr>
            <w:r w:rsidRPr="0052514D">
              <w:t>5</w:t>
            </w:r>
          </w:p>
          <w:p w14:paraId="5661167E" w14:textId="65A8D196" w:rsidR="006B376D" w:rsidRPr="0052514D" w:rsidRDefault="006B376D" w:rsidP="00B57107">
            <w:pPr>
              <w:jc w:val="center"/>
            </w:pPr>
          </w:p>
          <w:p w14:paraId="187D6453" w14:textId="77777777" w:rsidR="006B376D" w:rsidRPr="0052514D" w:rsidRDefault="006B376D" w:rsidP="00B57107">
            <w:pPr>
              <w:jc w:val="center"/>
            </w:pPr>
          </w:p>
          <w:p w14:paraId="06DC772A" w14:textId="77777777" w:rsidR="00763726" w:rsidRPr="0052514D" w:rsidRDefault="00763726" w:rsidP="00B57107">
            <w:pPr>
              <w:jc w:val="center"/>
            </w:pPr>
          </w:p>
          <w:p w14:paraId="7D186B5E" w14:textId="4659A250" w:rsidR="00763726" w:rsidRPr="0052514D" w:rsidRDefault="00763726" w:rsidP="00B57107">
            <w:pPr>
              <w:jc w:val="center"/>
            </w:pPr>
          </w:p>
        </w:tc>
        <w:tc>
          <w:tcPr>
            <w:tcW w:w="7020" w:type="dxa"/>
            <w:shd w:val="clear" w:color="auto" w:fill="FFFFFF" w:themeFill="background1"/>
          </w:tcPr>
          <w:p w14:paraId="45E7DCBB" w14:textId="77777777" w:rsidR="002664D3" w:rsidRPr="0052514D" w:rsidRDefault="002664D3" w:rsidP="002664D3">
            <w:pPr>
              <w:jc w:val="both"/>
              <w:rPr>
                <w:rFonts w:ascii="Book Antiqua" w:hAnsi="Book Antiqua"/>
                <w:b/>
                <w:bCs/>
              </w:rPr>
            </w:pPr>
            <w:r w:rsidRPr="0052514D">
              <w:rPr>
                <w:rFonts w:ascii="Book Antiqua" w:hAnsi="Book Antiqua"/>
                <w:b/>
                <w:bCs/>
              </w:rPr>
              <w:t xml:space="preserve">Chapter 10:  Valuation </w:t>
            </w:r>
          </w:p>
          <w:p w14:paraId="1E2350CE" w14:textId="7818E038" w:rsidR="002664D3" w:rsidRDefault="002664D3" w:rsidP="0030076E">
            <w:pPr>
              <w:pStyle w:val="ListParagraph"/>
              <w:numPr>
                <w:ilvl w:val="0"/>
                <w:numId w:val="6"/>
              </w:numPr>
              <w:jc w:val="both"/>
              <w:rPr>
                <w:rFonts w:ascii="Book Antiqua" w:hAnsi="Book Antiqua"/>
              </w:rPr>
            </w:pPr>
            <w:r w:rsidRPr="0052514D">
              <w:rPr>
                <w:rFonts w:ascii="Book Antiqua" w:hAnsi="Book Antiqua"/>
              </w:rPr>
              <w:t xml:space="preserve">Section C:  Valuation in Practice </w:t>
            </w:r>
          </w:p>
          <w:p w14:paraId="6D5EB7F5" w14:textId="5C04E0F2" w:rsidR="00B42392" w:rsidRPr="00B42392" w:rsidRDefault="00B42392" w:rsidP="00B42392">
            <w:pPr>
              <w:pStyle w:val="ListParagraph"/>
              <w:numPr>
                <w:ilvl w:val="1"/>
                <w:numId w:val="6"/>
              </w:numPr>
              <w:jc w:val="both"/>
              <w:rPr>
                <w:rFonts w:ascii="Book Antiqua" w:hAnsi="Book Antiqua"/>
                <w:i/>
                <w:iCs/>
              </w:rPr>
            </w:pPr>
            <w:proofErr w:type="spellStart"/>
            <w:r w:rsidRPr="00B42392">
              <w:rPr>
                <w:rFonts w:ascii="Book Antiqua" w:hAnsi="Book Antiqua"/>
                <w:i/>
                <w:iCs/>
              </w:rPr>
              <w:t>Doft</w:t>
            </w:r>
            <w:proofErr w:type="spellEnd"/>
            <w:r w:rsidRPr="00B42392">
              <w:rPr>
                <w:rFonts w:ascii="Book Antiqua" w:hAnsi="Book Antiqua"/>
                <w:i/>
                <w:iCs/>
              </w:rPr>
              <w:t xml:space="preserve"> &amp; Co. v. Travelocity Inc. </w:t>
            </w:r>
          </w:p>
          <w:p w14:paraId="612E3D05" w14:textId="77777777" w:rsidR="002664D3" w:rsidRPr="0052514D" w:rsidRDefault="002664D3" w:rsidP="0030076E">
            <w:pPr>
              <w:jc w:val="both"/>
              <w:rPr>
                <w:b/>
                <w:bCs/>
              </w:rPr>
            </w:pPr>
          </w:p>
          <w:p w14:paraId="731092F3" w14:textId="4BDFBBA3" w:rsidR="00B21C90" w:rsidRPr="0052514D" w:rsidRDefault="0030076E" w:rsidP="0030076E">
            <w:pPr>
              <w:jc w:val="both"/>
              <w:rPr>
                <w:b/>
                <w:bCs/>
              </w:rPr>
            </w:pPr>
            <w:r w:rsidRPr="0052514D">
              <w:rPr>
                <w:b/>
                <w:bCs/>
              </w:rPr>
              <w:t>Chapter 11</w:t>
            </w:r>
            <w:r w:rsidR="00B21C90" w:rsidRPr="0052514D">
              <w:rPr>
                <w:b/>
                <w:bCs/>
              </w:rPr>
              <w:t xml:space="preserve">:  Deciding to Do a Deal </w:t>
            </w:r>
          </w:p>
          <w:p w14:paraId="4691A6D1" w14:textId="0968F4A0" w:rsidR="0030076E" w:rsidRPr="0052514D" w:rsidRDefault="0030076E">
            <w:pPr>
              <w:pStyle w:val="ListParagraph"/>
              <w:numPr>
                <w:ilvl w:val="0"/>
                <w:numId w:val="7"/>
              </w:numPr>
              <w:jc w:val="both"/>
              <w:rPr>
                <w:rFonts w:ascii="Book Antiqua" w:hAnsi="Book Antiqua"/>
              </w:rPr>
            </w:pPr>
            <w:r w:rsidRPr="0052514D">
              <w:t>Section</w:t>
            </w:r>
            <w:r w:rsidR="00B21C90" w:rsidRPr="0052514D">
              <w:t xml:space="preserve"> </w:t>
            </w:r>
            <w:r w:rsidR="00B21C90" w:rsidRPr="0052514D">
              <w:rPr>
                <w:rFonts w:ascii="Book Antiqua" w:hAnsi="Book Antiqua"/>
              </w:rPr>
              <w:t xml:space="preserve">A:  Make or Buy Decisions </w:t>
            </w:r>
          </w:p>
          <w:p w14:paraId="2B991FE4" w14:textId="0BFEB250" w:rsidR="00B21C90" w:rsidRPr="0052514D" w:rsidRDefault="00B21C90">
            <w:pPr>
              <w:pStyle w:val="ListParagraph"/>
              <w:numPr>
                <w:ilvl w:val="0"/>
                <w:numId w:val="7"/>
              </w:numPr>
              <w:jc w:val="both"/>
              <w:rPr>
                <w:rFonts w:ascii="Book Antiqua" w:hAnsi="Book Antiqua"/>
              </w:rPr>
            </w:pPr>
            <w:r w:rsidRPr="0052514D">
              <w:rPr>
                <w:rFonts w:ascii="Book Antiqua" w:hAnsi="Book Antiqua"/>
              </w:rPr>
              <w:t xml:space="preserve">Section B:  How to Sell a Company </w:t>
            </w:r>
          </w:p>
          <w:p w14:paraId="5B2BE731" w14:textId="77777777" w:rsidR="0007278A" w:rsidRPr="0052514D" w:rsidRDefault="0007278A" w:rsidP="003D0CC5">
            <w:pPr>
              <w:jc w:val="both"/>
              <w:rPr>
                <w:rFonts w:ascii="Book Antiqua" w:hAnsi="Book Antiqua"/>
              </w:rPr>
            </w:pPr>
          </w:p>
          <w:p w14:paraId="65829FA1" w14:textId="31093A27" w:rsidR="00B21C90" w:rsidRPr="0052514D" w:rsidRDefault="0030076E" w:rsidP="0030076E">
            <w:pPr>
              <w:jc w:val="both"/>
              <w:rPr>
                <w:rFonts w:ascii="Book Antiqua" w:hAnsi="Book Antiqua"/>
                <w:b/>
                <w:bCs/>
              </w:rPr>
            </w:pPr>
            <w:r w:rsidRPr="0052514D">
              <w:rPr>
                <w:rFonts w:ascii="Book Antiqua" w:hAnsi="Book Antiqua"/>
                <w:b/>
                <w:bCs/>
              </w:rPr>
              <w:t>Chapter 12</w:t>
            </w:r>
            <w:r w:rsidR="00B21C90" w:rsidRPr="0052514D">
              <w:rPr>
                <w:rFonts w:ascii="Book Antiqua" w:hAnsi="Book Antiqua"/>
                <w:b/>
                <w:bCs/>
              </w:rPr>
              <w:t xml:space="preserve">:  Important Actors and Their Roles </w:t>
            </w:r>
          </w:p>
          <w:p w14:paraId="5AE381A6" w14:textId="48125A86" w:rsidR="00B21C90" w:rsidRPr="0052514D" w:rsidRDefault="00B21C90">
            <w:pPr>
              <w:pStyle w:val="ListParagraph"/>
              <w:numPr>
                <w:ilvl w:val="0"/>
                <w:numId w:val="8"/>
              </w:numPr>
              <w:jc w:val="both"/>
              <w:rPr>
                <w:rFonts w:ascii="Book Antiqua" w:hAnsi="Book Antiqua"/>
              </w:rPr>
            </w:pPr>
            <w:r w:rsidRPr="0052514D">
              <w:rPr>
                <w:rFonts w:ascii="Book Antiqua" w:hAnsi="Book Antiqua"/>
              </w:rPr>
              <w:t xml:space="preserve">Section A:  Attorneys </w:t>
            </w:r>
          </w:p>
          <w:p w14:paraId="5E15D434" w14:textId="4BCF15F9" w:rsidR="00B21C90" w:rsidRPr="0052514D" w:rsidRDefault="00B21C90">
            <w:pPr>
              <w:pStyle w:val="ListParagraph"/>
              <w:numPr>
                <w:ilvl w:val="0"/>
                <w:numId w:val="8"/>
              </w:numPr>
              <w:jc w:val="both"/>
              <w:rPr>
                <w:rFonts w:ascii="Book Antiqua" w:hAnsi="Book Antiqua"/>
              </w:rPr>
            </w:pPr>
            <w:r w:rsidRPr="0052514D">
              <w:rPr>
                <w:rFonts w:ascii="Book Antiqua" w:hAnsi="Book Antiqua"/>
              </w:rPr>
              <w:t xml:space="preserve">Section B:  Investment Bankers and </w:t>
            </w:r>
            <w:proofErr w:type="gramStart"/>
            <w:r w:rsidRPr="0052514D">
              <w:rPr>
                <w:rFonts w:ascii="Book Antiqua" w:hAnsi="Book Antiqua"/>
              </w:rPr>
              <w:t>Deal-Makers</w:t>
            </w:r>
            <w:proofErr w:type="gramEnd"/>
            <w:r w:rsidRPr="0052514D">
              <w:rPr>
                <w:rFonts w:ascii="Book Antiqua" w:hAnsi="Book Antiqua"/>
              </w:rPr>
              <w:t xml:space="preserve"> </w:t>
            </w:r>
          </w:p>
          <w:p w14:paraId="66583579" w14:textId="09A93F0B" w:rsidR="00C73696" w:rsidRPr="0052514D" w:rsidRDefault="00B21C90" w:rsidP="004F3FE5">
            <w:pPr>
              <w:pStyle w:val="ListParagraph"/>
              <w:numPr>
                <w:ilvl w:val="0"/>
                <w:numId w:val="8"/>
              </w:numPr>
              <w:jc w:val="both"/>
              <w:rPr>
                <w:rFonts w:ascii="Book Antiqua" w:hAnsi="Book Antiqua"/>
              </w:rPr>
            </w:pPr>
            <w:r w:rsidRPr="0052514D">
              <w:rPr>
                <w:rFonts w:ascii="Book Antiqua" w:hAnsi="Book Antiqua"/>
              </w:rPr>
              <w:t xml:space="preserve">Section C:  Other Professionals </w:t>
            </w:r>
          </w:p>
          <w:p w14:paraId="619240DB" w14:textId="77777777" w:rsidR="00C73696" w:rsidRPr="0052514D" w:rsidRDefault="00C73696" w:rsidP="004F3FE5">
            <w:pPr>
              <w:jc w:val="both"/>
            </w:pPr>
          </w:p>
          <w:p w14:paraId="1876EABA" w14:textId="7A147D69" w:rsidR="00E7456E" w:rsidRPr="00A63FC3" w:rsidRDefault="00A63FC3" w:rsidP="004F3FE5">
            <w:pPr>
              <w:jc w:val="both"/>
              <w:rPr>
                <w:b/>
                <w:bCs/>
              </w:rPr>
            </w:pPr>
            <w:r w:rsidRPr="00A63FC3">
              <w:rPr>
                <w:b/>
                <w:bCs/>
              </w:rPr>
              <w:t xml:space="preserve">CANVAS: </w:t>
            </w:r>
            <w:r w:rsidR="00C102BF">
              <w:rPr>
                <w:b/>
                <w:bCs/>
              </w:rPr>
              <w:t xml:space="preserve"> </w:t>
            </w:r>
            <w:r w:rsidRPr="00A63FC3">
              <w:rPr>
                <w:b/>
                <w:bCs/>
              </w:rPr>
              <w:t xml:space="preserve">Delaware “Fair Value” </w:t>
            </w:r>
            <w:r w:rsidR="00F1185B">
              <w:rPr>
                <w:b/>
                <w:bCs/>
              </w:rPr>
              <w:t xml:space="preserve">Cases </w:t>
            </w:r>
            <w:r w:rsidRPr="00A63FC3">
              <w:rPr>
                <w:b/>
                <w:bCs/>
              </w:rPr>
              <w:t xml:space="preserve">(Robert Rhee) </w:t>
            </w:r>
          </w:p>
          <w:p w14:paraId="3B92118B" w14:textId="77777777" w:rsidR="00E7456E" w:rsidRDefault="00E7456E" w:rsidP="004F3FE5">
            <w:pPr>
              <w:jc w:val="both"/>
            </w:pPr>
          </w:p>
          <w:p w14:paraId="46BA914E" w14:textId="0F86A5C4" w:rsidR="006A0AFB" w:rsidRPr="0052514D" w:rsidRDefault="006A0AFB" w:rsidP="004F3FE5">
            <w:pPr>
              <w:jc w:val="both"/>
            </w:pPr>
          </w:p>
        </w:tc>
        <w:tc>
          <w:tcPr>
            <w:tcW w:w="1170" w:type="dxa"/>
            <w:shd w:val="clear" w:color="auto" w:fill="FFFFFF" w:themeFill="background1"/>
          </w:tcPr>
          <w:p w14:paraId="6FA05DD6" w14:textId="683B90AA" w:rsidR="002664D3" w:rsidRDefault="002664D3" w:rsidP="0030076E">
            <w:pPr>
              <w:jc w:val="center"/>
            </w:pPr>
            <w:r>
              <w:t>24</w:t>
            </w:r>
            <w:r w:rsidR="00B42392">
              <w:t>8</w:t>
            </w:r>
            <w:r>
              <w:t>-2</w:t>
            </w:r>
            <w:r w:rsidR="00B42392">
              <w:t>65</w:t>
            </w:r>
          </w:p>
          <w:p w14:paraId="0DF0A681" w14:textId="77777777" w:rsidR="002664D3" w:rsidRDefault="002664D3" w:rsidP="002664D3"/>
          <w:p w14:paraId="2FEB3C91" w14:textId="77777777" w:rsidR="002664D3" w:rsidRDefault="002664D3" w:rsidP="0030076E">
            <w:pPr>
              <w:jc w:val="center"/>
            </w:pPr>
          </w:p>
          <w:p w14:paraId="69282E3C" w14:textId="77777777" w:rsidR="00B42392" w:rsidRDefault="00B42392" w:rsidP="0030076E">
            <w:pPr>
              <w:jc w:val="center"/>
            </w:pPr>
          </w:p>
          <w:p w14:paraId="54F0E9CF" w14:textId="6CB451E5" w:rsidR="0030076E" w:rsidRDefault="0030076E" w:rsidP="0030076E">
            <w:pPr>
              <w:jc w:val="center"/>
            </w:pPr>
            <w:r>
              <w:t>26</w:t>
            </w:r>
            <w:r w:rsidR="001624CA">
              <w:t>9</w:t>
            </w:r>
            <w:r>
              <w:t>-2</w:t>
            </w:r>
            <w:r w:rsidR="001624CA">
              <w:t>83</w:t>
            </w:r>
          </w:p>
          <w:p w14:paraId="2690F336" w14:textId="77777777" w:rsidR="0007278A" w:rsidRDefault="0007278A" w:rsidP="00B57107">
            <w:pPr>
              <w:jc w:val="center"/>
            </w:pPr>
          </w:p>
          <w:p w14:paraId="0F0129F5" w14:textId="77777777" w:rsidR="00EC2413" w:rsidRDefault="00EC2413" w:rsidP="00B57107">
            <w:pPr>
              <w:jc w:val="center"/>
            </w:pPr>
          </w:p>
          <w:p w14:paraId="0D2DA5A6" w14:textId="77777777" w:rsidR="00EC2413" w:rsidRDefault="00EC2413" w:rsidP="00B57107">
            <w:pPr>
              <w:jc w:val="center"/>
            </w:pPr>
          </w:p>
          <w:p w14:paraId="7E65373F" w14:textId="71DD6C54" w:rsidR="0007278A" w:rsidRPr="00E81769" w:rsidRDefault="0030076E" w:rsidP="00B57107">
            <w:pPr>
              <w:jc w:val="center"/>
            </w:pPr>
            <w:r>
              <w:t>2</w:t>
            </w:r>
            <w:r w:rsidR="001624CA">
              <w:t>85</w:t>
            </w:r>
            <w:r>
              <w:t>-3</w:t>
            </w:r>
            <w:r w:rsidR="00C102BF">
              <w:t>10</w:t>
            </w:r>
          </w:p>
        </w:tc>
      </w:tr>
      <w:tr w:rsidR="00AD33CD" w:rsidRPr="00420406" w14:paraId="3AD971CD" w14:textId="77777777" w:rsidTr="004B1C31">
        <w:tc>
          <w:tcPr>
            <w:tcW w:w="1283" w:type="dxa"/>
            <w:shd w:val="clear" w:color="auto" w:fill="FFFFFF" w:themeFill="background1"/>
          </w:tcPr>
          <w:p w14:paraId="2774FEA6" w14:textId="38783778" w:rsidR="00AD33CD" w:rsidRPr="0052514D" w:rsidRDefault="009B774B" w:rsidP="00B57107">
            <w:pPr>
              <w:jc w:val="center"/>
            </w:pPr>
            <w:r w:rsidRPr="0052514D">
              <w:t>6</w:t>
            </w:r>
          </w:p>
          <w:p w14:paraId="76F4C677" w14:textId="276EB533" w:rsidR="006B376D" w:rsidRPr="0052514D" w:rsidRDefault="006B376D" w:rsidP="00B57107">
            <w:pPr>
              <w:jc w:val="center"/>
            </w:pPr>
          </w:p>
          <w:p w14:paraId="6BDBB319" w14:textId="77777777" w:rsidR="00763726" w:rsidRPr="0052514D" w:rsidRDefault="00763726" w:rsidP="00B57107">
            <w:pPr>
              <w:jc w:val="center"/>
            </w:pPr>
          </w:p>
          <w:p w14:paraId="46E2822C" w14:textId="77B4B804" w:rsidR="00763726" w:rsidRPr="0052514D" w:rsidRDefault="00763726" w:rsidP="00B57107">
            <w:pPr>
              <w:jc w:val="center"/>
            </w:pPr>
          </w:p>
        </w:tc>
        <w:tc>
          <w:tcPr>
            <w:tcW w:w="7020" w:type="dxa"/>
            <w:shd w:val="clear" w:color="auto" w:fill="FFFFFF" w:themeFill="background1"/>
          </w:tcPr>
          <w:p w14:paraId="40818733" w14:textId="59269B28" w:rsidR="006F6734" w:rsidRPr="0052514D" w:rsidRDefault="0030076E" w:rsidP="006F6734">
            <w:pPr>
              <w:jc w:val="both"/>
              <w:rPr>
                <w:rFonts w:ascii="Book Antiqua" w:hAnsi="Book Antiqua"/>
                <w:b/>
                <w:bCs/>
              </w:rPr>
            </w:pPr>
            <w:r w:rsidRPr="0052514D">
              <w:rPr>
                <w:rFonts w:ascii="Book Antiqua" w:hAnsi="Book Antiqua"/>
                <w:b/>
                <w:bCs/>
              </w:rPr>
              <w:lastRenderedPageBreak/>
              <w:t>Chapter 13</w:t>
            </w:r>
            <w:r w:rsidR="006F6734" w:rsidRPr="0052514D">
              <w:rPr>
                <w:rFonts w:ascii="Book Antiqua" w:hAnsi="Book Antiqua"/>
                <w:b/>
                <w:bCs/>
              </w:rPr>
              <w:t xml:space="preserve">:  Preliminary Negotiations  </w:t>
            </w:r>
          </w:p>
          <w:p w14:paraId="65CA2AC1" w14:textId="3DE8229F"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A:  Investment Banker Engagement Letter </w:t>
            </w:r>
          </w:p>
          <w:p w14:paraId="442C7EBA" w14:textId="620B1D1B" w:rsidR="006F6734" w:rsidRDefault="006F6734">
            <w:pPr>
              <w:pStyle w:val="ListParagraph"/>
              <w:numPr>
                <w:ilvl w:val="0"/>
                <w:numId w:val="6"/>
              </w:numPr>
              <w:jc w:val="both"/>
              <w:rPr>
                <w:rFonts w:ascii="Book Antiqua" w:hAnsi="Book Antiqua"/>
              </w:rPr>
            </w:pPr>
            <w:r w:rsidRPr="0052514D">
              <w:rPr>
                <w:rFonts w:ascii="Book Antiqua" w:hAnsi="Book Antiqua"/>
              </w:rPr>
              <w:lastRenderedPageBreak/>
              <w:t xml:space="preserve">Section B:  Non-Disclosure and Confidentiality Agreements </w:t>
            </w:r>
          </w:p>
          <w:p w14:paraId="5F6885E0" w14:textId="4B941D9E" w:rsidR="009129D1" w:rsidRPr="009129D1" w:rsidRDefault="009129D1" w:rsidP="009129D1">
            <w:pPr>
              <w:pStyle w:val="ListParagraph"/>
              <w:numPr>
                <w:ilvl w:val="1"/>
                <w:numId w:val="6"/>
              </w:numPr>
              <w:jc w:val="both"/>
              <w:rPr>
                <w:rFonts w:ascii="Book Antiqua" w:hAnsi="Book Antiqua"/>
                <w:i/>
                <w:iCs/>
              </w:rPr>
            </w:pPr>
            <w:r w:rsidRPr="009129D1">
              <w:rPr>
                <w:rFonts w:ascii="Book Antiqua" w:hAnsi="Book Antiqua"/>
                <w:i/>
                <w:iCs/>
              </w:rPr>
              <w:t>Martin Marietta Materials, Inc. v. Vulcan Materials Co.</w:t>
            </w:r>
          </w:p>
          <w:p w14:paraId="7A067F2E" w14:textId="4C0D212A"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C:  Standstill  </w:t>
            </w:r>
          </w:p>
          <w:p w14:paraId="664A1134" w14:textId="7F93B4E5"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D:  Letter of Intent/Memo of Understanding (MOU)  </w:t>
            </w:r>
          </w:p>
          <w:p w14:paraId="25EF0F24" w14:textId="36F4EBC9" w:rsidR="00D32543" w:rsidRPr="0052514D" w:rsidRDefault="006F6734" w:rsidP="0030076E">
            <w:pPr>
              <w:pStyle w:val="ListParagraph"/>
              <w:numPr>
                <w:ilvl w:val="0"/>
                <w:numId w:val="6"/>
              </w:numPr>
              <w:jc w:val="both"/>
              <w:rPr>
                <w:rFonts w:ascii="Book Antiqua" w:hAnsi="Book Antiqua"/>
              </w:rPr>
            </w:pPr>
            <w:r w:rsidRPr="0052514D">
              <w:rPr>
                <w:rFonts w:ascii="Book Antiqua" w:hAnsi="Book Antiqua"/>
              </w:rPr>
              <w:t xml:space="preserve">Section E:  Due Diligence </w:t>
            </w:r>
          </w:p>
          <w:p w14:paraId="39884E6B" w14:textId="7D9F80B1" w:rsidR="00C73696" w:rsidRPr="0052514D" w:rsidRDefault="00C73696" w:rsidP="0030076E">
            <w:pPr>
              <w:jc w:val="both"/>
            </w:pPr>
          </w:p>
        </w:tc>
        <w:tc>
          <w:tcPr>
            <w:tcW w:w="1170" w:type="dxa"/>
            <w:shd w:val="clear" w:color="auto" w:fill="FFFFFF" w:themeFill="background1"/>
          </w:tcPr>
          <w:p w14:paraId="3D352501" w14:textId="37A87F5E" w:rsidR="00AD33CD" w:rsidRPr="00E81769" w:rsidRDefault="0030076E" w:rsidP="0007278A">
            <w:pPr>
              <w:jc w:val="center"/>
            </w:pPr>
            <w:r>
              <w:lastRenderedPageBreak/>
              <w:t>3</w:t>
            </w:r>
            <w:r w:rsidR="00C102BF">
              <w:t>11</w:t>
            </w:r>
            <w:r>
              <w:t>-35</w:t>
            </w:r>
            <w:r w:rsidR="009129D1">
              <w:t>4</w:t>
            </w:r>
          </w:p>
        </w:tc>
      </w:tr>
      <w:tr w:rsidR="00AD33CD" w:rsidRPr="00420406" w14:paraId="717AE92A" w14:textId="77777777" w:rsidTr="004B1C31">
        <w:tc>
          <w:tcPr>
            <w:tcW w:w="1283" w:type="dxa"/>
            <w:shd w:val="clear" w:color="auto" w:fill="FFFFFF" w:themeFill="background1"/>
          </w:tcPr>
          <w:p w14:paraId="1949DF29" w14:textId="5E80AD37" w:rsidR="00763726" w:rsidRPr="0052514D" w:rsidRDefault="009B774B" w:rsidP="003468A3">
            <w:pPr>
              <w:jc w:val="center"/>
            </w:pPr>
            <w:r w:rsidRPr="0052514D">
              <w:t>7</w:t>
            </w:r>
          </w:p>
          <w:p w14:paraId="0981F791" w14:textId="5A032E52" w:rsidR="006B376D" w:rsidRPr="0052514D" w:rsidRDefault="006B376D" w:rsidP="003468A3">
            <w:pPr>
              <w:jc w:val="center"/>
            </w:pPr>
          </w:p>
          <w:p w14:paraId="42EFA887" w14:textId="68C4D609" w:rsidR="00763726" w:rsidRPr="005C27B7" w:rsidRDefault="00763726" w:rsidP="005C27B7">
            <w:pPr>
              <w:jc w:val="center"/>
            </w:pPr>
          </w:p>
        </w:tc>
        <w:tc>
          <w:tcPr>
            <w:tcW w:w="7020" w:type="dxa"/>
            <w:shd w:val="clear" w:color="auto" w:fill="FFFFFF" w:themeFill="background1"/>
          </w:tcPr>
          <w:p w14:paraId="477B8B95" w14:textId="314537BC" w:rsidR="006F6734" w:rsidRPr="0052514D" w:rsidRDefault="0030076E" w:rsidP="0030076E">
            <w:pPr>
              <w:jc w:val="both"/>
              <w:rPr>
                <w:b/>
                <w:bCs/>
              </w:rPr>
            </w:pPr>
            <w:r w:rsidRPr="0052514D">
              <w:rPr>
                <w:b/>
                <w:bCs/>
              </w:rPr>
              <w:t>Chapter 14</w:t>
            </w:r>
            <w:r w:rsidR="006F6734" w:rsidRPr="0052514D">
              <w:rPr>
                <w:b/>
                <w:bCs/>
              </w:rPr>
              <w:t xml:space="preserve">:  Documentation and Negotiations: The Merger Agreement </w:t>
            </w:r>
          </w:p>
          <w:p w14:paraId="73276082" w14:textId="29400D17" w:rsidR="0030076E" w:rsidRPr="0052514D" w:rsidRDefault="0030076E">
            <w:pPr>
              <w:pStyle w:val="ListParagraph"/>
              <w:numPr>
                <w:ilvl w:val="0"/>
                <w:numId w:val="9"/>
              </w:numPr>
              <w:jc w:val="both"/>
              <w:rPr>
                <w:rFonts w:ascii="Book Antiqua" w:hAnsi="Book Antiqua"/>
              </w:rPr>
            </w:pPr>
            <w:r w:rsidRPr="0052514D">
              <w:t>Section</w:t>
            </w:r>
            <w:r w:rsidR="006F6734" w:rsidRPr="0052514D">
              <w:t xml:space="preserve"> A:  </w:t>
            </w:r>
            <w:r w:rsidR="004B1C31" w:rsidRPr="0052514D">
              <w:t xml:space="preserve">Overview </w:t>
            </w:r>
          </w:p>
          <w:p w14:paraId="721BBE3A" w14:textId="639CA9E5" w:rsidR="006F6734" w:rsidRPr="0052514D" w:rsidRDefault="006F6734">
            <w:pPr>
              <w:pStyle w:val="ListParagraph"/>
              <w:numPr>
                <w:ilvl w:val="0"/>
                <w:numId w:val="9"/>
              </w:numPr>
              <w:jc w:val="both"/>
              <w:rPr>
                <w:rFonts w:ascii="Book Antiqua" w:hAnsi="Book Antiqua"/>
              </w:rPr>
            </w:pPr>
            <w:r w:rsidRPr="0052514D">
              <w:t xml:space="preserve">Section B:  </w:t>
            </w:r>
            <w:r w:rsidR="004B1C31" w:rsidRPr="0052514D">
              <w:t xml:space="preserve">Landscape of Merger Agreement </w:t>
            </w:r>
          </w:p>
          <w:p w14:paraId="77B20AF6" w14:textId="003B0C0E" w:rsidR="006F6734" w:rsidRPr="0052514D" w:rsidRDefault="006F6734">
            <w:pPr>
              <w:pStyle w:val="ListParagraph"/>
              <w:numPr>
                <w:ilvl w:val="0"/>
                <w:numId w:val="9"/>
              </w:numPr>
              <w:jc w:val="both"/>
              <w:rPr>
                <w:rFonts w:ascii="Book Antiqua" w:hAnsi="Book Antiqua"/>
              </w:rPr>
            </w:pPr>
            <w:r w:rsidRPr="0052514D">
              <w:t xml:space="preserve">Section C:  </w:t>
            </w:r>
            <w:r w:rsidR="004B1C31" w:rsidRPr="0052514D">
              <w:t xml:space="preserve">Pricing Formulas, Collars, and Risk Allocation </w:t>
            </w:r>
          </w:p>
          <w:p w14:paraId="447BB668" w14:textId="04E3F678" w:rsidR="006F6734" w:rsidRPr="0052514D" w:rsidRDefault="006F6734">
            <w:pPr>
              <w:pStyle w:val="ListParagraph"/>
              <w:numPr>
                <w:ilvl w:val="0"/>
                <w:numId w:val="9"/>
              </w:numPr>
              <w:jc w:val="both"/>
              <w:rPr>
                <w:rFonts w:ascii="Book Antiqua" w:hAnsi="Book Antiqua"/>
              </w:rPr>
            </w:pPr>
            <w:r w:rsidRPr="0052514D">
              <w:t xml:space="preserve">Section D:  </w:t>
            </w:r>
            <w:r w:rsidR="004B1C31" w:rsidRPr="0052514D">
              <w:t xml:space="preserve">Earnouts </w:t>
            </w:r>
          </w:p>
          <w:p w14:paraId="4192D54C" w14:textId="5E7BD5F8" w:rsidR="006F6734" w:rsidRPr="0052514D" w:rsidRDefault="006F6734">
            <w:pPr>
              <w:pStyle w:val="ListParagraph"/>
              <w:numPr>
                <w:ilvl w:val="0"/>
                <w:numId w:val="9"/>
              </w:numPr>
              <w:jc w:val="both"/>
              <w:rPr>
                <w:rFonts w:ascii="Book Antiqua" w:hAnsi="Book Antiqua"/>
              </w:rPr>
            </w:pPr>
            <w:r w:rsidRPr="0052514D">
              <w:t xml:space="preserve">Section E:  </w:t>
            </w:r>
            <w:r w:rsidR="004B1C31" w:rsidRPr="0052514D">
              <w:t xml:space="preserve">Information Production and Risk Allocation: Representations and Warranties </w:t>
            </w:r>
          </w:p>
          <w:p w14:paraId="500E2D16" w14:textId="054D430F" w:rsidR="006F6734" w:rsidRPr="0052514D" w:rsidRDefault="006F6734">
            <w:pPr>
              <w:pStyle w:val="ListParagraph"/>
              <w:numPr>
                <w:ilvl w:val="0"/>
                <w:numId w:val="9"/>
              </w:numPr>
              <w:jc w:val="both"/>
              <w:rPr>
                <w:rFonts w:ascii="Book Antiqua" w:hAnsi="Book Antiqua"/>
              </w:rPr>
            </w:pPr>
            <w:r w:rsidRPr="0052514D">
              <w:t xml:space="preserve">Section F:  </w:t>
            </w:r>
            <w:r w:rsidR="004B1C31" w:rsidRPr="0052514D">
              <w:t xml:space="preserve">Representations and Warranties Generally </w:t>
            </w:r>
          </w:p>
          <w:p w14:paraId="593EF7C4" w14:textId="616E18C6" w:rsidR="00C73696" w:rsidRPr="0052514D" w:rsidRDefault="006F6734" w:rsidP="003D0CC5">
            <w:pPr>
              <w:pStyle w:val="ListParagraph"/>
              <w:numPr>
                <w:ilvl w:val="0"/>
                <w:numId w:val="9"/>
              </w:numPr>
              <w:jc w:val="both"/>
              <w:rPr>
                <w:rFonts w:ascii="Book Antiqua" w:hAnsi="Book Antiqua"/>
              </w:rPr>
            </w:pPr>
            <w:r w:rsidRPr="0052514D">
              <w:t xml:space="preserve">Section G: </w:t>
            </w:r>
            <w:r w:rsidR="00B74623">
              <w:t>Covenants and Additional Agreements</w:t>
            </w:r>
            <w:r w:rsidR="004B1C31" w:rsidRPr="0052514D">
              <w:t xml:space="preserve"> </w:t>
            </w:r>
          </w:p>
          <w:p w14:paraId="0E38A9E0" w14:textId="51B649ED" w:rsidR="00C73696" w:rsidRPr="0052514D" w:rsidRDefault="00C73696" w:rsidP="003D0CC5">
            <w:pPr>
              <w:jc w:val="both"/>
              <w:rPr>
                <w:rFonts w:ascii="Book Antiqua" w:hAnsi="Book Antiqua"/>
              </w:rPr>
            </w:pPr>
          </w:p>
        </w:tc>
        <w:tc>
          <w:tcPr>
            <w:tcW w:w="1170" w:type="dxa"/>
            <w:shd w:val="clear" w:color="auto" w:fill="FFFFFF" w:themeFill="background1"/>
          </w:tcPr>
          <w:p w14:paraId="2ED9B82A" w14:textId="4229A434" w:rsidR="00AD33CD" w:rsidRPr="00E81769" w:rsidRDefault="0030076E" w:rsidP="00B57107">
            <w:pPr>
              <w:jc w:val="center"/>
            </w:pPr>
            <w:r>
              <w:t>35</w:t>
            </w:r>
            <w:r w:rsidR="00B74623">
              <w:t>5</w:t>
            </w:r>
            <w:r>
              <w:t>-403</w:t>
            </w:r>
          </w:p>
        </w:tc>
      </w:tr>
      <w:tr w:rsidR="00AD33CD" w:rsidRPr="00420406" w14:paraId="4F611CAC" w14:textId="77777777" w:rsidTr="004B1C31">
        <w:tc>
          <w:tcPr>
            <w:tcW w:w="1283" w:type="dxa"/>
            <w:shd w:val="clear" w:color="auto" w:fill="FFFFFF" w:themeFill="background1"/>
          </w:tcPr>
          <w:p w14:paraId="26E53698" w14:textId="7D43B185" w:rsidR="00763726" w:rsidRPr="0052514D" w:rsidRDefault="009B774B" w:rsidP="007119C3">
            <w:pPr>
              <w:jc w:val="center"/>
            </w:pPr>
            <w:r w:rsidRPr="0052514D">
              <w:t>8</w:t>
            </w:r>
          </w:p>
          <w:p w14:paraId="28FE2E42" w14:textId="3A416608" w:rsidR="006B376D" w:rsidRPr="0052514D" w:rsidRDefault="006B376D" w:rsidP="007119C3">
            <w:pPr>
              <w:jc w:val="center"/>
            </w:pPr>
          </w:p>
          <w:p w14:paraId="134FDC28" w14:textId="24C848EF" w:rsidR="00763726" w:rsidRPr="0052514D" w:rsidRDefault="00763726" w:rsidP="00100DC5">
            <w:pPr>
              <w:jc w:val="center"/>
            </w:pPr>
          </w:p>
        </w:tc>
        <w:tc>
          <w:tcPr>
            <w:tcW w:w="7020" w:type="dxa"/>
            <w:shd w:val="clear" w:color="auto" w:fill="FFFFFF" w:themeFill="background1"/>
          </w:tcPr>
          <w:p w14:paraId="151DF65D" w14:textId="4F29EC8F" w:rsidR="0030076E" w:rsidRPr="0052514D" w:rsidRDefault="004B1C31" w:rsidP="0030076E">
            <w:pPr>
              <w:jc w:val="both"/>
              <w:rPr>
                <w:rFonts w:ascii="Book Antiqua" w:hAnsi="Book Antiqua"/>
              </w:rPr>
            </w:pPr>
            <w:r w:rsidRPr="0052514D">
              <w:rPr>
                <w:b/>
                <w:bCs/>
              </w:rPr>
              <w:t>Chapter 14:  Documentation</w:t>
            </w:r>
            <w:r w:rsidR="00E42EDE" w:rsidRPr="0052514D">
              <w:rPr>
                <w:b/>
                <w:bCs/>
              </w:rPr>
              <w:t xml:space="preserve">, </w:t>
            </w:r>
            <w:r w:rsidRPr="0052514D">
              <w:rPr>
                <w:b/>
                <w:bCs/>
              </w:rPr>
              <w:t xml:space="preserve">Negotiations: </w:t>
            </w:r>
            <w:r w:rsidR="00E42EDE" w:rsidRPr="0052514D">
              <w:rPr>
                <w:b/>
                <w:bCs/>
              </w:rPr>
              <w:t xml:space="preserve">The </w:t>
            </w:r>
            <w:r w:rsidRPr="0052514D">
              <w:rPr>
                <w:b/>
                <w:bCs/>
              </w:rPr>
              <w:t>Merger Agreement</w:t>
            </w:r>
          </w:p>
          <w:p w14:paraId="3D85FAFA" w14:textId="6C44B5AF" w:rsidR="004B1C31" w:rsidRPr="0052514D" w:rsidRDefault="004B1C31" w:rsidP="00275213">
            <w:pPr>
              <w:jc w:val="both"/>
              <w:rPr>
                <w:rFonts w:ascii="Book Antiqua" w:hAnsi="Book Antiqua"/>
              </w:rPr>
            </w:pPr>
            <w:r w:rsidRPr="0052514D">
              <w:rPr>
                <w:rFonts w:ascii="Book Antiqua" w:hAnsi="Book Antiqua"/>
              </w:rPr>
              <w:t xml:space="preserve">Section H:  </w:t>
            </w:r>
            <w:r w:rsidR="00B74623">
              <w:rPr>
                <w:rFonts w:ascii="Book Antiqua" w:hAnsi="Book Antiqua"/>
              </w:rPr>
              <w:t>Closing Conditions</w:t>
            </w:r>
          </w:p>
          <w:p w14:paraId="14CCF6DC" w14:textId="44B20BD3" w:rsidR="004B1C31" w:rsidRPr="0052514D" w:rsidRDefault="004B1C31" w:rsidP="00275213">
            <w:pPr>
              <w:jc w:val="both"/>
              <w:rPr>
                <w:rFonts w:ascii="Book Antiqua" w:hAnsi="Book Antiqua"/>
              </w:rPr>
            </w:pPr>
            <w:r w:rsidRPr="0052514D">
              <w:rPr>
                <w:rFonts w:ascii="Book Antiqua" w:hAnsi="Book Antiqua"/>
              </w:rPr>
              <w:t xml:space="preserve">Section I:  </w:t>
            </w:r>
            <w:r w:rsidR="00B74623">
              <w:rPr>
                <w:rFonts w:ascii="Book Antiqua" w:hAnsi="Book Antiqua"/>
              </w:rPr>
              <w:t>Termination Provisions</w:t>
            </w:r>
            <w:r w:rsidRPr="0052514D">
              <w:rPr>
                <w:rFonts w:ascii="Book Antiqua" w:hAnsi="Book Antiqua"/>
              </w:rPr>
              <w:t xml:space="preserve"> </w:t>
            </w:r>
          </w:p>
          <w:p w14:paraId="39068DA3" w14:textId="42A82418" w:rsidR="004B1C31" w:rsidRPr="0052514D" w:rsidRDefault="004B1C31" w:rsidP="00275213">
            <w:pPr>
              <w:jc w:val="both"/>
              <w:rPr>
                <w:rFonts w:ascii="Book Antiqua" w:hAnsi="Book Antiqua"/>
              </w:rPr>
            </w:pPr>
            <w:r w:rsidRPr="0052514D">
              <w:rPr>
                <w:rFonts w:ascii="Book Antiqua" w:hAnsi="Book Antiqua"/>
              </w:rPr>
              <w:t xml:space="preserve">Section J:  Termination </w:t>
            </w:r>
            <w:r w:rsidR="00B74623">
              <w:rPr>
                <w:rFonts w:ascii="Book Antiqua" w:hAnsi="Book Antiqua"/>
              </w:rPr>
              <w:t xml:space="preserve">Fees </w:t>
            </w:r>
            <w:r w:rsidRPr="0052514D">
              <w:rPr>
                <w:rFonts w:ascii="Book Antiqua" w:hAnsi="Book Antiqua"/>
              </w:rPr>
              <w:t xml:space="preserve"> </w:t>
            </w:r>
          </w:p>
          <w:p w14:paraId="28277A50" w14:textId="2A57F7BC" w:rsidR="004B1C31" w:rsidRPr="0052514D" w:rsidRDefault="004B1C31" w:rsidP="00275213">
            <w:pPr>
              <w:jc w:val="both"/>
              <w:rPr>
                <w:rFonts w:ascii="Book Antiqua" w:hAnsi="Book Antiqua"/>
              </w:rPr>
            </w:pPr>
            <w:r w:rsidRPr="0052514D">
              <w:rPr>
                <w:rFonts w:ascii="Book Antiqua" w:hAnsi="Book Antiqua"/>
              </w:rPr>
              <w:t xml:space="preserve">Section K:  </w:t>
            </w:r>
            <w:r w:rsidR="00B74623">
              <w:rPr>
                <w:rFonts w:ascii="Book Antiqua" w:hAnsi="Book Antiqua"/>
              </w:rPr>
              <w:t xml:space="preserve">Risk Allocation and Material Adverse Change Clause </w:t>
            </w:r>
            <w:r w:rsidRPr="0052514D">
              <w:rPr>
                <w:rFonts w:ascii="Book Antiqua" w:hAnsi="Book Antiqua"/>
              </w:rPr>
              <w:t xml:space="preserve"> </w:t>
            </w:r>
          </w:p>
          <w:p w14:paraId="1315D43A" w14:textId="0FAB7007" w:rsidR="004B1C31" w:rsidRPr="0052514D" w:rsidRDefault="004B1C31" w:rsidP="00275213">
            <w:pPr>
              <w:jc w:val="both"/>
              <w:rPr>
                <w:rFonts w:ascii="Book Antiqua" w:hAnsi="Book Antiqua"/>
              </w:rPr>
            </w:pPr>
            <w:r w:rsidRPr="0052514D">
              <w:rPr>
                <w:rFonts w:ascii="Book Antiqua" w:hAnsi="Book Antiqua"/>
              </w:rPr>
              <w:t>Section L:  Allocating Risk in Private Company Sale: Escrow</w:t>
            </w:r>
            <w:r w:rsidR="00B74623">
              <w:rPr>
                <w:rFonts w:ascii="Book Antiqua" w:hAnsi="Book Antiqua"/>
              </w:rPr>
              <w:t xml:space="preserve">, Indemnification, and Insurance </w:t>
            </w:r>
            <w:r w:rsidRPr="0052514D">
              <w:rPr>
                <w:rFonts w:ascii="Book Antiqua" w:hAnsi="Book Antiqua"/>
              </w:rPr>
              <w:t xml:space="preserve"> </w:t>
            </w:r>
          </w:p>
          <w:p w14:paraId="46AF943D" w14:textId="7DD07F0E" w:rsidR="004B1C31" w:rsidRPr="0052514D" w:rsidRDefault="004B1C31" w:rsidP="00275213">
            <w:pPr>
              <w:jc w:val="both"/>
              <w:rPr>
                <w:iCs/>
              </w:rPr>
            </w:pPr>
            <w:r w:rsidRPr="0052514D">
              <w:rPr>
                <w:rFonts w:ascii="Book Antiqua" w:hAnsi="Book Antiqua"/>
              </w:rPr>
              <w:t xml:space="preserve">Section M:  Return to Contract Principles: Drafting and Negotiating the Merger Agreement </w:t>
            </w:r>
          </w:p>
          <w:p w14:paraId="2AEF64A8" w14:textId="77777777" w:rsidR="00EC2413" w:rsidRPr="0052514D" w:rsidRDefault="00EC2413" w:rsidP="00EC2413">
            <w:pPr>
              <w:jc w:val="both"/>
              <w:rPr>
                <w:rFonts w:ascii="Book Antiqua" w:hAnsi="Book Antiqua"/>
              </w:rPr>
            </w:pPr>
          </w:p>
          <w:p w14:paraId="5C4C20F2" w14:textId="128BB2CD" w:rsidR="00C73696" w:rsidRPr="0052514D" w:rsidRDefault="00EC2413" w:rsidP="0030076E">
            <w:pPr>
              <w:jc w:val="both"/>
              <w:rPr>
                <w:rFonts w:ascii="Book Antiqua" w:hAnsi="Book Antiqua"/>
                <w:b/>
                <w:bCs/>
              </w:rPr>
            </w:pPr>
            <w:r w:rsidRPr="0052514D">
              <w:rPr>
                <w:rFonts w:ascii="Book Antiqua" w:hAnsi="Book Antiqua"/>
                <w:b/>
                <w:bCs/>
              </w:rPr>
              <w:t xml:space="preserve">Note:  </w:t>
            </w:r>
            <w:r w:rsidR="006C4C6A">
              <w:rPr>
                <w:rFonts w:ascii="Book Antiqua" w:hAnsi="Book Antiqua"/>
                <w:b/>
                <w:bCs/>
              </w:rPr>
              <w:t>In light of the fact that this course is 2 credits only, w</w:t>
            </w:r>
            <w:r w:rsidR="006C4C6A" w:rsidRPr="0052514D">
              <w:rPr>
                <w:rFonts w:ascii="Book Antiqua" w:hAnsi="Book Antiqua"/>
                <w:b/>
                <w:bCs/>
              </w:rPr>
              <w:t xml:space="preserve">e </w:t>
            </w:r>
            <w:r w:rsidRPr="0052514D">
              <w:rPr>
                <w:rFonts w:ascii="Book Antiqua" w:hAnsi="Book Antiqua"/>
                <w:b/>
                <w:bCs/>
              </w:rPr>
              <w:t>will skip Chapters 15 and 1</w:t>
            </w:r>
            <w:r w:rsidR="00B74623">
              <w:rPr>
                <w:rFonts w:ascii="Book Antiqua" w:hAnsi="Book Antiqua"/>
                <w:b/>
                <w:bCs/>
              </w:rPr>
              <w:t>7</w:t>
            </w:r>
            <w:r w:rsidRPr="0052514D">
              <w:rPr>
                <w:rFonts w:ascii="Book Antiqua" w:hAnsi="Book Antiqua"/>
                <w:b/>
                <w:bCs/>
              </w:rPr>
              <w:t xml:space="preserve"> (materials on hostile acquisitions and defenses). </w:t>
            </w:r>
          </w:p>
          <w:p w14:paraId="56A941DD" w14:textId="22EF95A2" w:rsidR="00C73696" w:rsidRPr="0052514D" w:rsidRDefault="00C73696" w:rsidP="0030076E">
            <w:pPr>
              <w:jc w:val="both"/>
            </w:pPr>
          </w:p>
        </w:tc>
        <w:tc>
          <w:tcPr>
            <w:tcW w:w="1170" w:type="dxa"/>
            <w:shd w:val="clear" w:color="auto" w:fill="FFFFFF" w:themeFill="background1"/>
          </w:tcPr>
          <w:p w14:paraId="3650A89B" w14:textId="30F00A47" w:rsidR="00AD33CD" w:rsidRPr="00F614BD" w:rsidRDefault="0030076E" w:rsidP="001E7403">
            <w:pPr>
              <w:jc w:val="center"/>
            </w:pPr>
            <w:r w:rsidRPr="00F614BD">
              <w:t>403-4</w:t>
            </w:r>
            <w:r w:rsidR="00B74623">
              <w:t>58</w:t>
            </w:r>
          </w:p>
        </w:tc>
      </w:tr>
      <w:tr w:rsidR="00AD33CD" w:rsidRPr="00420406" w14:paraId="64581642" w14:textId="77777777" w:rsidTr="004B1C31">
        <w:tc>
          <w:tcPr>
            <w:tcW w:w="1283" w:type="dxa"/>
            <w:shd w:val="clear" w:color="auto" w:fill="FFFFFF" w:themeFill="background1"/>
          </w:tcPr>
          <w:p w14:paraId="5F68BFC0" w14:textId="77777777" w:rsidR="00763726" w:rsidRPr="0052514D" w:rsidRDefault="009B774B" w:rsidP="003D0CC5">
            <w:pPr>
              <w:jc w:val="center"/>
            </w:pPr>
            <w:r w:rsidRPr="0052514D">
              <w:t>9</w:t>
            </w:r>
          </w:p>
          <w:p w14:paraId="67567E6E" w14:textId="77777777" w:rsidR="006B376D" w:rsidRPr="0052514D" w:rsidRDefault="006B376D" w:rsidP="003D0CC5">
            <w:pPr>
              <w:jc w:val="center"/>
            </w:pPr>
          </w:p>
          <w:p w14:paraId="5B95CE92" w14:textId="6C67C03E" w:rsidR="006B376D" w:rsidRPr="0052514D" w:rsidRDefault="006B376D" w:rsidP="00100DC5">
            <w:pPr>
              <w:jc w:val="center"/>
            </w:pPr>
          </w:p>
        </w:tc>
        <w:tc>
          <w:tcPr>
            <w:tcW w:w="7020" w:type="dxa"/>
            <w:shd w:val="clear" w:color="auto" w:fill="FFFFFF" w:themeFill="background1"/>
          </w:tcPr>
          <w:p w14:paraId="30A6498D" w14:textId="6CE0361A" w:rsidR="00B74623" w:rsidRPr="0052514D" w:rsidRDefault="00B74623" w:rsidP="00B74623">
            <w:pPr>
              <w:rPr>
                <w:rFonts w:ascii="Book Antiqua" w:hAnsi="Book Antiqua"/>
                <w:b/>
                <w:bCs/>
              </w:rPr>
            </w:pPr>
            <w:r w:rsidRPr="0052514D">
              <w:rPr>
                <w:rFonts w:ascii="Book Antiqua" w:hAnsi="Book Antiqua"/>
                <w:b/>
                <w:bCs/>
              </w:rPr>
              <w:t>Chapter 1</w:t>
            </w:r>
            <w:r>
              <w:rPr>
                <w:rFonts w:ascii="Book Antiqua" w:hAnsi="Book Antiqua"/>
                <w:b/>
                <w:bCs/>
              </w:rPr>
              <w:t>6</w:t>
            </w:r>
            <w:r w:rsidRPr="0052514D">
              <w:rPr>
                <w:rFonts w:ascii="Book Antiqua" w:hAnsi="Book Antiqua"/>
                <w:b/>
                <w:bCs/>
              </w:rPr>
              <w:t xml:space="preserve">:  </w:t>
            </w:r>
            <w:r>
              <w:rPr>
                <w:rFonts w:ascii="Book Antiqua" w:hAnsi="Book Antiqua"/>
                <w:b/>
                <w:bCs/>
              </w:rPr>
              <w:t>Fiduciary Duty Litigation</w:t>
            </w:r>
            <w:r w:rsidRPr="0052514D">
              <w:rPr>
                <w:rFonts w:ascii="Book Antiqua" w:hAnsi="Book Antiqua"/>
                <w:b/>
                <w:bCs/>
              </w:rPr>
              <w:t xml:space="preserve"> </w:t>
            </w:r>
          </w:p>
          <w:p w14:paraId="6A918BDC" w14:textId="3EB1AF1D" w:rsidR="00B74623" w:rsidRPr="0052514D" w:rsidRDefault="00B74623" w:rsidP="00B74623">
            <w:pPr>
              <w:pStyle w:val="ListParagraph"/>
              <w:numPr>
                <w:ilvl w:val="0"/>
                <w:numId w:val="13"/>
              </w:numPr>
              <w:ind w:left="360"/>
              <w:rPr>
                <w:rFonts w:ascii="Book Antiqua" w:hAnsi="Book Antiqua"/>
                <w:i/>
                <w:iCs/>
              </w:rPr>
            </w:pPr>
            <w:r w:rsidRPr="0052514D">
              <w:rPr>
                <w:rFonts w:ascii="Book Antiqua" w:hAnsi="Book Antiqua"/>
              </w:rPr>
              <w:t xml:space="preserve">Section A:  </w:t>
            </w:r>
            <w:r>
              <w:rPr>
                <w:rFonts w:ascii="Book Antiqua" w:hAnsi="Book Antiqua"/>
              </w:rPr>
              <w:t xml:space="preserve">Overview of Fiduciary Duty Lawsuits </w:t>
            </w:r>
          </w:p>
          <w:p w14:paraId="6CAF63CA" w14:textId="237790A8" w:rsidR="00B74623" w:rsidRPr="0052514D" w:rsidRDefault="00B74623" w:rsidP="00B74623">
            <w:pPr>
              <w:pStyle w:val="ListParagraph"/>
              <w:numPr>
                <w:ilvl w:val="0"/>
                <w:numId w:val="13"/>
              </w:numPr>
              <w:ind w:left="360"/>
              <w:rPr>
                <w:rFonts w:ascii="Book Antiqua" w:hAnsi="Book Antiqua"/>
              </w:rPr>
            </w:pPr>
            <w:r w:rsidRPr="0052514D">
              <w:rPr>
                <w:rFonts w:ascii="Book Antiqua" w:hAnsi="Book Antiqua"/>
              </w:rPr>
              <w:t xml:space="preserve">Section B:  </w:t>
            </w:r>
            <w:r>
              <w:rPr>
                <w:rFonts w:ascii="Book Antiqua" w:hAnsi="Book Antiqua"/>
              </w:rPr>
              <w:t xml:space="preserve">Fiduciary Duties </w:t>
            </w:r>
          </w:p>
          <w:p w14:paraId="1474FD36" w14:textId="338B9F52" w:rsidR="00B74623" w:rsidRPr="00B74623" w:rsidRDefault="00B74623" w:rsidP="00B74623">
            <w:pPr>
              <w:pStyle w:val="ListParagraph"/>
              <w:numPr>
                <w:ilvl w:val="0"/>
                <w:numId w:val="13"/>
              </w:numPr>
              <w:ind w:left="360"/>
              <w:rPr>
                <w:i/>
                <w:iCs/>
              </w:rPr>
            </w:pPr>
            <w:r w:rsidRPr="0052514D">
              <w:rPr>
                <w:rFonts w:ascii="Book Antiqua" w:hAnsi="Book Antiqua"/>
              </w:rPr>
              <w:t>Section C:</w:t>
            </w:r>
            <w:r>
              <w:rPr>
                <w:rFonts w:ascii="Book Antiqua" w:hAnsi="Book Antiqua"/>
              </w:rPr>
              <w:t xml:space="preserve">  Standards of Review </w:t>
            </w:r>
          </w:p>
          <w:p w14:paraId="29840F8A" w14:textId="44CEB4E2" w:rsidR="00B74623" w:rsidRPr="00B74623" w:rsidRDefault="00B74623" w:rsidP="00B74623">
            <w:pPr>
              <w:pStyle w:val="ListParagraph"/>
              <w:numPr>
                <w:ilvl w:val="0"/>
                <w:numId w:val="13"/>
              </w:numPr>
              <w:ind w:left="360"/>
              <w:rPr>
                <w:i/>
                <w:iCs/>
              </w:rPr>
            </w:pPr>
            <w:r>
              <w:rPr>
                <w:rFonts w:ascii="Book Antiqua" w:hAnsi="Book Antiqua"/>
              </w:rPr>
              <w:t xml:space="preserve">Section D:  How the Standard of Review Affects Transaction Structuring </w:t>
            </w:r>
          </w:p>
          <w:p w14:paraId="51D046B8" w14:textId="511FAEB2" w:rsidR="00B74623" w:rsidRPr="00B74623" w:rsidRDefault="00B74623" w:rsidP="00B74623">
            <w:pPr>
              <w:pStyle w:val="ListParagraph"/>
              <w:numPr>
                <w:ilvl w:val="0"/>
                <w:numId w:val="13"/>
              </w:numPr>
              <w:ind w:left="360"/>
              <w:rPr>
                <w:i/>
                <w:iCs/>
              </w:rPr>
            </w:pPr>
            <w:r>
              <w:rPr>
                <w:rFonts w:ascii="Book Antiqua" w:hAnsi="Book Antiqua"/>
              </w:rPr>
              <w:t xml:space="preserve">Section E:  Disclosure </w:t>
            </w:r>
          </w:p>
          <w:p w14:paraId="477DB828" w14:textId="662CA08F" w:rsidR="00B74623" w:rsidRPr="0052514D" w:rsidRDefault="00B74623" w:rsidP="00B74623">
            <w:pPr>
              <w:pStyle w:val="ListParagraph"/>
              <w:numPr>
                <w:ilvl w:val="0"/>
                <w:numId w:val="13"/>
              </w:numPr>
              <w:ind w:left="360"/>
              <w:rPr>
                <w:i/>
                <w:iCs/>
              </w:rPr>
            </w:pPr>
            <w:r>
              <w:rPr>
                <w:rFonts w:ascii="Book Antiqua" w:hAnsi="Book Antiqua"/>
              </w:rPr>
              <w:t xml:space="preserve">Section F:  Remedies </w:t>
            </w:r>
          </w:p>
          <w:p w14:paraId="6722BAE9" w14:textId="77777777" w:rsidR="00B74623" w:rsidRPr="0052514D" w:rsidRDefault="00B74623" w:rsidP="00B74623">
            <w:pPr>
              <w:jc w:val="both"/>
            </w:pPr>
          </w:p>
          <w:p w14:paraId="77953A81" w14:textId="03C867A8" w:rsidR="007D6B27" w:rsidRPr="0052514D" w:rsidRDefault="007D6B27" w:rsidP="007D6B27">
            <w:pPr>
              <w:rPr>
                <w:rFonts w:ascii="Book Antiqua" w:hAnsi="Book Antiqua"/>
                <w:b/>
                <w:bCs/>
              </w:rPr>
            </w:pPr>
            <w:r w:rsidRPr="0052514D">
              <w:rPr>
                <w:rFonts w:ascii="Book Antiqua" w:hAnsi="Book Antiqua"/>
                <w:b/>
                <w:bCs/>
              </w:rPr>
              <w:t>Chapter 1</w:t>
            </w:r>
            <w:r w:rsidR="00B74623">
              <w:rPr>
                <w:rFonts w:ascii="Book Antiqua" w:hAnsi="Book Antiqua"/>
                <w:b/>
                <w:bCs/>
              </w:rPr>
              <w:t>8</w:t>
            </w:r>
            <w:r w:rsidRPr="0052514D">
              <w:rPr>
                <w:rFonts w:ascii="Book Antiqua" w:hAnsi="Book Antiqua"/>
                <w:b/>
                <w:bCs/>
              </w:rPr>
              <w:t xml:space="preserve">:  The Sale Process </w:t>
            </w:r>
          </w:p>
          <w:p w14:paraId="32F24BB8" w14:textId="1B51153B" w:rsidR="007D6B27" w:rsidRPr="0052514D" w:rsidRDefault="007D6B27" w:rsidP="007D6B27">
            <w:pPr>
              <w:pStyle w:val="ListParagraph"/>
              <w:numPr>
                <w:ilvl w:val="0"/>
                <w:numId w:val="13"/>
              </w:numPr>
              <w:ind w:left="360"/>
              <w:rPr>
                <w:rFonts w:ascii="Book Antiqua" w:hAnsi="Book Antiqua"/>
              </w:rPr>
            </w:pPr>
            <w:r w:rsidRPr="0052514D">
              <w:rPr>
                <w:rFonts w:ascii="Book Antiqua" w:hAnsi="Book Antiqua"/>
              </w:rPr>
              <w:t xml:space="preserve">Section A:  Smith v. Van Gorkom and the </w:t>
            </w:r>
            <w:r w:rsidR="00E42EDE" w:rsidRPr="0052514D">
              <w:rPr>
                <w:rFonts w:ascii="Book Antiqua" w:hAnsi="Book Antiqua"/>
              </w:rPr>
              <w:t xml:space="preserve">Board’s </w:t>
            </w:r>
            <w:r w:rsidRPr="0052514D">
              <w:rPr>
                <w:rFonts w:ascii="Book Antiqua" w:hAnsi="Book Antiqua"/>
              </w:rPr>
              <w:t xml:space="preserve">Duty of Care </w:t>
            </w:r>
          </w:p>
          <w:p w14:paraId="144F9834" w14:textId="77777777" w:rsidR="007D6B27" w:rsidRPr="0052514D" w:rsidRDefault="007D6B27" w:rsidP="007D6B27">
            <w:pPr>
              <w:pStyle w:val="ListParagraph"/>
              <w:numPr>
                <w:ilvl w:val="0"/>
                <w:numId w:val="14"/>
              </w:numPr>
              <w:rPr>
                <w:rFonts w:ascii="Book Antiqua" w:hAnsi="Book Antiqua"/>
                <w:i/>
                <w:iCs/>
              </w:rPr>
            </w:pPr>
            <w:r w:rsidRPr="0052514D">
              <w:rPr>
                <w:rFonts w:ascii="Book Antiqua" w:hAnsi="Book Antiqua"/>
                <w:i/>
                <w:iCs/>
              </w:rPr>
              <w:t xml:space="preserve">Smith v. Van Gorkom  </w:t>
            </w:r>
          </w:p>
          <w:p w14:paraId="4C8ECBDF" w14:textId="77777777" w:rsidR="007D6B27" w:rsidRPr="0052514D" w:rsidRDefault="007D6B27" w:rsidP="007D6B27">
            <w:pPr>
              <w:pStyle w:val="ListParagraph"/>
              <w:numPr>
                <w:ilvl w:val="0"/>
                <w:numId w:val="13"/>
              </w:numPr>
              <w:ind w:left="360"/>
              <w:rPr>
                <w:rFonts w:ascii="Book Antiqua" w:hAnsi="Book Antiqua"/>
              </w:rPr>
            </w:pPr>
            <w:r w:rsidRPr="0052514D">
              <w:rPr>
                <w:rFonts w:ascii="Book Antiqua" w:hAnsi="Book Antiqua"/>
              </w:rPr>
              <w:t xml:space="preserve">Section B:  The Legislative Response to Van Gorkom </w:t>
            </w:r>
          </w:p>
          <w:p w14:paraId="2C44E3DB" w14:textId="37FE4737" w:rsidR="005A59F8" w:rsidRDefault="007D6B27" w:rsidP="00260B7E">
            <w:pPr>
              <w:pStyle w:val="ListParagraph"/>
              <w:numPr>
                <w:ilvl w:val="0"/>
                <w:numId w:val="13"/>
              </w:numPr>
              <w:ind w:left="360"/>
            </w:pPr>
            <w:r w:rsidRPr="0052514D">
              <w:rPr>
                <w:rFonts w:ascii="Book Antiqua" w:hAnsi="Book Antiqua"/>
              </w:rPr>
              <w:lastRenderedPageBreak/>
              <w:t xml:space="preserve">Section C:  Van Gorkom and Duty of Care in Modern Times </w:t>
            </w:r>
          </w:p>
          <w:p w14:paraId="0F39BA4D" w14:textId="77777777" w:rsidR="005A59F8" w:rsidRDefault="005A59F8" w:rsidP="007D6B27">
            <w:pPr>
              <w:jc w:val="both"/>
            </w:pPr>
          </w:p>
          <w:p w14:paraId="32B9E17C" w14:textId="77777777" w:rsidR="00260B7E" w:rsidRPr="0052514D" w:rsidRDefault="00260B7E" w:rsidP="00260B7E">
            <w:pPr>
              <w:rPr>
                <w:b/>
                <w:bCs/>
              </w:rPr>
            </w:pPr>
            <w:r w:rsidRPr="0052514D">
              <w:rPr>
                <w:b/>
                <w:bCs/>
              </w:rPr>
              <w:t>Chapter 1</w:t>
            </w:r>
            <w:r>
              <w:rPr>
                <w:b/>
                <w:bCs/>
              </w:rPr>
              <w:t>9</w:t>
            </w:r>
            <w:r w:rsidRPr="0052514D">
              <w:rPr>
                <w:b/>
                <w:bCs/>
              </w:rPr>
              <w:t xml:space="preserve">:  Selling the Corporation </w:t>
            </w:r>
          </w:p>
          <w:p w14:paraId="200C1EC7" w14:textId="77777777" w:rsidR="00260B7E" w:rsidRPr="0052514D" w:rsidRDefault="00260B7E" w:rsidP="00260B7E">
            <w:pPr>
              <w:pStyle w:val="ListParagraph"/>
              <w:numPr>
                <w:ilvl w:val="0"/>
                <w:numId w:val="15"/>
              </w:numPr>
            </w:pPr>
            <w:r w:rsidRPr="0052514D">
              <w:t xml:space="preserve">Section A:  Maximizing Shareholder Value: Revlon Duties </w:t>
            </w:r>
          </w:p>
          <w:p w14:paraId="6742C20E" w14:textId="39439EA2" w:rsidR="00260B7E" w:rsidRPr="00260B7E" w:rsidRDefault="00260B7E" w:rsidP="00260B7E">
            <w:pPr>
              <w:pStyle w:val="ListParagraph"/>
              <w:numPr>
                <w:ilvl w:val="1"/>
                <w:numId w:val="15"/>
              </w:numPr>
              <w:rPr>
                <w:i/>
                <w:iCs/>
              </w:rPr>
            </w:pPr>
            <w:r w:rsidRPr="0052514D">
              <w:rPr>
                <w:i/>
                <w:iCs/>
              </w:rPr>
              <w:t xml:space="preserve">Revlon Inc. v. MacAndrews &amp; Forbes Holdings Inc. </w:t>
            </w:r>
          </w:p>
          <w:p w14:paraId="579DD0E8" w14:textId="34ACE10F" w:rsidR="00260B7E" w:rsidRPr="0052514D" w:rsidRDefault="00260B7E" w:rsidP="007D6B27">
            <w:pPr>
              <w:jc w:val="both"/>
            </w:pPr>
          </w:p>
        </w:tc>
        <w:tc>
          <w:tcPr>
            <w:tcW w:w="1170" w:type="dxa"/>
            <w:shd w:val="clear" w:color="auto" w:fill="FFFFFF" w:themeFill="background1"/>
          </w:tcPr>
          <w:p w14:paraId="77F94FC4" w14:textId="1350A73E" w:rsidR="00B74623" w:rsidRDefault="00B74623" w:rsidP="007D6B27">
            <w:pPr>
              <w:jc w:val="center"/>
            </w:pPr>
            <w:r>
              <w:lastRenderedPageBreak/>
              <w:t>507-525</w:t>
            </w:r>
          </w:p>
          <w:p w14:paraId="744B8CF1" w14:textId="77777777" w:rsidR="00B74623" w:rsidRDefault="00B74623" w:rsidP="007D6B27">
            <w:pPr>
              <w:jc w:val="center"/>
            </w:pPr>
          </w:p>
          <w:p w14:paraId="4FA8D6AF" w14:textId="77777777" w:rsidR="00B74623" w:rsidRDefault="00B74623" w:rsidP="007D6B27">
            <w:pPr>
              <w:jc w:val="center"/>
            </w:pPr>
          </w:p>
          <w:p w14:paraId="235DA246" w14:textId="77777777" w:rsidR="00B74623" w:rsidRDefault="00B74623" w:rsidP="007D6B27">
            <w:pPr>
              <w:jc w:val="center"/>
            </w:pPr>
          </w:p>
          <w:p w14:paraId="28A90322" w14:textId="77777777" w:rsidR="00B74623" w:rsidRDefault="00B74623" w:rsidP="007D6B27">
            <w:pPr>
              <w:jc w:val="center"/>
            </w:pPr>
          </w:p>
          <w:p w14:paraId="09AC22C8" w14:textId="77777777" w:rsidR="00B74623" w:rsidRDefault="00B74623" w:rsidP="007D6B27">
            <w:pPr>
              <w:jc w:val="center"/>
            </w:pPr>
          </w:p>
          <w:p w14:paraId="59866198" w14:textId="77777777" w:rsidR="00B74623" w:rsidRDefault="00B74623" w:rsidP="007D6B27">
            <w:pPr>
              <w:jc w:val="center"/>
            </w:pPr>
          </w:p>
          <w:p w14:paraId="1FA9BB43" w14:textId="77777777" w:rsidR="00B74623" w:rsidRDefault="00B74623" w:rsidP="007D6B27">
            <w:pPr>
              <w:jc w:val="center"/>
            </w:pPr>
          </w:p>
          <w:p w14:paraId="1A608A64" w14:textId="77777777" w:rsidR="00B74623" w:rsidRDefault="00B74623" w:rsidP="007D6B27">
            <w:pPr>
              <w:jc w:val="center"/>
            </w:pPr>
          </w:p>
          <w:p w14:paraId="75BF033B" w14:textId="0A85C6AF" w:rsidR="007D6B27" w:rsidRDefault="00260B7E" w:rsidP="007D6B27">
            <w:pPr>
              <w:jc w:val="center"/>
            </w:pPr>
            <w:r>
              <w:t>603</w:t>
            </w:r>
            <w:r w:rsidR="007D6B27">
              <w:t>-6</w:t>
            </w:r>
            <w:r w:rsidR="00B74623">
              <w:t>25</w:t>
            </w:r>
          </w:p>
          <w:p w14:paraId="3681BF12" w14:textId="72298F4E" w:rsidR="007D6B27" w:rsidRDefault="007D6B27" w:rsidP="007D6B27">
            <w:pPr>
              <w:jc w:val="center"/>
            </w:pPr>
          </w:p>
          <w:p w14:paraId="3F6B971A" w14:textId="1D908C5A" w:rsidR="00260B7E" w:rsidRDefault="00260B7E" w:rsidP="007D6B27">
            <w:pPr>
              <w:jc w:val="center"/>
            </w:pPr>
          </w:p>
          <w:p w14:paraId="4D650C3F" w14:textId="3893A587" w:rsidR="00260B7E" w:rsidRDefault="00260B7E" w:rsidP="007D6B27">
            <w:pPr>
              <w:jc w:val="center"/>
            </w:pPr>
          </w:p>
          <w:p w14:paraId="13420150" w14:textId="663928A9" w:rsidR="00260B7E" w:rsidRDefault="00260B7E" w:rsidP="007D6B27">
            <w:pPr>
              <w:jc w:val="center"/>
            </w:pPr>
          </w:p>
          <w:p w14:paraId="39D9C9FD" w14:textId="7326CCA5" w:rsidR="00260B7E" w:rsidRDefault="00260B7E" w:rsidP="007D6B27">
            <w:pPr>
              <w:jc w:val="center"/>
            </w:pPr>
          </w:p>
          <w:p w14:paraId="3285B8B3" w14:textId="4F0B6E16" w:rsidR="00260B7E" w:rsidRDefault="00260B7E" w:rsidP="007D6B27">
            <w:pPr>
              <w:jc w:val="center"/>
            </w:pPr>
          </w:p>
          <w:p w14:paraId="048B31A4" w14:textId="0141C181" w:rsidR="00260B7E" w:rsidRDefault="00260B7E" w:rsidP="007D6B27">
            <w:pPr>
              <w:jc w:val="center"/>
            </w:pPr>
            <w:r>
              <w:t>627-636</w:t>
            </w:r>
          </w:p>
          <w:p w14:paraId="35C0167F" w14:textId="77777777" w:rsidR="00EC2413" w:rsidRDefault="00EC2413" w:rsidP="007D6B27">
            <w:pPr>
              <w:jc w:val="center"/>
            </w:pPr>
          </w:p>
          <w:p w14:paraId="03335BDE" w14:textId="4D9F4237" w:rsidR="00AD33CD" w:rsidRPr="00F614BD" w:rsidRDefault="00AD33CD" w:rsidP="00260B7E">
            <w:pPr>
              <w:rPr>
                <w:color w:val="FF0000"/>
              </w:rPr>
            </w:pPr>
          </w:p>
        </w:tc>
      </w:tr>
      <w:tr w:rsidR="00AD33CD" w:rsidRPr="00420406" w14:paraId="48C2440C" w14:textId="77777777" w:rsidTr="004B1C31">
        <w:tc>
          <w:tcPr>
            <w:tcW w:w="1283" w:type="dxa"/>
            <w:shd w:val="clear" w:color="auto" w:fill="FFFFFF" w:themeFill="background1"/>
          </w:tcPr>
          <w:p w14:paraId="2FA9311E" w14:textId="77777777" w:rsidR="00763726" w:rsidRPr="0052514D" w:rsidRDefault="009B774B" w:rsidP="006B376D">
            <w:pPr>
              <w:jc w:val="center"/>
            </w:pPr>
            <w:r w:rsidRPr="0052514D">
              <w:lastRenderedPageBreak/>
              <w:t>10</w:t>
            </w:r>
          </w:p>
          <w:p w14:paraId="665FA2C8" w14:textId="77777777" w:rsidR="006B376D" w:rsidRPr="0052514D" w:rsidRDefault="006B376D" w:rsidP="006B376D">
            <w:pPr>
              <w:jc w:val="center"/>
            </w:pPr>
          </w:p>
          <w:p w14:paraId="225ACE2D" w14:textId="02ED9632" w:rsidR="00046154" w:rsidRPr="0052514D" w:rsidRDefault="00046154" w:rsidP="00100DC5">
            <w:pPr>
              <w:jc w:val="center"/>
            </w:pPr>
          </w:p>
        </w:tc>
        <w:tc>
          <w:tcPr>
            <w:tcW w:w="7020" w:type="dxa"/>
            <w:shd w:val="clear" w:color="auto" w:fill="FFFFFF" w:themeFill="background1"/>
          </w:tcPr>
          <w:p w14:paraId="05949D64" w14:textId="5F4C7666" w:rsidR="007D6B27" w:rsidRPr="0052514D" w:rsidRDefault="007D6B27" w:rsidP="007D6B27">
            <w:pPr>
              <w:rPr>
                <w:b/>
                <w:bCs/>
              </w:rPr>
            </w:pPr>
            <w:r w:rsidRPr="0052514D">
              <w:rPr>
                <w:b/>
                <w:bCs/>
              </w:rPr>
              <w:t>Chapter 1</w:t>
            </w:r>
            <w:r w:rsidR="00260B7E">
              <w:rPr>
                <w:b/>
                <w:bCs/>
              </w:rPr>
              <w:t>9</w:t>
            </w:r>
            <w:r w:rsidRPr="0052514D">
              <w:rPr>
                <w:b/>
                <w:bCs/>
              </w:rPr>
              <w:t xml:space="preserve">:  Selling the Corporation </w:t>
            </w:r>
          </w:p>
          <w:p w14:paraId="2445DAD7" w14:textId="77777777" w:rsidR="007D6B27" w:rsidRPr="0052514D" w:rsidRDefault="007D6B27" w:rsidP="007D6B27">
            <w:pPr>
              <w:pStyle w:val="ListParagraph"/>
              <w:numPr>
                <w:ilvl w:val="0"/>
                <w:numId w:val="15"/>
              </w:numPr>
            </w:pPr>
            <w:r w:rsidRPr="0052514D">
              <w:t xml:space="preserve">Section B:  What Triggers Revlon? </w:t>
            </w:r>
          </w:p>
          <w:p w14:paraId="3FD68D93" w14:textId="77777777" w:rsidR="00260B7E" w:rsidRPr="0052514D" w:rsidRDefault="00260B7E" w:rsidP="00260B7E">
            <w:pPr>
              <w:pStyle w:val="ListParagraph"/>
              <w:numPr>
                <w:ilvl w:val="0"/>
                <w:numId w:val="17"/>
              </w:numPr>
              <w:rPr>
                <w:i/>
                <w:iCs/>
              </w:rPr>
            </w:pPr>
            <w:r w:rsidRPr="0052514D">
              <w:rPr>
                <w:i/>
                <w:iCs/>
              </w:rPr>
              <w:t>Paramount v. Time</w:t>
            </w:r>
          </w:p>
          <w:p w14:paraId="5D76115F" w14:textId="77777777" w:rsidR="007D6B27" w:rsidRPr="0052514D" w:rsidRDefault="007D6B27" w:rsidP="007D6B27">
            <w:pPr>
              <w:pStyle w:val="ListParagraph"/>
              <w:numPr>
                <w:ilvl w:val="0"/>
                <w:numId w:val="17"/>
              </w:numPr>
              <w:rPr>
                <w:i/>
                <w:iCs/>
              </w:rPr>
            </w:pPr>
            <w:r w:rsidRPr="0052514D">
              <w:rPr>
                <w:i/>
                <w:iCs/>
              </w:rPr>
              <w:t xml:space="preserve">QVC v. Paramount </w:t>
            </w:r>
          </w:p>
          <w:p w14:paraId="158541EE" w14:textId="77777777" w:rsidR="007D6B27" w:rsidRPr="0052514D" w:rsidRDefault="007D6B27" w:rsidP="007D6B27">
            <w:pPr>
              <w:pStyle w:val="ListParagraph"/>
              <w:numPr>
                <w:ilvl w:val="0"/>
                <w:numId w:val="15"/>
              </w:numPr>
            </w:pPr>
            <w:r w:rsidRPr="0052514D">
              <w:t xml:space="preserve">Section C:  Revlon Today </w:t>
            </w:r>
          </w:p>
          <w:p w14:paraId="343F07D3" w14:textId="77777777" w:rsidR="007D6B27" w:rsidRPr="0052514D" w:rsidRDefault="007D6B27" w:rsidP="007D6B27">
            <w:pPr>
              <w:pStyle w:val="ListParagraph"/>
              <w:numPr>
                <w:ilvl w:val="0"/>
                <w:numId w:val="18"/>
              </w:numPr>
              <w:rPr>
                <w:i/>
                <w:iCs/>
              </w:rPr>
            </w:pPr>
            <w:r w:rsidRPr="0052514D">
              <w:rPr>
                <w:i/>
                <w:iCs/>
              </w:rPr>
              <w:t xml:space="preserve">Lyondell Chemical v. Ryan </w:t>
            </w:r>
          </w:p>
          <w:p w14:paraId="4B0FFBE7" w14:textId="77777777" w:rsidR="007D6B27" w:rsidRPr="0052514D" w:rsidRDefault="007D6B27" w:rsidP="007D6B27">
            <w:pPr>
              <w:pStyle w:val="ListParagraph"/>
              <w:numPr>
                <w:ilvl w:val="0"/>
                <w:numId w:val="16"/>
              </w:numPr>
            </w:pPr>
            <w:r w:rsidRPr="0052514D">
              <w:t xml:space="preserve">Section D:  Go-Shops </w:t>
            </w:r>
          </w:p>
          <w:p w14:paraId="3F3F9DFE" w14:textId="77777777" w:rsidR="007D6B27" w:rsidRPr="0052514D" w:rsidRDefault="007D6B27" w:rsidP="007D6B27">
            <w:pPr>
              <w:pStyle w:val="ListParagraph"/>
              <w:numPr>
                <w:ilvl w:val="0"/>
                <w:numId w:val="16"/>
              </w:numPr>
            </w:pPr>
            <w:r w:rsidRPr="0052514D">
              <w:t xml:space="preserve">Section E:  Revlon and Deal Protections </w:t>
            </w:r>
          </w:p>
          <w:p w14:paraId="069CE149" w14:textId="77777777" w:rsidR="007D6B27" w:rsidRPr="0052514D" w:rsidRDefault="007D6B27" w:rsidP="007D6B27">
            <w:pPr>
              <w:pStyle w:val="ListParagraph"/>
              <w:numPr>
                <w:ilvl w:val="0"/>
                <w:numId w:val="16"/>
              </w:numPr>
            </w:pPr>
            <w:r w:rsidRPr="0052514D">
              <w:t xml:space="preserve">Section F:  Revlon in Mixed Stock / Cash Transactions </w:t>
            </w:r>
          </w:p>
          <w:p w14:paraId="4B7B4FFC" w14:textId="1366FF40" w:rsidR="007D6B27" w:rsidRDefault="007D6B27" w:rsidP="007D6B27">
            <w:pPr>
              <w:pStyle w:val="ListParagraph"/>
              <w:numPr>
                <w:ilvl w:val="0"/>
                <w:numId w:val="16"/>
              </w:numPr>
            </w:pPr>
            <w:r w:rsidRPr="0052514D">
              <w:t xml:space="preserve">Section G:  Revlon in Other States, and Other Constituency Provisions </w:t>
            </w:r>
          </w:p>
          <w:p w14:paraId="715AE5B5" w14:textId="347AFFE3" w:rsidR="00260B7E" w:rsidRPr="0052514D" w:rsidRDefault="00260B7E" w:rsidP="007D6B27">
            <w:pPr>
              <w:pStyle w:val="ListParagraph"/>
              <w:numPr>
                <w:ilvl w:val="0"/>
                <w:numId w:val="16"/>
              </w:numPr>
            </w:pPr>
            <w:r>
              <w:t xml:space="preserve">Section H:  Other issues </w:t>
            </w:r>
          </w:p>
          <w:p w14:paraId="4C68CB48" w14:textId="694EE1FF" w:rsidR="00C73696" w:rsidRPr="0052514D" w:rsidRDefault="00C73696" w:rsidP="007D6B27"/>
        </w:tc>
        <w:tc>
          <w:tcPr>
            <w:tcW w:w="1170" w:type="dxa"/>
            <w:shd w:val="clear" w:color="auto" w:fill="FFFFFF" w:themeFill="background1"/>
          </w:tcPr>
          <w:p w14:paraId="6B4B7487" w14:textId="129753AD" w:rsidR="007D6B27" w:rsidRPr="007D6B27" w:rsidRDefault="007D6B27" w:rsidP="00401908">
            <w:pPr>
              <w:jc w:val="center"/>
            </w:pPr>
            <w:r w:rsidRPr="007D6B27">
              <w:t>6</w:t>
            </w:r>
            <w:r w:rsidR="00260B7E">
              <w:t>37</w:t>
            </w:r>
            <w:r w:rsidRPr="007D6B27">
              <w:t>-6</w:t>
            </w:r>
            <w:r w:rsidR="00260B7E">
              <w:t>99</w:t>
            </w:r>
          </w:p>
        </w:tc>
      </w:tr>
      <w:tr w:rsidR="00AD33CD" w:rsidRPr="00420406" w14:paraId="0245D598" w14:textId="77777777" w:rsidTr="004B1C31">
        <w:tc>
          <w:tcPr>
            <w:tcW w:w="1283" w:type="dxa"/>
            <w:shd w:val="clear" w:color="auto" w:fill="FFFFFF" w:themeFill="background1"/>
          </w:tcPr>
          <w:p w14:paraId="3D5F03B8" w14:textId="77777777" w:rsidR="00763726" w:rsidRPr="0052514D" w:rsidRDefault="009B774B" w:rsidP="003D0CC5">
            <w:pPr>
              <w:jc w:val="center"/>
            </w:pPr>
            <w:r w:rsidRPr="0052514D">
              <w:t>11</w:t>
            </w:r>
          </w:p>
          <w:p w14:paraId="08951A6F" w14:textId="77777777" w:rsidR="006B376D" w:rsidRPr="0052514D" w:rsidRDefault="006B376D" w:rsidP="003D0CC5">
            <w:pPr>
              <w:jc w:val="center"/>
            </w:pPr>
          </w:p>
          <w:p w14:paraId="5FB95481" w14:textId="2CD88C37" w:rsidR="00EE5006" w:rsidRPr="0052514D" w:rsidRDefault="00EE5006" w:rsidP="00100DC5">
            <w:pPr>
              <w:jc w:val="center"/>
            </w:pPr>
          </w:p>
        </w:tc>
        <w:tc>
          <w:tcPr>
            <w:tcW w:w="7020" w:type="dxa"/>
            <w:shd w:val="clear" w:color="auto" w:fill="FFFFFF" w:themeFill="background1"/>
          </w:tcPr>
          <w:p w14:paraId="4A52C9D4" w14:textId="372552DA" w:rsidR="001F21AC" w:rsidRPr="0052514D" w:rsidRDefault="001F21AC" w:rsidP="001F21AC">
            <w:pPr>
              <w:rPr>
                <w:b/>
                <w:bCs/>
              </w:rPr>
            </w:pPr>
            <w:r w:rsidRPr="0052514D">
              <w:rPr>
                <w:b/>
                <w:bCs/>
              </w:rPr>
              <w:t xml:space="preserve">Chapter </w:t>
            </w:r>
            <w:r w:rsidR="006C4C6A">
              <w:rPr>
                <w:b/>
                <w:bCs/>
              </w:rPr>
              <w:t>20</w:t>
            </w:r>
            <w:r w:rsidRPr="0052514D">
              <w:rPr>
                <w:b/>
                <w:bCs/>
              </w:rPr>
              <w:t xml:space="preserve">:  </w:t>
            </w:r>
            <w:r>
              <w:rPr>
                <w:b/>
                <w:bCs/>
              </w:rPr>
              <w:t xml:space="preserve">Conflicts of Interest: </w:t>
            </w:r>
            <w:r w:rsidR="00452E3F">
              <w:rPr>
                <w:b/>
                <w:bCs/>
              </w:rPr>
              <w:t xml:space="preserve"> Director, Officer, and Shareholders Conflicts </w:t>
            </w:r>
            <w:r w:rsidRPr="0052514D">
              <w:rPr>
                <w:b/>
                <w:bCs/>
              </w:rPr>
              <w:t xml:space="preserve"> </w:t>
            </w:r>
          </w:p>
          <w:p w14:paraId="6515A281" w14:textId="20AB5461" w:rsidR="001F21AC" w:rsidRPr="0052514D" w:rsidRDefault="001F21AC" w:rsidP="001F21AC">
            <w:pPr>
              <w:pStyle w:val="ListParagraph"/>
              <w:numPr>
                <w:ilvl w:val="0"/>
                <w:numId w:val="15"/>
              </w:numPr>
            </w:pPr>
            <w:r w:rsidRPr="0052514D">
              <w:t xml:space="preserve">Section </w:t>
            </w:r>
            <w:r>
              <w:t>A</w:t>
            </w:r>
            <w:r w:rsidRPr="0052514D">
              <w:t xml:space="preserve">:  </w:t>
            </w:r>
            <w:r>
              <w:t xml:space="preserve">Origins of </w:t>
            </w:r>
            <w:proofErr w:type="gramStart"/>
            <w:r>
              <w:t>Conflict of Interest</w:t>
            </w:r>
            <w:proofErr w:type="gramEnd"/>
            <w:r>
              <w:t xml:space="preserve"> Regulation </w:t>
            </w:r>
            <w:r w:rsidRPr="0052514D">
              <w:t xml:space="preserve"> </w:t>
            </w:r>
          </w:p>
          <w:p w14:paraId="743C70CA" w14:textId="5B063819" w:rsidR="001F21AC" w:rsidRPr="0052514D" w:rsidRDefault="001F21AC" w:rsidP="001F21AC">
            <w:pPr>
              <w:pStyle w:val="ListParagraph"/>
              <w:numPr>
                <w:ilvl w:val="0"/>
                <w:numId w:val="15"/>
              </w:numPr>
            </w:pPr>
            <w:r w:rsidRPr="0052514D">
              <w:t xml:space="preserve">Section </w:t>
            </w:r>
            <w:r>
              <w:t>B</w:t>
            </w:r>
            <w:r w:rsidRPr="0052514D">
              <w:t xml:space="preserve">:  </w:t>
            </w:r>
            <w:r>
              <w:t>Freeze-outs</w:t>
            </w:r>
            <w:r w:rsidRPr="0052514D">
              <w:t xml:space="preserve"> </w:t>
            </w:r>
          </w:p>
          <w:p w14:paraId="1083A531" w14:textId="77777777" w:rsidR="001F21AC" w:rsidRDefault="001F21AC" w:rsidP="001F21AC">
            <w:pPr>
              <w:pStyle w:val="ListParagraph"/>
              <w:numPr>
                <w:ilvl w:val="0"/>
                <w:numId w:val="18"/>
              </w:numPr>
              <w:rPr>
                <w:i/>
                <w:iCs/>
              </w:rPr>
            </w:pPr>
            <w:r>
              <w:rPr>
                <w:i/>
                <w:iCs/>
              </w:rPr>
              <w:t xml:space="preserve">Weinberger v. UOP </w:t>
            </w:r>
          </w:p>
          <w:p w14:paraId="243619A6" w14:textId="77777777" w:rsidR="001F21AC" w:rsidRDefault="001F21AC" w:rsidP="001F21AC">
            <w:pPr>
              <w:pStyle w:val="ListParagraph"/>
              <w:numPr>
                <w:ilvl w:val="0"/>
                <w:numId w:val="18"/>
              </w:numPr>
              <w:rPr>
                <w:i/>
                <w:iCs/>
              </w:rPr>
            </w:pPr>
            <w:r>
              <w:rPr>
                <w:i/>
                <w:iCs/>
              </w:rPr>
              <w:t xml:space="preserve">In re Pure Resources Inc. Shareholder Litigation </w:t>
            </w:r>
          </w:p>
          <w:p w14:paraId="4DBFE33A" w14:textId="44AF560A" w:rsidR="001F21AC" w:rsidRPr="0052514D" w:rsidRDefault="001F21AC" w:rsidP="001F21AC">
            <w:pPr>
              <w:pStyle w:val="ListParagraph"/>
              <w:numPr>
                <w:ilvl w:val="0"/>
                <w:numId w:val="18"/>
              </w:numPr>
              <w:rPr>
                <w:i/>
                <w:iCs/>
              </w:rPr>
            </w:pPr>
            <w:r>
              <w:rPr>
                <w:i/>
                <w:iCs/>
              </w:rPr>
              <w:t xml:space="preserve">Kahan v. M&amp;F Worldwide Corp. </w:t>
            </w:r>
            <w:r w:rsidRPr="0052514D">
              <w:rPr>
                <w:i/>
                <w:iCs/>
              </w:rPr>
              <w:t xml:space="preserve"> </w:t>
            </w:r>
          </w:p>
          <w:p w14:paraId="557D0CFF" w14:textId="6C89B9C5" w:rsidR="001F21AC" w:rsidRPr="0052514D" w:rsidRDefault="001F21AC" w:rsidP="001F21AC">
            <w:pPr>
              <w:pStyle w:val="ListParagraph"/>
              <w:numPr>
                <w:ilvl w:val="0"/>
                <w:numId w:val="16"/>
              </w:numPr>
            </w:pPr>
            <w:r w:rsidRPr="0052514D">
              <w:t xml:space="preserve">Section </w:t>
            </w:r>
            <w:r>
              <w:t>C</w:t>
            </w:r>
            <w:r w:rsidRPr="0052514D">
              <w:t xml:space="preserve">:  </w:t>
            </w:r>
            <w:r>
              <w:t xml:space="preserve">Management Buyouts </w:t>
            </w:r>
            <w:r w:rsidRPr="0052514D">
              <w:t xml:space="preserve"> </w:t>
            </w:r>
          </w:p>
          <w:p w14:paraId="1245AB2A" w14:textId="7A29A99A" w:rsidR="001F21AC" w:rsidRDefault="001F21AC" w:rsidP="001F21AC">
            <w:pPr>
              <w:pStyle w:val="ListParagraph"/>
              <w:numPr>
                <w:ilvl w:val="0"/>
                <w:numId w:val="16"/>
              </w:numPr>
            </w:pPr>
            <w:r w:rsidRPr="0052514D">
              <w:t xml:space="preserve">Section </w:t>
            </w:r>
            <w:r>
              <w:t>D</w:t>
            </w:r>
            <w:r w:rsidRPr="0052514D">
              <w:t xml:space="preserve">:  </w:t>
            </w:r>
            <w:r w:rsidR="00452E3F">
              <w:t xml:space="preserve">Other Conflict Transactions </w:t>
            </w:r>
          </w:p>
          <w:p w14:paraId="2B5C6D76" w14:textId="3E7E41D0" w:rsidR="00452E3F" w:rsidRPr="0052514D" w:rsidRDefault="00452E3F" w:rsidP="00452E3F">
            <w:pPr>
              <w:pStyle w:val="ListParagraph"/>
              <w:numPr>
                <w:ilvl w:val="1"/>
                <w:numId w:val="16"/>
              </w:numPr>
            </w:pPr>
            <w:r>
              <w:rPr>
                <w:i/>
                <w:iCs/>
              </w:rPr>
              <w:t xml:space="preserve">In re </w:t>
            </w:r>
            <w:proofErr w:type="spellStart"/>
            <w:r>
              <w:rPr>
                <w:i/>
                <w:iCs/>
              </w:rPr>
              <w:t>MultiPlan</w:t>
            </w:r>
            <w:proofErr w:type="spellEnd"/>
            <w:r>
              <w:rPr>
                <w:i/>
                <w:iCs/>
              </w:rPr>
              <w:t xml:space="preserve"> Corp. Shareholders Litigation </w:t>
            </w:r>
          </w:p>
          <w:p w14:paraId="0A8CA99B" w14:textId="1476502F" w:rsidR="001F21AC" w:rsidRPr="0052514D" w:rsidRDefault="001F21AC" w:rsidP="00452E3F"/>
        </w:tc>
        <w:tc>
          <w:tcPr>
            <w:tcW w:w="1170" w:type="dxa"/>
            <w:shd w:val="clear" w:color="auto" w:fill="FFFFFF" w:themeFill="background1"/>
          </w:tcPr>
          <w:p w14:paraId="51534333" w14:textId="32F63D7B" w:rsidR="001F21AC" w:rsidRPr="00E81769" w:rsidRDefault="00452E3F" w:rsidP="00452E3F">
            <w:pPr>
              <w:jc w:val="center"/>
            </w:pPr>
            <w:r>
              <w:t>701</w:t>
            </w:r>
            <w:r w:rsidR="001F21AC">
              <w:t>-7</w:t>
            </w:r>
            <w:r>
              <w:t>67</w:t>
            </w:r>
          </w:p>
        </w:tc>
      </w:tr>
      <w:tr w:rsidR="005B7E17" w:rsidRPr="00420406" w14:paraId="280C8C09" w14:textId="77777777" w:rsidTr="004B1C31">
        <w:tc>
          <w:tcPr>
            <w:tcW w:w="1283" w:type="dxa"/>
            <w:shd w:val="clear" w:color="auto" w:fill="FFFFFF" w:themeFill="background1"/>
          </w:tcPr>
          <w:p w14:paraId="5F7967F8" w14:textId="77777777" w:rsidR="005B7E17" w:rsidRPr="0052514D" w:rsidRDefault="005B7E17" w:rsidP="007D6B27">
            <w:pPr>
              <w:jc w:val="center"/>
            </w:pPr>
            <w:r w:rsidRPr="0052514D">
              <w:t>12</w:t>
            </w:r>
          </w:p>
          <w:p w14:paraId="5E495D86" w14:textId="77777777" w:rsidR="006B376D" w:rsidRPr="0052514D" w:rsidRDefault="006B376D" w:rsidP="007D6B27">
            <w:pPr>
              <w:jc w:val="center"/>
            </w:pPr>
          </w:p>
          <w:p w14:paraId="4C1FE86F" w14:textId="62540291" w:rsidR="00671A4C" w:rsidRPr="0052514D" w:rsidRDefault="00671A4C" w:rsidP="007D6B27">
            <w:pPr>
              <w:jc w:val="center"/>
            </w:pPr>
          </w:p>
        </w:tc>
        <w:tc>
          <w:tcPr>
            <w:tcW w:w="7020" w:type="dxa"/>
            <w:shd w:val="clear" w:color="auto" w:fill="FFFFFF" w:themeFill="background1"/>
          </w:tcPr>
          <w:p w14:paraId="4D42C0F8" w14:textId="77777777" w:rsidR="007D6B27" w:rsidRPr="0052514D" w:rsidRDefault="007D6B27" w:rsidP="007D6B27">
            <w:pPr>
              <w:rPr>
                <w:b/>
                <w:bCs/>
              </w:rPr>
            </w:pPr>
            <w:r w:rsidRPr="0052514D">
              <w:rPr>
                <w:b/>
                <w:bCs/>
              </w:rPr>
              <w:t xml:space="preserve">Elon Musk’s acquisition of Twitter </w:t>
            </w:r>
          </w:p>
          <w:p w14:paraId="515C8A54" w14:textId="77777777" w:rsidR="001D38EA" w:rsidRDefault="001D38EA" w:rsidP="007D6B27">
            <w:pPr>
              <w:pStyle w:val="ListParagraph"/>
              <w:numPr>
                <w:ilvl w:val="0"/>
                <w:numId w:val="19"/>
              </w:numPr>
            </w:pPr>
            <w:r>
              <w:t xml:space="preserve">Read Twitter Definitive Proxy Statement </w:t>
            </w:r>
          </w:p>
          <w:p w14:paraId="6FB68E8C" w14:textId="77777777" w:rsidR="00723B70" w:rsidRDefault="001D38EA" w:rsidP="001D38EA">
            <w:pPr>
              <w:pStyle w:val="ListParagraph"/>
              <w:numPr>
                <w:ilvl w:val="1"/>
                <w:numId w:val="19"/>
              </w:numPr>
            </w:pPr>
            <w:r>
              <w:t xml:space="preserve">Front matter and </w:t>
            </w:r>
            <w:r w:rsidR="006349FB">
              <w:t xml:space="preserve">the CEO’s and Board’s </w:t>
            </w:r>
            <w:r>
              <w:t xml:space="preserve">letter to shareholders </w:t>
            </w:r>
            <w:r w:rsidR="00723B70">
              <w:t xml:space="preserve"> </w:t>
            </w:r>
          </w:p>
          <w:p w14:paraId="14F1CBCE" w14:textId="36B4711A" w:rsidR="007D6B27" w:rsidRDefault="00723B70" w:rsidP="00723B70">
            <w:pPr>
              <w:pStyle w:val="ListParagraph"/>
              <w:numPr>
                <w:ilvl w:val="2"/>
                <w:numId w:val="19"/>
              </w:numPr>
            </w:pPr>
            <w:r>
              <w:t xml:space="preserve">Skip the notice of the special meeting on the front matter </w:t>
            </w:r>
          </w:p>
          <w:p w14:paraId="43396020" w14:textId="20494351" w:rsidR="001D38EA" w:rsidRDefault="00042CA6" w:rsidP="001D38EA">
            <w:pPr>
              <w:pStyle w:val="ListParagraph"/>
              <w:numPr>
                <w:ilvl w:val="1"/>
                <w:numId w:val="19"/>
              </w:numPr>
            </w:pPr>
            <w:r>
              <w:t>“</w:t>
            </w:r>
            <w:r w:rsidR="001D38EA">
              <w:t>Transaction Summary</w:t>
            </w:r>
            <w:r>
              <w:t>”</w:t>
            </w:r>
            <w:r w:rsidR="001D38EA">
              <w:t xml:space="preserve"> at pp. 1-</w:t>
            </w:r>
            <w:r>
              <w:t xml:space="preserve">19 </w:t>
            </w:r>
          </w:p>
          <w:p w14:paraId="3C4A3076" w14:textId="52223D4B" w:rsidR="00042CA6" w:rsidRDefault="00042CA6" w:rsidP="001D38EA">
            <w:pPr>
              <w:pStyle w:val="ListParagraph"/>
              <w:numPr>
                <w:ilvl w:val="1"/>
                <w:numId w:val="19"/>
              </w:numPr>
            </w:pPr>
            <w:r>
              <w:t xml:space="preserve">“Questions and Answers” at pp. 20-32 </w:t>
            </w:r>
          </w:p>
          <w:p w14:paraId="06964123" w14:textId="46376B29" w:rsidR="00723B70" w:rsidRDefault="00723B70" w:rsidP="00723B70">
            <w:pPr>
              <w:pStyle w:val="ListParagraph"/>
              <w:numPr>
                <w:ilvl w:val="2"/>
                <w:numId w:val="19"/>
              </w:numPr>
            </w:pPr>
            <w:r>
              <w:t xml:space="preserve">Skip (do </w:t>
            </w:r>
            <w:r w:rsidRPr="00723B70">
              <w:rPr>
                <w:u w:val="single"/>
              </w:rPr>
              <w:t>not</w:t>
            </w:r>
            <w:r>
              <w:t xml:space="preserve"> read) “Forward-Looking Statements” and “The Special Meeting” on pp. 33-41 </w:t>
            </w:r>
          </w:p>
          <w:p w14:paraId="39D91A54" w14:textId="2C9FE3AE" w:rsidR="00042CA6" w:rsidRDefault="00042CA6" w:rsidP="001D38EA">
            <w:pPr>
              <w:pStyle w:val="ListParagraph"/>
              <w:numPr>
                <w:ilvl w:val="1"/>
                <w:numId w:val="19"/>
              </w:numPr>
            </w:pPr>
            <w:r>
              <w:t>“The Merger” at pp. 42-134</w:t>
            </w:r>
          </w:p>
          <w:p w14:paraId="0CEE6135" w14:textId="27707F15" w:rsidR="00042CA6" w:rsidRDefault="00042CA6" w:rsidP="001D38EA">
            <w:pPr>
              <w:pStyle w:val="ListParagraph"/>
              <w:numPr>
                <w:ilvl w:val="1"/>
                <w:numId w:val="19"/>
              </w:numPr>
            </w:pPr>
            <w:r>
              <w:t xml:space="preserve">“The Merger Agreement” at pp. 138-162 </w:t>
            </w:r>
          </w:p>
          <w:p w14:paraId="38D61680" w14:textId="77777777" w:rsidR="00723B70" w:rsidRDefault="00042CA6" w:rsidP="001D38EA">
            <w:pPr>
              <w:pStyle w:val="ListParagraph"/>
              <w:numPr>
                <w:ilvl w:val="1"/>
                <w:numId w:val="19"/>
              </w:numPr>
            </w:pPr>
            <w:r>
              <w:t xml:space="preserve">Annex A: Agreement and Plan of Merger, at pp. A-1 to A-63 </w:t>
            </w:r>
            <w:r w:rsidR="00723B70">
              <w:t xml:space="preserve">(skim read overall, but read more carefully the portions of the agreement dealing with topics covered in this course such as:  </w:t>
            </w:r>
          </w:p>
          <w:p w14:paraId="75825757" w14:textId="77777777" w:rsidR="00723B70" w:rsidRDefault="00723B70" w:rsidP="00723B70">
            <w:pPr>
              <w:pStyle w:val="ListParagraph"/>
              <w:numPr>
                <w:ilvl w:val="2"/>
                <w:numId w:val="19"/>
              </w:numPr>
            </w:pPr>
            <w:r>
              <w:lastRenderedPageBreak/>
              <w:t xml:space="preserve">Definitions section </w:t>
            </w:r>
          </w:p>
          <w:p w14:paraId="7E39C2E0" w14:textId="77777777" w:rsidR="00723B70" w:rsidRDefault="00723B70" w:rsidP="00723B70">
            <w:pPr>
              <w:pStyle w:val="ListParagraph"/>
              <w:numPr>
                <w:ilvl w:val="2"/>
                <w:numId w:val="19"/>
              </w:numPr>
            </w:pPr>
            <w:r>
              <w:t>“Representations and Warranties”</w:t>
            </w:r>
          </w:p>
          <w:p w14:paraId="4B6D2E9D" w14:textId="77777777" w:rsidR="00723B70" w:rsidRDefault="00723B70" w:rsidP="00723B70">
            <w:pPr>
              <w:pStyle w:val="ListParagraph"/>
              <w:numPr>
                <w:ilvl w:val="2"/>
                <w:numId w:val="19"/>
              </w:numPr>
            </w:pPr>
            <w:r>
              <w:t>“Restrictions on Solicitations of Other Acquisition Offers”</w:t>
            </w:r>
          </w:p>
          <w:p w14:paraId="36BF824A" w14:textId="77777777" w:rsidR="00723B70" w:rsidRDefault="00723B70" w:rsidP="00723B70">
            <w:pPr>
              <w:pStyle w:val="ListParagraph"/>
              <w:numPr>
                <w:ilvl w:val="2"/>
                <w:numId w:val="19"/>
              </w:numPr>
            </w:pPr>
            <w:r>
              <w:t>“The Twitter Board Recommendation; Board Recommendation Change”</w:t>
            </w:r>
          </w:p>
          <w:p w14:paraId="56B5D416" w14:textId="77777777" w:rsidR="00723B70" w:rsidRDefault="00723B70" w:rsidP="00723B70">
            <w:pPr>
              <w:pStyle w:val="ListParagraph"/>
              <w:numPr>
                <w:ilvl w:val="2"/>
                <w:numId w:val="19"/>
              </w:numPr>
            </w:pPr>
            <w:r>
              <w:t>“Efforts to Close the Merger”</w:t>
            </w:r>
          </w:p>
          <w:p w14:paraId="37BDB5A5" w14:textId="77777777" w:rsidR="00723B70" w:rsidRDefault="00723B70" w:rsidP="00723B70">
            <w:pPr>
              <w:pStyle w:val="ListParagraph"/>
              <w:numPr>
                <w:ilvl w:val="2"/>
                <w:numId w:val="19"/>
              </w:numPr>
            </w:pPr>
            <w:r>
              <w:t>“Conditions to the Closing of the Merger”</w:t>
            </w:r>
          </w:p>
          <w:p w14:paraId="10427E46" w14:textId="77777777" w:rsidR="00723B70" w:rsidRDefault="00723B70" w:rsidP="00723B70">
            <w:pPr>
              <w:pStyle w:val="ListParagraph"/>
              <w:numPr>
                <w:ilvl w:val="2"/>
                <w:numId w:val="19"/>
              </w:numPr>
            </w:pPr>
            <w:r>
              <w:t>“Termination of the Merger Agreement”</w:t>
            </w:r>
          </w:p>
          <w:p w14:paraId="21C80878" w14:textId="66135F78" w:rsidR="00042CA6" w:rsidRPr="0052514D" w:rsidRDefault="00723B70" w:rsidP="00723B70">
            <w:pPr>
              <w:pStyle w:val="ListParagraph"/>
              <w:numPr>
                <w:ilvl w:val="2"/>
                <w:numId w:val="19"/>
              </w:numPr>
            </w:pPr>
            <w:r>
              <w:t xml:space="preserve">“Termination Fees and Remedies”. </w:t>
            </w:r>
          </w:p>
          <w:p w14:paraId="6681C44A" w14:textId="060B3A4B" w:rsidR="007D6B27" w:rsidRPr="0052514D" w:rsidRDefault="00C11529" w:rsidP="007D6B27">
            <w:pPr>
              <w:pStyle w:val="ListParagraph"/>
              <w:numPr>
                <w:ilvl w:val="0"/>
                <w:numId w:val="19"/>
              </w:numPr>
            </w:pPr>
            <w:r>
              <w:t xml:space="preserve">Answer the questions posted on Canvass </w:t>
            </w:r>
          </w:p>
          <w:p w14:paraId="588E7148" w14:textId="64E99B6A" w:rsidR="00C73696" w:rsidRPr="0052514D" w:rsidRDefault="00C73696" w:rsidP="007D6B27">
            <w:pPr>
              <w:rPr>
                <w:rFonts w:ascii="Book Antiqua" w:hAnsi="Book Antiqua"/>
              </w:rPr>
            </w:pPr>
          </w:p>
        </w:tc>
        <w:tc>
          <w:tcPr>
            <w:tcW w:w="1170" w:type="dxa"/>
            <w:shd w:val="clear" w:color="auto" w:fill="FFFFFF" w:themeFill="background1"/>
          </w:tcPr>
          <w:p w14:paraId="3CC9E2BF" w14:textId="7FC128AF" w:rsidR="005B7E17" w:rsidRPr="00E81769" w:rsidRDefault="005B7E17" w:rsidP="005B7E17">
            <w:pPr>
              <w:jc w:val="center"/>
            </w:pPr>
          </w:p>
        </w:tc>
      </w:tr>
      <w:tr w:rsidR="005B7E17" w:rsidRPr="00420406" w14:paraId="20D23EC8" w14:textId="77777777" w:rsidTr="004B1C31">
        <w:tc>
          <w:tcPr>
            <w:tcW w:w="1283" w:type="dxa"/>
            <w:shd w:val="clear" w:color="auto" w:fill="FFFFFF" w:themeFill="background1"/>
          </w:tcPr>
          <w:p w14:paraId="4F1CEABD" w14:textId="711D5766" w:rsidR="005B7E17" w:rsidRPr="0052514D" w:rsidRDefault="005B7E17" w:rsidP="005B7E17">
            <w:pPr>
              <w:jc w:val="center"/>
            </w:pPr>
            <w:r w:rsidRPr="0052514D">
              <w:t>13</w:t>
            </w:r>
          </w:p>
          <w:p w14:paraId="0DAEDF77" w14:textId="08BF9201" w:rsidR="006B376D" w:rsidRPr="0052514D" w:rsidRDefault="006B376D" w:rsidP="005B7E17">
            <w:pPr>
              <w:jc w:val="center"/>
            </w:pPr>
          </w:p>
          <w:p w14:paraId="0464F629" w14:textId="0AB23F54" w:rsidR="005B7E17" w:rsidRPr="0052514D" w:rsidRDefault="005B7E17" w:rsidP="00100DC5">
            <w:pPr>
              <w:jc w:val="center"/>
            </w:pPr>
          </w:p>
        </w:tc>
        <w:tc>
          <w:tcPr>
            <w:tcW w:w="7020" w:type="dxa"/>
            <w:shd w:val="clear" w:color="auto" w:fill="FFFFFF" w:themeFill="background1"/>
          </w:tcPr>
          <w:p w14:paraId="2C42AC8F" w14:textId="351715A1" w:rsidR="007D6B27" w:rsidRPr="0052514D" w:rsidRDefault="007D6B27" w:rsidP="007D6B27">
            <w:pPr>
              <w:rPr>
                <w:b/>
                <w:bCs/>
              </w:rPr>
            </w:pPr>
            <w:r w:rsidRPr="0052514D">
              <w:rPr>
                <w:b/>
                <w:bCs/>
              </w:rPr>
              <w:t xml:space="preserve">Open class </w:t>
            </w:r>
          </w:p>
          <w:p w14:paraId="14E2C391" w14:textId="6FB00558" w:rsidR="007D6B27" w:rsidRPr="0052514D" w:rsidRDefault="007D6B27" w:rsidP="007D6B27">
            <w:pPr>
              <w:pStyle w:val="ListParagraph"/>
              <w:numPr>
                <w:ilvl w:val="0"/>
                <w:numId w:val="19"/>
              </w:numPr>
            </w:pPr>
            <w:r w:rsidRPr="0052514D">
              <w:t xml:space="preserve">Finish the Twitter acquisition </w:t>
            </w:r>
          </w:p>
          <w:p w14:paraId="4EC9E61F" w14:textId="4DF1C4B0" w:rsidR="007D6B27" w:rsidRPr="0052514D" w:rsidRDefault="007D6B27" w:rsidP="007D6B27">
            <w:pPr>
              <w:pStyle w:val="ListParagraph"/>
              <w:numPr>
                <w:ilvl w:val="0"/>
                <w:numId w:val="19"/>
              </w:numPr>
            </w:pPr>
            <w:r w:rsidRPr="0052514D">
              <w:t xml:space="preserve">Discuss final exam </w:t>
            </w:r>
          </w:p>
          <w:p w14:paraId="2E854FC0" w14:textId="13DB5E03" w:rsidR="00C73696" w:rsidRPr="0052514D" w:rsidRDefault="00C73696" w:rsidP="005B7E17"/>
        </w:tc>
        <w:tc>
          <w:tcPr>
            <w:tcW w:w="1170" w:type="dxa"/>
            <w:shd w:val="clear" w:color="auto" w:fill="FFFFFF" w:themeFill="background1"/>
          </w:tcPr>
          <w:p w14:paraId="05B58C41" w14:textId="412112E9" w:rsidR="005B7E17" w:rsidRPr="00E81769" w:rsidRDefault="005B7E17" w:rsidP="005B7E17">
            <w:pPr>
              <w:jc w:val="center"/>
            </w:pPr>
          </w:p>
        </w:tc>
      </w:tr>
      <w:tr w:rsidR="005B7E17" w:rsidRPr="00420406" w14:paraId="7E7DCEDF" w14:textId="77777777" w:rsidTr="004B1C31">
        <w:tc>
          <w:tcPr>
            <w:tcW w:w="1283" w:type="dxa"/>
            <w:shd w:val="clear" w:color="auto" w:fill="FFFFFF" w:themeFill="background1"/>
          </w:tcPr>
          <w:p w14:paraId="700AAB38" w14:textId="77777777" w:rsidR="005B7E17" w:rsidRDefault="005B7E17" w:rsidP="005B7E17">
            <w:pPr>
              <w:jc w:val="center"/>
            </w:pPr>
          </w:p>
        </w:tc>
        <w:tc>
          <w:tcPr>
            <w:tcW w:w="7020" w:type="dxa"/>
            <w:shd w:val="clear" w:color="auto" w:fill="FFFFFF" w:themeFill="background1"/>
          </w:tcPr>
          <w:p w14:paraId="4379E3AD" w14:textId="77777777" w:rsidR="005B7E17" w:rsidRDefault="005B7E17" w:rsidP="005B7E17">
            <w:pPr>
              <w:jc w:val="both"/>
              <w:rPr>
                <w:rFonts w:ascii="Book Antiqua" w:hAnsi="Book Antiqua"/>
              </w:rPr>
            </w:pPr>
          </w:p>
          <w:p w14:paraId="0BE8D1C3" w14:textId="4B33B004" w:rsidR="005B7E17" w:rsidRPr="00D81728" w:rsidRDefault="005B7E17" w:rsidP="005B7E17">
            <w:pPr>
              <w:jc w:val="both"/>
              <w:rPr>
                <w:rFonts w:ascii="Book Antiqua" w:hAnsi="Book Antiqua"/>
                <w:b/>
                <w:bCs/>
                <w:sz w:val="40"/>
                <w:szCs w:val="40"/>
              </w:rPr>
            </w:pPr>
            <w:r w:rsidRPr="00D81728">
              <w:rPr>
                <w:rFonts w:ascii="Book Antiqua" w:hAnsi="Book Antiqua"/>
                <w:b/>
                <w:bCs/>
                <w:sz w:val="40"/>
                <w:szCs w:val="40"/>
              </w:rPr>
              <w:t xml:space="preserve">FINAL EXAM:  </w:t>
            </w:r>
            <w:r>
              <w:rPr>
                <w:rFonts w:ascii="Book Antiqua" w:hAnsi="Book Antiqua"/>
                <w:b/>
                <w:bCs/>
                <w:sz w:val="40"/>
                <w:szCs w:val="40"/>
              </w:rPr>
              <w:t>TBD</w:t>
            </w:r>
          </w:p>
          <w:p w14:paraId="645786EA" w14:textId="36203047" w:rsidR="005B7E17" w:rsidRDefault="005B7E17" w:rsidP="005B7E17">
            <w:pPr>
              <w:jc w:val="both"/>
              <w:rPr>
                <w:rFonts w:ascii="Book Antiqua" w:hAnsi="Book Antiqua"/>
              </w:rPr>
            </w:pPr>
          </w:p>
        </w:tc>
        <w:tc>
          <w:tcPr>
            <w:tcW w:w="1170" w:type="dxa"/>
            <w:shd w:val="clear" w:color="auto" w:fill="FFFFFF" w:themeFill="background1"/>
          </w:tcPr>
          <w:p w14:paraId="0CDFBDB7" w14:textId="77777777" w:rsidR="005B7E17" w:rsidRPr="00E81769" w:rsidRDefault="005B7E17" w:rsidP="005B7E17">
            <w:pPr>
              <w:jc w:val="center"/>
            </w:pPr>
          </w:p>
        </w:tc>
      </w:tr>
    </w:tbl>
    <w:p w14:paraId="06578ECE" w14:textId="40551F69" w:rsidR="005F4375" w:rsidRDefault="005F4375" w:rsidP="005F4375">
      <w:pPr>
        <w:rPr>
          <w:iCs/>
        </w:rPr>
      </w:pPr>
    </w:p>
    <w:p w14:paraId="72720A08" w14:textId="3367B4F1" w:rsidR="003954A1" w:rsidRDefault="003954A1">
      <w:pPr>
        <w:rPr>
          <w:iCs/>
        </w:rPr>
      </w:pPr>
    </w:p>
    <w:sectPr w:rsidR="003954A1"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569"/>
    <w:multiLevelType w:val="hybridMultilevel"/>
    <w:tmpl w:val="9A649868"/>
    <w:lvl w:ilvl="0" w:tplc="AF70C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161"/>
    <w:multiLevelType w:val="hybridMultilevel"/>
    <w:tmpl w:val="04DE1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D54E8"/>
    <w:multiLevelType w:val="hybridMultilevel"/>
    <w:tmpl w:val="7686869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8A34FF8"/>
    <w:multiLevelType w:val="hybridMultilevel"/>
    <w:tmpl w:val="F5520BC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58E66DF"/>
    <w:multiLevelType w:val="hybridMultilevel"/>
    <w:tmpl w:val="2EE6801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500CC"/>
    <w:multiLevelType w:val="hybridMultilevel"/>
    <w:tmpl w:val="799E1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D61339"/>
    <w:multiLevelType w:val="hybridMultilevel"/>
    <w:tmpl w:val="494E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D51FF"/>
    <w:multiLevelType w:val="hybridMultilevel"/>
    <w:tmpl w:val="C6C0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A2CF2"/>
    <w:multiLevelType w:val="hybridMultilevel"/>
    <w:tmpl w:val="DE68F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D78DD"/>
    <w:multiLevelType w:val="hybridMultilevel"/>
    <w:tmpl w:val="C54A266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43A5AAC"/>
    <w:multiLevelType w:val="hybridMultilevel"/>
    <w:tmpl w:val="9224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4C7CA0"/>
    <w:multiLevelType w:val="hybridMultilevel"/>
    <w:tmpl w:val="1FCA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76E51"/>
    <w:multiLevelType w:val="hybridMultilevel"/>
    <w:tmpl w:val="8EAAA1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9BB667B"/>
    <w:multiLevelType w:val="hybridMultilevel"/>
    <w:tmpl w:val="80DA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2C73DA"/>
    <w:multiLevelType w:val="hybridMultilevel"/>
    <w:tmpl w:val="75B29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7530E"/>
    <w:multiLevelType w:val="hybridMultilevel"/>
    <w:tmpl w:val="E10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277EA"/>
    <w:multiLevelType w:val="hybridMultilevel"/>
    <w:tmpl w:val="5AD28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C167F3"/>
    <w:multiLevelType w:val="hybridMultilevel"/>
    <w:tmpl w:val="2ED4C1BE"/>
    <w:lvl w:ilvl="0" w:tplc="5210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03D2"/>
    <w:multiLevelType w:val="hybridMultilevel"/>
    <w:tmpl w:val="2B6C560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C29007E"/>
    <w:multiLevelType w:val="hybridMultilevel"/>
    <w:tmpl w:val="38709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532A13"/>
    <w:multiLevelType w:val="hybridMultilevel"/>
    <w:tmpl w:val="A89A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1468536">
    <w:abstractNumId w:val="1"/>
  </w:num>
  <w:num w:numId="2" w16cid:durableId="1847091717">
    <w:abstractNumId w:val="6"/>
  </w:num>
  <w:num w:numId="3" w16cid:durableId="1521698127">
    <w:abstractNumId w:val="9"/>
  </w:num>
  <w:num w:numId="4" w16cid:durableId="107357358">
    <w:abstractNumId w:val="18"/>
  </w:num>
  <w:num w:numId="5" w16cid:durableId="1935048398">
    <w:abstractNumId w:val="2"/>
  </w:num>
  <w:num w:numId="6" w16cid:durableId="23603028">
    <w:abstractNumId w:val="21"/>
  </w:num>
  <w:num w:numId="7" w16cid:durableId="160001756">
    <w:abstractNumId w:val="8"/>
  </w:num>
  <w:num w:numId="8" w16cid:durableId="1176992732">
    <w:abstractNumId w:val="22"/>
  </w:num>
  <w:num w:numId="9" w16cid:durableId="2136946373">
    <w:abstractNumId w:val="16"/>
  </w:num>
  <w:num w:numId="10" w16cid:durableId="1214656734">
    <w:abstractNumId w:val="13"/>
  </w:num>
  <w:num w:numId="11" w16cid:durableId="1342204161">
    <w:abstractNumId w:val="5"/>
  </w:num>
  <w:num w:numId="12" w16cid:durableId="853617549">
    <w:abstractNumId w:val="4"/>
  </w:num>
  <w:num w:numId="13" w16cid:durableId="414589963">
    <w:abstractNumId w:val="17"/>
  </w:num>
  <w:num w:numId="14" w16cid:durableId="515657767">
    <w:abstractNumId w:val="3"/>
  </w:num>
  <w:num w:numId="15" w16cid:durableId="115218722">
    <w:abstractNumId w:val="11"/>
  </w:num>
  <w:num w:numId="16" w16cid:durableId="1610621615">
    <w:abstractNumId w:val="10"/>
  </w:num>
  <w:num w:numId="17" w16cid:durableId="1464619038">
    <w:abstractNumId w:val="14"/>
  </w:num>
  <w:num w:numId="18" w16cid:durableId="1239173628">
    <w:abstractNumId w:val="20"/>
  </w:num>
  <w:num w:numId="19" w16cid:durableId="485439834">
    <w:abstractNumId w:val="12"/>
  </w:num>
  <w:num w:numId="20" w16cid:durableId="2120105215">
    <w:abstractNumId w:val="7"/>
  </w:num>
  <w:num w:numId="21" w16cid:durableId="56049271">
    <w:abstractNumId w:val="19"/>
  </w:num>
  <w:num w:numId="22" w16cid:durableId="1410732408">
    <w:abstractNumId w:val="0"/>
  </w:num>
  <w:num w:numId="23" w16cid:durableId="11140607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3A9A"/>
    <w:rsid w:val="00031FBD"/>
    <w:rsid w:val="000330D3"/>
    <w:rsid w:val="00035A2A"/>
    <w:rsid w:val="00042CA6"/>
    <w:rsid w:val="00043427"/>
    <w:rsid w:val="00045725"/>
    <w:rsid w:val="00046154"/>
    <w:rsid w:val="00052974"/>
    <w:rsid w:val="00052E7F"/>
    <w:rsid w:val="000564C3"/>
    <w:rsid w:val="00061D88"/>
    <w:rsid w:val="0007278A"/>
    <w:rsid w:val="000739AC"/>
    <w:rsid w:val="00080C5D"/>
    <w:rsid w:val="000834A6"/>
    <w:rsid w:val="00084204"/>
    <w:rsid w:val="00091156"/>
    <w:rsid w:val="00091FE7"/>
    <w:rsid w:val="00093019"/>
    <w:rsid w:val="000A1E8B"/>
    <w:rsid w:val="000B00E2"/>
    <w:rsid w:val="000B2101"/>
    <w:rsid w:val="000B3501"/>
    <w:rsid w:val="000C6935"/>
    <w:rsid w:val="000C7D17"/>
    <w:rsid w:val="000D0756"/>
    <w:rsid w:val="000D1002"/>
    <w:rsid w:val="000D3557"/>
    <w:rsid w:val="000D402B"/>
    <w:rsid w:val="000D5898"/>
    <w:rsid w:val="000E2502"/>
    <w:rsid w:val="000E4E45"/>
    <w:rsid w:val="000F0767"/>
    <w:rsid w:val="00100DC5"/>
    <w:rsid w:val="00101C65"/>
    <w:rsid w:val="00120C66"/>
    <w:rsid w:val="0012357B"/>
    <w:rsid w:val="00125A49"/>
    <w:rsid w:val="001260ED"/>
    <w:rsid w:val="001261D0"/>
    <w:rsid w:val="00126A4C"/>
    <w:rsid w:val="001361E7"/>
    <w:rsid w:val="001362BB"/>
    <w:rsid w:val="00137AD5"/>
    <w:rsid w:val="00144788"/>
    <w:rsid w:val="00153DA6"/>
    <w:rsid w:val="001624CA"/>
    <w:rsid w:val="00163B4E"/>
    <w:rsid w:val="00166274"/>
    <w:rsid w:val="00171036"/>
    <w:rsid w:val="001732D0"/>
    <w:rsid w:val="001733F5"/>
    <w:rsid w:val="00174694"/>
    <w:rsid w:val="001753D5"/>
    <w:rsid w:val="00183076"/>
    <w:rsid w:val="001838F3"/>
    <w:rsid w:val="001869BF"/>
    <w:rsid w:val="00195D7B"/>
    <w:rsid w:val="001A1C2B"/>
    <w:rsid w:val="001A41C8"/>
    <w:rsid w:val="001A6B78"/>
    <w:rsid w:val="001B6AF9"/>
    <w:rsid w:val="001B7BED"/>
    <w:rsid w:val="001C13AC"/>
    <w:rsid w:val="001C244A"/>
    <w:rsid w:val="001C30EF"/>
    <w:rsid w:val="001C3B8E"/>
    <w:rsid w:val="001D38EA"/>
    <w:rsid w:val="001E7403"/>
    <w:rsid w:val="001E7C51"/>
    <w:rsid w:val="001F21AC"/>
    <w:rsid w:val="002003A3"/>
    <w:rsid w:val="00200420"/>
    <w:rsid w:val="00201147"/>
    <w:rsid w:val="002025F9"/>
    <w:rsid w:val="00220B91"/>
    <w:rsid w:val="00221C48"/>
    <w:rsid w:val="00225031"/>
    <w:rsid w:val="002301F2"/>
    <w:rsid w:val="002347C4"/>
    <w:rsid w:val="00237689"/>
    <w:rsid w:val="002416C9"/>
    <w:rsid w:val="002430C3"/>
    <w:rsid w:val="00252706"/>
    <w:rsid w:val="00252CEA"/>
    <w:rsid w:val="00260B7E"/>
    <w:rsid w:val="0026339F"/>
    <w:rsid w:val="002664D3"/>
    <w:rsid w:val="002709F6"/>
    <w:rsid w:val="00275213"/>
    <w:rsid w:val="00281625"/>
    <w:rsid w:val="0029181D"/>
    <w:rsid w:val="00292FBF"/>
    <w:rsid w:val="002967FE"/>
    <w:rsid w:val="002B7D88"/>
    <w:rsid w:val="002C4DE6"/>
    <w:rsid w:val="002D14A9"/>
    <w:rsid w:val="002D2666"/>
    <w:rsid w:val="002D2844"/>
    <w:rsid w:val="002D495B"/>
    <w:rsid w:val="002D5D65"/>
    <w:rsid w:val="002D6951"/>
    <w:rsid w:val="002E0053"/>
    <w:rsid w:val="002E128E"/>
    <w:rsid w:val="002E19A3"/>
    <w:rsid w:val="002E511C"/>
    <w:rsid w:val="002F3457"/>
    <w:rsid w:val="0030076E"/>
    <w:rsid w:val="00301C56"/>
    <w:rsid w:val="00302C91"/>
    <w:rsid w:val="003042DC"/>
    <w:rsid w:val="003051E0"/>
    <w:rsid w:val="00305D29"/>
    <w:rsid w:val="00306159"/>
    <w:rsid w:val="00310CC4"/>
    <w:rsid w:val="0031131E"/>
    <w:rsid w:val="0031281A"/>
    <w:rsid w:val="00316B55"/>
    <w:rsid w:val="00316B78"/>
    <w:rsid w:val="00317AE6"/>
    <w:rsid w:val="00317F26"/>
    <w:rsid w:val="00326508"/>
    <w:rsid w:val="003422ED"/>
    <w:rsid w:val="00345474"/>
    <w:rsid w:val="003468A3"/>
    <w:rsid w:val="003542BC"/>
    <w:rsid w:val="0035433A"/>
    <w:rsid w:val="00354D51"/>
    <w:rsid w:val="00360723"/>
    <w:rsid w:val="00367A11"/>
    <w:rsid w:val="00381930"/>
    <w:rsid w:val="00382CD1"/>
    <w:rsid w:val="00384D1B"/>
    <w:rsid w:val="003859E8"/>
    <w:rsid w:val="00386A01"/>
    <w:rsid w:val="00387798"/>
    <w:rsid w:val="0039081C"/>
    <w:rsid w:val="0039279E"/>
    <w:rsid w:val="003954A1"/>
    <w:rsid w:val="003971C7"/>
    <w:rsid w:val="003A1E95"/>
    <w:rsid w:val="003A2E4C"/>
    <w:rsid w:val="003B0E7D"/>
    <w:rsid w:val="003C56B1"/>
    <w:rsid w:val="003D0CC5"/>
    <w:rsid w:val="003D56C3"/>
    <w:rsid w:val="003D6337"/>
    <w:rsid w:val="003E2986"/>
    <w:rsid w:val="003E3205"/>
    <w:rsid w:val="003E5957"/>
    <w:rsid w:val="003F1CD4"/>
    <w:rsid w:val="004016E5"/>
    <w:rsid w:val="00401908"/>
    <w:rsid w:val="00401A87"/>
    <w:rsid w:val="00402C82"/>
    <w:rsid w:val="00403430"/>
    <w:rsid w:val="00404778"/>
    <w:rsid w:val="00407736"/>
    <w:rsid w:val="00412943"/>
    <w:rsid w:val="00417B6C"/>
    <w:rsid w:val="00420F19"/>
    <w:rsid w:val="00423960"/>
    <w:rsid w:val="00423BF0"/>
    <w:rsid w:val="00427558"/>
    <w:rsid w:val="004300A5"/>
    <w:rsid w:val="004301E1"/>
    <w:rsid w:val="0043226E"/>
    <w:rsid w:val="00435D89"/>
    <w:rsid w:val="00441A68"/>
    <w:rsid w:val="00443556"/>
    <w:rsid w:val="004466FB"/>
    <w:rsid w:val="00452E3F"/>
    <w:rsid w:val="0045362F"/>
    <w:rsid w:val="004554F5"/>
    <w:rsid w:val="004604BC"/>
    <w:rsid w:val="004747EE"/>
    <w:rsid w:val="0048487B"/>
    <w:rsid w:val="00486C35"/>
    <w:rsid w:val="004A07C8"/>
    <w:rsid w:val="004A37DE"/>
    <w:rsid w:val="004A3E81"/>
    <w:rsid w:val="004B1C31"/>
    <w:rsid w:val="004B24C1"/>
    <w:rsid w:val="004C33EB"/>
    <w:rsid w:val="004C6111"/>
    <w:rsid w:val="004C663A"/>
    <w:rsid w:val="004D23FE"/>
    <w:rsid w:val="004D360D"/>
    <w:rsid w:val="004E3745"/>
    <w:rsid w:val="004F3FE5"/>
    <w:rsid w:val="005048D5"/>
    <w:rsid w:val="005071E4"/>
    <w:rsid w:val="00512450"/>
    <w:rsid w:val="0051265E"/>
    <w:rsid w:val="00514426"/>
    <w:rsid w:val="00517ABF"/>
    <w:rsid w:val="00517ADB"/>
    <w:rsid w:val="0052514D"/>
    <w:rsid w:val="0052773E"/>
    <w:rsid w:val="00527FAC"/>
    <w:rsid w:val="00535366"/>
    <w:rsid w:val="00535858"/>
    <w:rsid w:val="005379BC"/>
    <w:rsid w:val="00541A33"/>
    <w:rsid w:val="0056188F"/>
    <w:rsid w:val="00575716"/>
    <w:rsid w:val="00576215"/>
    <w:rsid w:val="005768A6"/>
    <w:rsid w:val="00583F99"/>
    <w:rsid w:val="00590CA0"/>
    <w:rsid w:val="00594A8C"/>
    <w:rsid w:val="00595077"/>
    <w:rsid w:val="00595258"/>
    <w:rsid w:val="005A1552"/>
    <w:rsid w:val="005A1ABD"/>
    <w:rsid w:val="005A28D6"/>
    <w:rsid w:val="005A59F8"/>
    <w:rsid w:val="005B0D26"/>
    <w:rsid w:val="005B1F82"/>
    <w:rsid w:val="005B2893"/>
    <w:rsid w:val="005B7E17"/>
    <w:rsid w:val="005C14CC"/>
    <w:rsid w:val="005C27B7"/>
    <w:rsid w:val="005D01BE"/>
    <w:rsid w:val="005D111E"/>
    <w:rsid w:val="005D4119"/>
    <w:rsid w:val="005E69F1"/>
    <w:rsid w:val="005F1D8D"/>
    <w:rsid w:val="005F1DC5"/>
    <w:rsid w:val="005F4375"/>
    <w:rsid w:val="005F61B2"/>
    <w:rsid w:val="005F656C"/>
    <w:rsid w:val="00610C4A"/>
    <w:rsid w:val="00610C7F"/>
    <w:rsid w:val="00625D10"/>
    <w:rsid w:val="00626746"/>
    <w:rsid w:val="00632867"/>
    <w:rsid w:val="006349FB"/>
    <w:rsid w:val="00642696"/>
    <w:rsid w:val="00645F95"/>
    <w:rsid w:val="006500FE"/>
    <w:rsid w:val="00655535"/>
    <w:rsid w:val="00657103"/>
    <w:rsid w:val="00660D57"/>
    <w:rsid w:val="00665B5C"/>
    <w:rsid w:val="00667C00"/>
    <w:rsid w:val="00670E2E"/>
    <w:rsid w:val="00671A4C"/>
    <w:rsid w:val="0067297B"/>
    <w:rsid w:val="0068430A"/>
    <w:rsid w:val="006946BB"/>
    <w:rsid w:val="006A0AFB"/>
    <w:rsid w:val="006A3BFD"/>
    <w:rsid w:val="006A5EE1"/>
    <w:rsid w:val="006B0C10"/>
    <w:rsid w:val="006B204F"/>
    <w:rsid w:val="006B2D85"/>
    <w:rsid w:val="006B376D"/>
    <w:rsid w:val="006C4C6A"/>
    <w:rsid w:val="006C69BB"/>
    <w:rsid w:val="006D0245"/>
    <w:rsid w:val="006D09CC"/>
    <w:rsid w:val="006D1D22"/>
    <w:rsid w:val="006D32B0"/>
    <w:rsid w:val="006E16E2"/>
    <w:rsid w:val="006F3B92"/>
    <w:rsid w:val="006F3C2B"/>
    <w:rsid w:val="006F5D3D"/>
    <w:rsid w:val="006F6734"/>
    <w:rsid w:val="00701F14"/>
    <w:rsid w:val="00702CFB"/>
    <w:rsid w:val="007119C3"/>
    <w:rsid w:val="00711B94"/>
    <w:rsid w:val="00712801"/>
    <w:rsid w:val="00713EC3"/>
    <w:rsid w:val="00715910"/>
    <w:rsid w:val="00723B70"/>
    <w:rsid w:val="00723D80"/>
    <w:rsid w:val="007241D0"/>
    <w:rsid w:val="007428C5"/>
    <w:rsid w:val="00753824"/>
    <w:rsid w:val="007549A0"/>
    <w:rsid w:val="00757C6D"/>
    <w:rsid w:val="007634A8"/>
    <w:rsid w:val="00763726"/>
    <w:rsid w:val="0076530A"/>
    <w:rsid w:val="0076530F"/>
    <w:rsid w:val="007657B1"/>
    <w:rsid w:val="00771173"/>
    <w:rsid w:val="007738A1"/>
    <w:rsid w:val="007857CD"/>
    <w:rsid w:val="00786814"/>
    <w:rsid w:val="0078716A"/>
    <w:rsid w:val="007A0615"/>
    <w:rsid w:val="007A565E"/>
    <w:rsid w:val="007B3A9B"/>
    <w:rsid w:val="007B4860"/>
    <w:rsid w:val="007C4137"/>
    <w:rsid w:val="007C5947"/>
    <w:rsid w:val="007D43ED"/>
    <w:rsid w:val="007D6B27"/>
    <w:rsid w:val="007E1407"/>
    <w:rsid w:val="007E2BE9"/>
    <w:rsid w:val="007E50C9"/>
    <w:rsid w:val="007E5E28"/>
    <w:rsid w:val="007E6BA2"/>
    <w:rsid w:val="007F3481"/>
    <w:rsid w:val="0080015B"/>
    <w:rsid w:val="00802836"/>
    <w:rsid w:val="0080412C"/>
    <w:rsid w:val="0083643D"/>
    <w:rsid w:val="008428F7"/>
    <w:rsid w:val="00862CA4"/>
    <w:rsid w:val="008707BC"/>
    <w:rsid w:val="00871196"/>
    <w:rsid w:val="00871688"/>
    <w:rsid w:val="00872C09"/>
    <w:rsid w:val="00877A58"/>
    <w:rsid w:val="008A341B"/>
    <w:rsid w:val="008B56A8"/>
    <w:rsid w:val="008B60C9"/>
    <w:rsid w:val="008B7462"/>
    <w:rsid w:val="008C137C"/>
    <w:rsid w:val="008C54A2"/>
    <w:rsid w:val="008C7F69"/>
    <w:rsid w:val="008D4815"/>
    <w:rsid w:val="008D7647"/>
    <w:rsid w:val="008F0309"/>
    <w:rsid w:val="008F148A"/>
    <w:rsid w:val="00906F45"/>
    <w:rsid w:val="009129D1"/>
    <w:rsid w:val="00916DD9"/>
    <w:rsid w:val="009267DE"/>
    <w:rsid w:val="0093203E"/>
    <w:rsid w:val="0093219E"/>
    <w:rsid w:val="0093588A"/>
    <w:rsid w:val="00945779"/>
    <w:rsid w:val="00945C8C"/>
    <w:rsid w:val="0096364D"/>
    <w:rsid w:val="00964452"/>
    <w:rsid w:val="00972F70"/>
    <w:rsid w:val="009732F5"/>
    <w:rsid w:val="00975B31"/>
    <w:rsid w:val="00977006"/>
    <w:rsid w:val="00980D51"/>
    <w:rsid w:val="009843B2"/>
    <w:rsid w:val="0098716F"/>
    <w:rsid w:val="00987638"/>
    <w:rsid w:val="00992281"/>
    <w:rsid w:val="009A3411"/>
    <w:rsid w:val="009A535B"/>
    <w:rsid w:val="009A74D1"/>
    <w:rsid w:val="009B0433"/>
    <w:rsid w:val="009B1252"/>
    <w:rsid w:val="009B4BAD"/>
    <w:rsid w:val="009B774B"/>
    <w:rsid w:val="009D65E2"/>
    <w:rsid w:val="009E250D"/>
    <w:rsid w:val="009E4D56"/>
    <w:rsid w:val="009E532B"/>
    <w:rsid w:val="009F6635"/>
    <w:rsid w:val="009F7171"/>
    <w:rsid w:val="00A005B4"/>
    <w:rsid w:val="00A02BF9"/>
    <w:rsid w:val="00A12A30"/>
    <w:rsid w:val="00A150C5"/>
    <w:rsid w:val="00A24B30"/>
    <w:rsid w:val="00A26C82"/>
    <w:rsid w:val="00A314FE"/>
    <w:rsid w:val="00A405F5"/>
    <w:rsid w:val="00A4415C"/>
    <w:rsid w:val="00A4530E"/>
    <w:rsid w:val="00A506D4"/>
    <w:rsid w:val="00A51822"/>
    <w:rsid w:val="00A55D11"/>
    <w:rsid w:val="00A60609"/>
    <w:rsid w:val="00A63DE7"/>
    <w:rsid w:val="00A63FC3"/>
    <w:rsid w:val="00A664FE"/>
    <w:rsid w:val="00A66B27"/>
    <w:rsid w:val="00A70139"/>
    <w:rsid w:val="00A73D01"/>
    <w:rsid w:val="00AA0C33"/>
    <w:rsid w:val="00AB3EBA"/>
    <w:rsid w:val="00AC5929"/>
    <w:rsid w:val="00AD33CD"/>
    <w:rsid w:val="00AD484D"/>
    <w:rsid w:val="00AD5423"/>
    <w:rsid w:val="00AE74F2"/>
    <w:rsid w:val="00AF0459"/>
    <w:rsid w:val="00AF4122"/>
    <w:rsid w:val="00AF7915"/>
    <w:rsid w:val="00B00B82"/>
    <w:rsid w:val="00B1412B"/>
    <w:rsid w:val="00B149CC"/>
    <w:rsid w:val="00B21C90"/>
    <w:rsid w:val="00B25E2F"/>
    <w:rsid w:val="00B41954"/>
    <w:rsid w:val="00B42392"/>
    <w:rsid w:val="00B441C8"/>
    <w:rsid w:val="00B456D9"/>
    <w:rsid w:val="00B57986"/>
    <w:rsid w:val="00B62669"/>
    <w:rsid w:val="00B62B65"/>
    <w:rsid w:val="00B74623"/>
    <w:rsid w:val="00B77088"/>
    <w:rsid w:val="00B7731E"/>
    <w:rsid w:val="00B813FD"/>
    <w:rsid w:val="00B81F0D"/>
    <w:rsid w:val="00B82CF4"/>
    <w:rsid w:val="00BA0049"/>
    <w:rsid w:val="00BA57D8"/>
    <w:rsid w:val="00BA711E"/>
    <w:rsid w:val="00BC47BF"/>
    <w:rsid w:val="00BC5DA4"/>
    <w:rsid w:val="00BD0C6E"/>
    <w:rsid w:val="00BD23D0"/>
    <w:rsid w:val="00BD30AC"/>
    <w:rsid w:val="00BD46F6"/>
    <w:rsid w:val="00BF00A0"/>
    <w:rsid w:val="00BF00A2"/>
    <w:rsid w:val="00BF0B85"/>
    <w:rsid w:val="00BF5891"/>
    <w:rsid w:val="00C04395"/>
    <w:rsid w:val="00C05310"/>
    <w:rsid w:val="00C06915"/>
    <w:rsid w:val="00C102BF"/>
    <w:rsid w:val="00C11529"/>
    <w:rsid w:val="00C13BD5"/>
    <w:rsid w:val="00C170C2"/>
    <w:rsid w:val="00C33F78"/>
    <w:rsid w:val="00C3525B"/>
    <w:rsid w:val="00C54B86"/>
    <w:rsid w:val="00C5659C"/>
    <w:rsid w:val="00C677D0"/>
    <w:rsid w:val="00C724AD"/>
    <w:rsid w:val="00C73696"/>
    <w:rsid w:val="00C765BA"/>
    <w:rsid w:val="00C80152"/>
    <w:rsid w:val="00CA6965"/>
    <w:rsid w:val="00CB1DFC"/>
    <w:rsid w:val="00CB2A6A"/>
    <w:rsid w:val="00CB50D2"/>
    <w:rsid w:val="00CC52F4"/>
    <w:rsid w:val="00CD023C"/>
    <w:rsid w:val="00CD1FC3"/>
    <w:rsid w:val="00CD499F"/>
    <w:rsid w:val="00CD5985"/>
    <w:rsid w:val="00CE15B0"/>
    <w:rsid w:val="00CE69A2"/>
    <w:rsid w:val="00CF1962"/>
    <w:rsid w:val="00CF36E7"/>
    <w:rsid w:val="00CF6D3A"/>
    <w:rsid w:val="00D0169D"/>
    <w:rsid w:val="00D066BE"/>
    <w:rsid w:val="00D11EDB"/>
    <w:rsid w:val="00D145E7"/>
    <w:rsid w:val="00D27AE7"/>
    <w:rsid w:val="00D27FC3"/>
    <w:rsid w:val="00D32178"/>
    <w:rsid w:val="00D32543"/>
    <w:rsid w:val="00D35859"/>
    <w:rsid w:val="00D446BC"/>
    <w:rsid w:val="00D47C38"/>
    <w:rsid w:val="00D517A6"/>
    <w:rsid w:val="00D6339D"/>
    <w:rsid w:val="00D65334"/>
    <w:rsid w:val="00D654F8"/>
    <w:rsid w:val="00D66F61"/>
    <w:rsid w:val="00D81728"/>
    <w:rsid w:val="00D819B2"/>
    <w:rsid w:val="00D81AF1"/>
    <w:rsid w:val="00D83505"/>
    <w:rsid w:val="00D953F7"/>
    <w:rsid w:val="00D97D8D"/>
    <w:rsid w:val="00DA7AF1"/>
    <w:rsid w:val="00DB03D5"/>
    <w:rsid w:val="00DB19E4"/>
    <w:rsid w:val="00DC05DE"/>
    <w:rsid w:val="00DC13DD"/>
    <w:rsid w:val="00DC3812"/>
    <w:rsid w:val="00DC4835"/>
    <w:rsid w:val="00DD1738"/>
    <w:rsid w:val="00DD281C"/>
    <w:rsid w:val="00DD2FAA"/>
    <w:rsid w:val="00DD3428"/>
    <w:rsid w:val="00DD5E5D"/>
    <w:rsid w:val="00DD7946"/>
    <w:rsid w:val="00DE2C14"/>
    <w:rsid w:val="00DE7D4F"/>
    <w:rsid w:val="00DF16C3"/>
    <w:rsid w:val="00DF3A11"/>
    <w:rsid w:val="00DF4913"/>
    <w:rsid w:val="00DF53FF"/>
    <w:rsid w:val="00DF56B9"/>
    <w:rsid w:val="00E00677"/>
    <w:rsid w:val="00E02062"/>
    <w:rsid w:val="00E07559"/>
    <w:rsid w:val="00E17337"/>
    <w:rsid w:val="00E23FE9"/>
    <w:rsid w:val="00E32473"/>
    <w:rsid w:val="00E36B6A"/>
    <w:rsid w:val="00E42EDE"/>
    <w:rsid w:val="00E43AB5"/>
    <w:rsid w:val="00E458F1"/>
    <w:rsid w:val="00E45B8B"/>
    <w:rsid w:val="00E52600"/>
    <w:rsid w:val="00E5456B"/>
    <w:rsid w:val="00E7119D"/>
    <w:rsid w:val="00E7185E"/>
    <w:rsid w:val="00E71BAA"/>
    <w:rsid w:val="00E7377F"/>
    <w:rsid w:val="00E7456E"/>
    <w:rsid w:val="00E808EE"/>
    <w:rsid w:val="00E81769"/>
    <w:rsid w:val="00E82630"/>
    <w:rsid w:val="00E85126"/>
    <w:rsid w:val="00E909F8"/>
    <w:rsid w:val="00E90EFF"/>
    <w:rsid w:val="00E9223C"/>
    <w:rsid w:val="00E93E0B"/>
    <w:rsid w:val="00E945E4"/>
    <w:rsid w:val="00EA16B7"/>
    <w:rsid w:val="00EA48F0"/>
    <w:rsid w:val="00EB0D11"/>
    <w:rsid w:val="00EB437C"/>
    <w:rsid w:val="00EC2413"/>
    <w:rsid w:val="00EC263D"/>
    <w:rsid w:val="00ED6379"/>
    <w:rsid w:val="00EE0379"/>
    <w:rsid w:val="00EE5006"/>
    <w:rsid w:val="00EF1635"/>
    <w:rsid w:val="00EF1FB2"/>
    <w:rsid w:val="00EF327E"/>
    <w:rsid w:val="00EF3940"/>
    <w:rsid w:val="00F01104"/>
    <w:rsid w:val="00F0703B"/>
    <w:rsid w:val="00F1185B"/>
    <w:rsid w:val="00F22093"/>
    <w:rsid w:val="00F24C50"/>
    <w:rsid w:val="00F25165"/>
    <w:rsid w:val="00F26258"/>
    <w:rsid w:val="00F26DF0"/>
    <w:rsid w:val="00F2746D"/>
    <w:rsid w:val="00F327DB"/>
    <w:rsid w:val="00F41A69"/>
    <w:rsid w:val="00F41ECE"/>
    <w:rsid w:val="00F43339"/>
    <w:rsid w:val="00F43BBE"/>
    <w:rsid w:val="00F463B9"/>
    <w:rsid w:val="00F47D1B"/>
    <w:rsid w:val="00F614BD"/>
    <w:rsid w:val="00F62A46"/>
    <w:rsid w:val="00F638DB"/>
    <w:rsid w:val="00F63938"/>
    <w:rsid w:val="00F67223"/>
    <w:rsid w:val="00F67952"/>
    <w:rsid w:val="00F949D2"/>
    <w:rsid w:val="00F94D17"/>
    <w:rsid w:val="00F9742D"/>
    <w:rsid w:val="00FA51D2"/>
    <w:rsid w:val="00FA6CDD"/>
    <w:rsid w:val="00FB222B"/>
    <w:rsid w:val="00FB295F"/>
    <w:rsid w:val="00FC4EBF"/>
    <w:rsid w:val="00FD7849"/>
    <w:rsid w:val="00FE0E57"/>
    <w:rsid w:val="00FF1776"/>
    <w:rsid w:val="00FF1C71"/>
    <w:rsid w:val="00FF2FCB"/>
    <w:rsid w:val="00FF62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1">
    <w:name w:val="heading 1"/>
    <w:basedOn w:val="Normal"/>
    <w:next w:val="Normal"/>
    <w:link w:val="Heading1Char"/>
    <w:uiPriority w:val="9"/>
    <w:qFormat/>
    <w:rsid w:val="002664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6111"/>
    <w:rPr>
      <w:color w:val="605E5C"/>
      <w:shd w:val="clear" w:color="auto" w:fill="E1DFDD"/>
    </w:rPr>
  </w:style>
  <w:style w:type="character" w:customStyle="1" w:styleId="Heading1Char">
    <w:name w:val="Heading 1 Char"/>
    <w:basedOn w:val="DefaultParagraphFont"/>
    <w:link w:val="Heading1"/>
    <w:uiPriority w:val="9"/>
    <w:rsid w:val="002664D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2514D"/>
    <w:rPr>
      <w:color w:val="800080" w:themeColor="followedHyperlink"/>
      <w:u w:val="single"/>
    </w:rPr>
  </w:style>
  <w:style w:type="character" w:styleId="Strong">
    <w:name w:val="Strong"/>
    <w:basedOn w:val="DefaultParagraphFont"/>
    <w:uiPriority w:val="22"/>
    <w:qFormat/>
    <w:rsid w:val="00E73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300112209">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hyperlink" Target="https://delcode.delaware.gov/title8/c001/"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delcode.delaware.gov/title8/c001/"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hyperlink" Target="https://ufl.instructure.com/courses/427635/files/74674656?wrap=1" TargetMode="External"/><Relationship Id="rId11" Type="http://schemas.openxmlformats.org/officeDocument/2006/relationships/hyperlink" Target="http://www.dso.ufl.edu/students.php" TargetMode="External"/><Relationship Id="rId24"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82F6-4709-4717-8F1C-305DF34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2580</Words>
  <Characters>14712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2023-03-19T20:08:00Z</cp:lastPrinted>
  <dcterms:created xsi:type="dcterms:W3CDTF">2023-12-11T16:11:00Z</dcterms:created>
  <dcterms:modified xsi:type="dcterms:W3CDTF">2023-12-11T16:11:00Z</dcterms:modified>
</cp:coreProperties>
</file>