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ADC72" w14:textId="7A5B8586" w:rsidR="0035263C" w:rsidRPr="0035263C" w:rsidRDefault="0035263C" w:rsidP="0035263C">
      <w:pPr>
        <w:jc w:val="center"/>
        <w:rPr>
          <w:b/>
          <w:sz w:val="32"/>
          <w:szCs w:val="32"/>
        </w:rPr>
      </w:pPr>
      <w:r w:rsidRPr="0035263C">
        <w:rPr>
          <w:b/>
          <w:sz w:val="32"/>
          <w:szCs w:val="32"/>
        </w:rPr>
        <w:t>Seminar Syllabus—Privacy Law</w:t>
      </w:r>
    </w:p>
    <w:p w14:paraId="241E5DCB" w14:textId="3E4E6A29" w:rsidR="0035263C" w:rsidRPr="0035263C" w:rsidRDefault="0035263C" w:rsidP="0035263C">
      <w:pPr>
        <w:jc w:val="center"/>
        <w:rPr>
          <w:b/>
          <w:sz w:val="32"/>
          <w:szCs w:val="32"/>
        </w:rPr>
      </w:pPr>
      <w:r w:rsidRPr="0035263C">
        <w:rPr>
          <w:b/>
          <w:sz w:val="32"/>
          <w:szCs w:val="32"/>
        </w:rPr>
        <w:t>LAW</w:t>
      </w:r>
      <w:r w:rsidR="00FE7026">
        <w:rPr>
          <w:b/>
          <w:sz w:val="32"/>
          <w:szCs w:val="32"/>
        </w:rPr>
        <w:t xml:space="preserve"> 6936</w:t>
      </w:r>
      <w:r w:rsidRPr="0035263C">
        <w:rPr>
          <w:b/>
          <w:sz w:val="32"/>
          <w:szCs w:val="32"/>
        </w:rPr>
        <w:t>, Section</w:t>
      </w:r>
      <w:r w:rsidR="00FE7026">
        <w:rPr>
          <w:b/>
          <w:sz w:val="32"/>
          <w:szCs w:val="32"/>
        </w:rPr>
        <w:t xml:space="preserve"> 14962 (in person), Section 23183 (online)</w:t>
      </w:r>
    </w:p>
    <w:p w14:paraId="6CD4DE8E" w14:textId="5D9979EA" w:rsidR="0035263C" w:rsidRPr="0035263C" w:rsidRDefault="0035263C" w:rsidP="0035263C">
      <w:pPr>
        <w:jc w:val="center"/>
        <w:rPr>
          <w:b/>
          <w:sz w:val="32"/>
          <w:szCs w:val="32"/>
        </w:rPr>
      </w:pPr>
      <w:r w:rsidRPr="0035263C">
        <w:rPr>
          <w:b/>
          <w:sz w:val="32"/>
          <w:szCs w:val="32"/>
        </w:rPr>
        <w:t>2 Credits, Spring 2021</w:t>
      </w:r>
    </w:p>
    <w:p w14:paraId="63E6EF21" w14:textId="0E0D1164" w:rsidR="0035263C" w:rsidRPr="0035263C" w:rsidRDefault="001470BC" w:rsidP="0035263C">
      <w:pPr>
        <w:jc w:val="center"/>
        <w:rPr>
          <w:b/>
          <w:sz w:val="32"/>
          <w:szCs w:val="32"/>
        </w:rPr>
      </w:pPr>
      <w:r>
        <w:rPr>
          <w:b/>
          <w:sz w:val="32"/>
          <w:szCs w:val="32"/>
        </w:rPr>
        <w:t>Thursday</w:t>
      </w:r>
      <w:r w:rsidR="0035263C" w:rsidRPr="0035263C">
        <w:rPr>
          <w:b/>
          <w:sz w:val="32"/>
          <w:szCs w:val="32"/>
        </w:rPr>
        <w:t xml:space="preserve">, </w:t>
      </w:r>
      <w:r>
        <w:rPr>
          <w:b/>
          <w:sz w:val="32"/>
          <w:szCs w:val="32"/>
        </w:rPr>
        <w:t>10:00 AM</w:t>
      </w:r>
      <w:r w:rsidR="0035263C" w:rsidRPr="0035263C">
        <w:rPr>
          <w:b/>
          <w:sz w:val="32"/>
          <w:szCs w:val="32"/>
        </w:rPr>
        <w:t xml:space="preserve">, </w:t>
      </w:r>
      <w:r>
        <w:rPr>
          <w:b/>
          <w:sz w:val="32"/>
          <w:szCs w:val="32"/>
        </w:rPr>
        <w:t>MLAC 106</w:t>
      </w:r>
    </w:p>
    <w:p w14:paraId="5960E4F2" w14:textId="77777777" w:rsidR="0035263C" w:rsidRDefault="0035263C" w:rsidP="0035263C">
      <w:pPr>
        <w:jc w:val="center"/>
        <w:rPr>
          <w:b/>
        </w:rPr>
      </w:pPr>
    </w:p>
    <w:p w14:paraId="2BE8C7B1" w14:textId="77777777" w:rsidR="0080060C" w:rsidRDefault="0080060C" w:rsidP="0035263C"/>
    <w:p w14:paraId="4D941F51" w14:textId="77777777" w:rsidR="0080060C" w:rsidRDefault="0035263C" w:rsidP="0035263C">
      <w:r>
        <w:t xml:space="preserve">Professor Jon Mills </w:t>
      </w:r>
    </w:p>
    <w:p w14:paraId="753C0C33" w14:textId="468248E2" w:rsidR="0035263C" w:rsidRDefault="0035263C" w:rsidP="0035263C">
      <w:r>
        <w:t>Office: 230 Bruton-Greer (CGR Office)</w:t>
      </w:r>
    </w:p>
    <w:p w14:paraId="3738B769" w14:textId="09F94601" w:rsidR="0035263C" w:rsidRDefault="0035263C" w:rsidP="0035263C">
      <w:r>
        <w:t>Phone: 273-0835</w:t>
      </w:r>
    </w:p>
    <w:p w14:paraId="769D41FC" w14:textId="282F3DF0" w:rsidR="0035263C" w:rsidRDefault="0035263C" w:rsidP="0035263C">
      <w:r>
        <w:t xml:space="preserve">Email: </w:t>
      </w:r>
      <w:hyperlink r:id="rId8" w:history="1">
        <w:r w:rsidRPr="006B479E">
          <w:rPr>
            <w:rStyle w:val="Hyperlink"/>
          </w:rPr>
          <w:t>mills@law.ufl.edu</w:t>
        </w:r>
      </w:hyperlink>
    </w:p>
    <w:p w14:paraId="0B30D1C7" w14:textId="1F0F2DB2" w:rsidR="00FE7026" w:rsidRPr="00FE7026" w:rsidRDefault="0035263C" w:rsidP="00FE7026">
      <w:r>
        <w:t xml:space="preserve">Office hours by appointment </w:t>
      </w:r>
    </w:p>
    <w:p w14:paraId="463F91F8" w14:textId="77777777" w:rsidR="00FE7026" w:rsidRDefault="00FE7026" w:rsidP="0035263C"/>
    <w:p w14:paraId="0F32D381" w14:textId="77777777" w:rsidR="0080060C" w:rsidRDefault="0080060C" w:rsidP="0035263C"/>
    <w:p w14:paraId="101C0396" w14:textId="0CD3F270" w:rsidR="0035263C" w:rsidRPr="0035263C" w:rsidRDefault="0035263C" w:rsidP="0035263C">
      <w:pPr>
        <w:widowControl w:val="0"/>
        <w:autoSpaceDE w:val="0"/>
        <w:autoSpaceDN w:val="0"/>
        <w:adjustRightInd w:val="0"/>
        <w:spacing w:after="240"/>
        <w:jc w:val="center"/>
        <w:rPr>
          <w:color w:val="000000"/>
          <w:u w:val="single"/>
        </w:rPr>
      </w:pPr>
      <w:r w:rsidRPr="0035263C">
        <w:rPr>
          <w:b/>
          <w:bCs/>
          <w:color w:val="000000"/>
          <w:u w:val="single"/>
        </w:rPr>
        <w:t>COURSE DESCRIPTION</w:t>
      </w:r>
    </w:p>
    <w:p w14:paraId="1DC24A24" w14:textId="77777777" w:rsidR="0035263C" w:rsidRPr="0035263C" w:rsidRDefault="0035263C" w:rsidP="0035263C">
      <w:pPr>
        <w:widowControl w:val="0"/>
        <w:autoSpaceDE w:val="0"/>
        <w:autoSpaceDN w:val="0"/>
        <w:adjustRightInd w:val="0"/>
        <w:spacing w:after="240"/>
        <w:rPr>
          <w:color w:val="000000"/>
        </w:rPr>
      </w:pPr>
      <w:r w:rsidRPr="0035263C">
        <w:rPr>
          <w:color w:val="000000"/>
        </w:rPr>
        <w:t xml:space="preserve">This seminar will evaluate the development and current status of the law related to the privacy of individuals. This seminar will analyze the evolution of protection of personal information under the law and personal autonomy under the law and constitution. The course textbook is PRIVACY: THE LOST RIGHT by JON L. MILLS (Oxford Univ. Press, 2008). </w:t>
      </w:r>
    </w:p>
    <w:p w14:paraId="41A306D8" w14:textId="77777777" w:rsidR="0035263C" w:rsidRPr="0035263C" w:rsidRDefault="0035263C" w:rsidP="0035263C">
      <w:pPr>
        <w:widowControl w:val="0"/>
        <w:autoSpaceDE w:val="0"/>
        <w:autoSpaceDN w:val="0"/>
        <w:adjustRightInd w:val="0"/>
        <w:spacing w:after="240"/>
        <w:rPr>
          <w:color w:val="000000"/>
        </w:rPr>
      </w:pPr>
      <w:r w:rsidRPr="0035263C">
        <w:rPr>
          <w:color w:val="000000"/>
        </w:rPr>
        <w:t xml:space="preserve">Additionally, the efficacy of constitutional, tort and statutory remedies will be evaluated. Readings will include selected cases and articles. </w:t>
      </w:r>
    </w:p>
    <w:p w14:paraId="4BB919C6" w14:textId="3A0871A1" w:rsidR="0035263C" w:rsidRDefault="0035263C" w:rsidP="0035263C">
      <w:pPr>
        <w:widowControl w:val="0"/>
        <w:autoSpaceDE w:val="0"/>
        <w:autoSpaceDN w:val="0"/>
        <w:adjustRightInd w:val="0"/>
        <w:spacing w:after="240"/>
        <w:rPr>
          <w:color w:val="000000"/>
        </w:rPr>
      </w:pPr>
      <w:r w:rsidRPr="0035263C">
        <w:rPr>
          <w:color w:val="000000"/>
        </w:rPr>
        <w:t xml:space="preserve">The seminar will include a written research paper and an oral presentation to the class. We will be using guideline for Advanced Writing Certificate which is: 25 pages (exclusive of footnotes) on Letter-sized paper, 12-point Times New Roman, </w:t>
      </w:r>
      <w:proofErr w:type="gramStart"/>
      <w:r w:rsidRPr="0035263C">
        <w:rPr>
          <w:color w:val="000000"/>
        </w:rPr>
        <w:t>1 inch</w:t>
      </w:r>
      <w:proofErr w:type="gramEnd"/>
      <w:r w:rsidRPr="0035263C">
        <w:rPr>
          <w:color w:val="000000"/>
        </w:rPr>
        <w:t xml:space="preserve"> margins (top, bottom &amp; sides), and double-spaced text. </w:t>
      </w:r>
    </w:p>
    <w:p w14:paraId="75E3A2AF" w14:textId="3607AEFC" w:rsidR="0035263C" w:rsidRPr="0035263C" w:rsidRDefault="0035263C" w:rsidP="0035263C">
      <w:pPr>
        <w:widowControl w:val="0"/>
        <w:autoSpaceDE w:val="0"/>
        <w:autoSpaceDN w:val="0"/>
        <w:adjustRightInd w:val="0"/>
        <w:spacing w:after="240"/>
        <w:jc w:val="center"/>
        <w:rPr>
          <w:caps/>
          <w:color w:val="000000"/>
          <w:u w:val="single"/>
        </w:rPr>
      </w:pPr>
      <w:r w:rsidRPr="0035263C">
        <w:rPr>
          <w:b/>
          <w:bCs/>
          <w:caps/>
          <w:color w:val="000000"/>
          <w:u w:val="single"/>
        </w:rPr>
        <w:t>COURSE OBJECTIVES AND STUDENT LEARNING OUTCOMES</w:t>
      </w:r>
    </w:p>
    <w:p w14:paraId="38E4FAC0" w14:textId="77777777" w:rsidR="0035263C" w:rsidRPr="0035263C" w:rsidRDefault="0035263C" w:rsidP="0035263C">
      <w:pPr>
        <w:widowControl w:val="0"/>
        <w:autoSpaceDE w:val="0"/>
        <w:autoSpaceDN w:val="0"/>
        <w:adjustRightInd w:val="0"/>
        <w:spacing w:after="240"/>
        <w:rPr>
          <w:color w:val="000000"/>
        </w:rPr>
      </w:pPr>
      <w:r w:rsidRPr="0035263C">
        <w:rPr>
          <w:color w:val="000000"/>
        </w:rPr>
        <w:t xml:space="preserve">This seminar will provide an overview of privacy issues and laws. The students will participate in presentations on selected issues related to privacy. Students will write a paper that meets senior writing requirements on selected privacy topic. </w:t>
      </w:r>
    </w:p>
    <w:p w14:paraId="70FBF724" w14:textId="6AD386FD" w:rsidR="0035263C" w:rsidRDefault="0035263C" w:rsidP="0035263C">
      <w:pPr>
        <w:widowControl w:val="0"/>
        <w:autoSpaceDE w:val="0"/>
        <w:autoSpaceDN w:val="0"/>
        <w:adjustRightInd w:val="0"/>
        <w:spacing w:after="240"/>
        <w:rPr>
          <w:color w:val="000000"/>
        </w:rPr>
      </w:pPr>
      <w:r w:rsidRPr="0035263C">
        <w:rPr>
          <w:color w:val="000000"/>
        </w:rPr>
        <w:t>At the conc</w:t>
      </w:r>
      <w:r>
        <w:rPr>
          <w:color w:val="000000"/>
        </w:rPr>
        <w:t>lusion of the course, you will:</w:t>
      </w:r>
    </w:p>
    <w:p w14:paraId="2D61F998" w14:textId="69CB01BF" w:rsidR="0035263C" w:rsidRPr="0035263C" w:rsidRDefault="0035263C" w:rsidP="0035263C">
      <w:pPr>
        <w:pStyle w:val="ListParagraph"/>
        <w:widowControl w:val="0"/>
        <w:numPr>
          <w:ilvl w:val="0"/>
          <w:numId w:val="12"/>
        </w:numPr>
        <w:autoSpaceDE w:val="0"/>
        <w:autoSpaceDN w:val="0"/>
        <w:adjustRightInd w:val="0"/>
        <w:rPr>
          <w:color w:val="000000"/>
        </w:rPr>
      </w:pPr>
      <w:r w:rsidRPr="0035263C">
        <w:rPr>
          <w:color w:val="000000"/>
        </w:rPr>
        <w:t>Understand and label privacy as a constitutional principle. </w:t>
      </w:r>
    </w:p>
    <w:p w14:paraId="7E60325A" w14:textId="6C894939" w:rsidR="0035263C" w:rsidRPr="0035263C" w:rsidRDefault="0035263C" w:rsidP="0035263C">
      <w:pPr>
        <w:pStyle w:val="ListParagraph"/>
        <w:widowControl w:val="0"/>
        <w:numPr>
          <w:ilvl w:val="0"/>
          <w:numId w:val="12"/>
        </w:numPr>
        <w:autoSpaceDE w:val="0"/>
        <w:autoSpaceDN w:val="0"/>
        <w:adjustRightInd w:val="0"/>
        <w:rPr>
          <w:color w:val="000000"/>
        </w:rPr>
      </w:pPr>
      <w:r w:rsidRPr="0035263C">
        <w:rPr>
          <w:color w:val="000000"/>
        </w:rPr>
        <w:t>Understand and distinguish remedies available for privacy intrusions. </w:t>
      </w:r>
    </w:p>
    <w:p w14:paraId="6CC78CD2" w14:textId="6A26C610" w:rsidR="0035263C" w:rsidRPr="0035263C" w:rsidRDefault="0035263C" w:rsidP="0035263C">
      <w:pPr>
        <w:pStyle w:val="ListParagraph"/>
        <w:widowControl w:val="0"/>
        <w:numPr>
          <w:ilvl w:val="0"/>
          <w:numId w:val="12"/>
        </w:numPr>
        <w:autoSpaceDE w:val="0"/>
        <w:autoSpaceDN w:val="0"/>
        <w:adjustRightInd w:val="0"/>
        <w:rPr>
          <w:color w:val="000000"/>
        </w:rPr>
      </w:pPr>
      <w:r w:rsidRPr="0035263C">
        <w:rPr>
          <w:color w:val="000000"/>
        </w:rPr>
        <w:t xml:space="preserve">Understand evaluate the differences in privacy laws in the U.S and other countries. </w:t>
      </w:r>
    </w:p>
    <w:p w14:paraId="65E8B782" w14:textId="32FB34D6" w:rsidR="0035263C" w:rsidRPr="0035263C" w:rsidRDefault="0035263C" w:rsidP="0035263C">
      <w:pPr>
        <w:pStyle w:val="ListParagraph"/>
        <w:widowControl w:val="0"/>
        <w:numPr>
          <w:ilvl w:val="0"/>
          <w:numId w:val="12"/>
        </w:numPr>
        <w:autoSpaceDE w:val="0"/>
        <w:autoSpaceDN w:val="0"/>
        <w:adjustRightInd w:val="0"/>
        <w:rPr>
          <w:color w:val="000000"/>
        </w:rPr>
      </w:pPr>
      <w:r w:rsidRPr="0035263C">
        <w:rPr>
          <w:color w:val="000000"/>
        </w:rPr>
        <w:t xml:space="preserve">Understand and analyze the evolution of privacy law in the context of societal and cultural shifts. </w:t>
      </w:r>
    </w:p>
    <w:p w14:paraId="59D7483D" w14:textId="77777777" w:rsidR="0035263C" w:rsidRPr="0035263C" w:rsidRDefault="0035263C" w:rsidP="0035263C">
      <w:pPr>
        <w:widowControl w:val="0"/>
        <w:autoSpaceDE w:val="0"/>
        <w:autoSpaceDN w:val="0"/>
        <w:adjustRightInd w:val="0"/>
        <w:ind w:left="720"/>
        <w:rPr>
          <w:color w:val="000000"/>
        </w:rPr>
      </w:pPr>
    </w:p>
    <w:p w14:paraId="568C61D1" w14:textId="77777777" w:rsidR="0035263C" w:rsidRDefault="0035263C" w:rsidP="0035263C">
      <w:pPr>
        <w:widowControl w:val="0"/>
        <w:autoSpaceDE w:val="0"/>
        <w:autoSpaceDN w:val="0"/>
        <w:adjustRightInd w:val="0"/>
        <w:spacing w:after="240"/>
        <w:rPr>
          <w:color w:val="000000"/>
        </w:rPr>
      </w:pPr>
      <w:r w:rsidRPr="0035263C">
        <w:rPr>
          <w:color w:val="000000"/>
        </w:rPr>
        <w:t xml:space="preserve">Expectations: It is anticipated that you will spend approximately 2 hours out of class reading and/or preparing for in- class assignments. You will be devoting time to your readings for each class; please be prepared for about 70 pages of reading each week. </w:t>
      </w:r>
    </w:p>
    <w:p w14:paraId="4D6CF4DA" w14:textId="7F673921" w:rsidR="0035263C" w:rsidRPr="0035263C" w:rsidRDefault="0035263C" w:rsidP="0035263C">
      <w:pPr>
        <w:widowControl w:val="0"/>
        <w:autoSpaceDE w:val="0"/>
        <w:autoSpaceDN w:val="0"/>
        <w:adjustRightInd w:val="0"/>
        <w:spacing w:after="240"/>
        <w:jc w:val="center"/>
        <w:rPr>
          <w:caps/>
          <w:color w:val="000000"/>
          <w:u w:val="single"/>
        </w:rPr>
      </w:pPr>
      <w:r w:rsidRPr="0035263C">
        <w:rPr>
          <w:b/>
          <w:bCs/>
          <w:caps/>
          <w:color w:val="000000"/>
          <w:u w:val="single"/>
        </w:rPr>
        <w:lastRenderedPageBreak/>
        <w:t>Attendance and Participation</w:t>
      </w:r>
    </w:p>
    <w:p w14:paraId="67FA35FF" w14:textId="77777777" w:rsidR="0035263C" w:rsidRPr="0035263C" w:rsidRDefault="0035263C" w:rsidP="0035263C">
      <w:pPr>
        <w:widowControl w:val="0"/>
        <w:autoSpaceDE w:val="0"/>
        <w:autoSpaceDN w:val="0"/>
        <w:adjustRightInd w:val="0"/>
        <w:spacing w:after="240"/>
        <w:rPr>
          <w:color w:val="000000"/>
        </w:rPr>
      </w:pPr>
      <w:r w:rsidRPr="0035263C">
        <w:rPr>
          <w:color w:val="000000"/>
        </w:rPr>
        <w:t xml:space="preserve">Attendance will be taken at each class meeting. Students are allowed 6 absences </w:t>
      </w:r>
      <w:proofErr w:type="gramStart"/>
      <w:r w:rsidRPr="0035263C">
        <w:rPr>
          <w:color w:val="000000"/>
        </w:rPr>
        <w:t>during the course of</w:t>
      </w:r>
      <w:proofErr w:type="gramEnd"/>
      <w:r w:rsidRPr="0035263C">
        <w:rPr>
          <w:color w:val="000000"/>
        </w:rPr>
        <w:t xml:space="preserve"> the semester. Students are responsible for ensuring that they are not recorded as absent if they come in late. A student who fails to meet the attendance requirement will be dropped from the course and will not be allowed to take the final examination. </w:t>
      </w:r>
    </w:p>
    <w:p w14:paraId="04F65992" w14:textId="77777777" w:rsidR="0035263C" w:rsidRPr="0035263C" w:rsidRDefault="0035263C" w:rsidP="0035263C">
      <w:pPr>
        <w:widowControl w:val="0"/>
        <w:autoSpaceDE w:val="0"/>
        <w:autoSpaceDN w:val="0"/>
        <w:adjustRightInd w:val="0"/>
        <w:spacing w:after="240"/>
        <w:rPr>
          <w:color w:val="000000"/>
        </w:rPr>
      </w:pPr>
      <w:r w:rsidRPr="0035263C">
        <w:rPr>
          <w:color w:val="000000"/>
        </w:rPr>
        <w:t xml:space="preserve">Student participation in class is </w:t>
      </w:r>
      <w:proofErr w:type="gramStart"/>
      <w:r w:rsidRPr="0035263C">
        <w:rPr>
          <w:color w:val="000000"/>
        </w:rPr>
        <w:t>encouraged, and</w:t>
      </w:r>
      <w:proofErr w:type="gramEnd"/>
      <w:r w:rsidRPr="0035263C">
        <w:rPr>
          <w:color w:val="000000"/>
        </w:rPr>
        <w:t xml:space="preserve"> will be considered in assigning a final grade. The degree of student participation will doubtless affect the quality and interest of class discussions. Students are expected to be prepared for each class. </w:t>
      </w:r>
    </w:p>
    <w:p w14:paraId="79D6F906" w14:textId="77777777" w:rsidR="0035263C" w:rsidRPr="0035263C" w:rsidRDefault="0035263C" w:rsidP="0035263C">
      <w:pPr>
        <w:widowControl w:val="0"/>
        <w:autoSpaceDE w:val="0"/>
        <w:autoSpaceDN w:val="0"/>
        <w:adjustRightInd w:val="0"/>
        <w:spacing w:after="240"/>
        <w:rPr>
          <w:color w:val="000000"/>
        </w:rPr>
      </w:pPr>
      <w:r w:rsidRPr="0035263C">
        <w:rPr>
          <w:color w:val="000000"/>
        </w:rPr>
        <w:t>Excused absences are consistent with university policies in the undergraduate catalog (</w:t>
      </w:r>
      <w:r w:rsidRPr="0035263C">
        <w:rPr>
          <w:color w:val="0000FF"/>
        </w:rPr>
        <w:t>https://catalog.ufl.edu/ugrad/currcnt/regulations/info/attendance.aspx</w:t>
      </w:r>
      <w:r w:rsidRPr="0035263C">
        <w:rPr>
          <w:color w:val="000000"/>
        </w:rPr>
        <w:t xml:space="preserve">) and require appropriate documentation. </w:t>
      </w:r>
    </w:p>
    <w:p w14:paraId="471C43DB" w14:textId="4FEE8B00" w:rsidR="0035263C" w:rsidRPr="0035263C" w:rsidRDefault="0035263C" w:rsidP="0035263C">
      <w:pPr>
        <w:widowControl w:val="0"/>
        <w:autoSpaceDE w:val="0"/>
        <w:autoSpaceDN w:val="0"/>
        <w:adjustRightInd w:val="0"/>
        <w:spacing w:after="240"/>
        <w:jc w:val="center"/>
        <w:rPr>
          <w:caps/>
          <w:color w:val="000000"/>
          <w:u w:val="single"/>
        </w:rPr>
      </w:pPr>
      <w:r w:rsidRPr="0035263C">
        <w:rPr>
          <w:b/>
          <w:bCs/>
          <w:caps/>
          <w:color w:val="000000"/>
          <w:u w:val="single"/>
        </w:rPr>
        <w:t>Courtesy</w:t>
      </w:r>
    </w:p>
    <w:p w14:paraId="2263F8F5" w14:textId="403E92FC" w:rsidR="0035263C" w:rsidRPr="0035263C" w:rsidRDefault="0035263C" w:rsidP="0035263C">
      <w:pPr>
        <w:widowControl w:val="0"/>
        <w:autoSpaceDE w:val="0"/>
        <w:autoSpaceDN w:val="0"/>
        <w:adjustRightInd w:val="0"/>
        <w:spacing w:after="240"/>
        <w:rPr>
          <w:color w:val="000000"/>
        </w:rPr>
      </w:pPr>
      <w:r w:rsidRPr="0035263C">
        <w:rPr>
          <w:color w:val="000000"/>
        </w:rPr>
        <w:t xml:space="preserve">Please turn off your cell phone during class. I also request that you notify me if you know you must leave class early. Please do not play computer games or surf the Internet during class. </w:t>
      </w:r>
      <w:r w:rsidR="0092651E" w:rsidRPr="00AC2C9A">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p>
    <w:p w14:paraId="7052A505" w14:textId="0D5758D8" w:rsidR="0035263C" w:rsidRPr="0035263C" w:rsidRDefault="0035263C" w:rsidP="0035263C">
      <w:pPr>
        <w:widowControl w:val="0"/>
        <w:autoSpaceDE w:val="0"/>
        <w:autoSpaceDN w:val="0"/>
        <w:adjustRightInd w:val="0"/>
        <w:spacing w:after="240"/>
        <w:jc w:val="center"/>
        <w:rPr>
          <w:caps/>
          <w:color w:val="000000"/>
          <w:u w:val="single"/>
        </w:rPr>
      </w:pPr>
      <w:r w:rsidRPr="0035263C">
        <w:rPr>
          <w:b/>
          <w:bCs/>
          <w:caps/>
          <w:color w:val="000000"/>
          <w:u w:val="single"/>
        </w:rPr>
        <w:t>Final Examination</w:t>
      </w:r>
    </w:p>
    <w:p w14:paraId="2D919EBD" w14:textId="40D27B72" w:rsidR="0035263C" w:rsidRPr="0035263C" w:rsidRDefault="0035263C" w:rsidP="0035263C">
      <w:pPr>
        <w:widowControl w:val="0"/>
        <w:autoSpaceDE w:val="0"/>
        <w:autoSpaceDN w:val="0"/>
        <w:adjustRightInd w:val="0"/>
        <w:spacing w:after="240"/>
        <w:rPr>
          <w:color w:val="000000"/>
        </w:rPr>
      </w:pPr>
      <w:r w:rsidRPr="0035263C">
        <w:rPr>
          <w:color w:val="000000"/>
        </w:rPr>
        <w:t xml:space="preserve">The final examination will be a </w:t>
      </w:r>
      <w:r w:rsidRPr="0035263C">
        <w:rPr>
          <w:b/>
          <w:bCs/>
          <w:color w:val="000000"/>
        </w:rPr>
        <w:t xml:space="preserve">4-hour take home, open book and open notes essay </w:t>
      </w:r>
      <w:r w:rsidRPr="0035263C">
        <w:rPr>
          <w:color w:val="000000"/>
        </w:rPr>
        <w:t xml:space="preserve">exam and will be distributed </w:t>
      </w:r>
      <w:r w:rsidRPr="0035263C">
        <w:rPr>
          <w:b/>
          <w:bCs/>
          <w:color w:val="000000"/>
        </w:rPr>
        <w:t xml:space="preserve">online on CANVAS </w:t>
      </w:r>
      <w:r w:rsidRPr="0035263C">
        <w:rPr>
          <w:color w:val="000000"/>
        </w:rPr>
        <w:t xml:space="preserve">on the designated exam schedule. The exam will consist of 5 or 6 hypotheticals with limited space for answers. The instructions of the examination will be announced later in the semester. </w:t>
      </w:r>
      <w:r w:rsidR="0092651E" w:rsidRPr="00AC2C9A">
        <w:t xml:space="preserve">The law school policy on exam delays and accommodations can be found </w:t>
      </w:r>
      <w:hyperlink r:id="rId9" w:history="1">
        <w:r w:rsidR="0092651E" w:rsidRPr="00AC2C9A">
          <w:rPr>
            <w:rStyle w:val="Hyperlink"/>
          </w:rPr>
          <w:t>here</w:t>
        </w:r>
      </w:hyperlink>
      <w:r w:rsidR="0092651E" w:rsidRPr="00AC2C9A">
        <w:t>.</w:t>
      </w:r>
    </w:p>
    <w:p w14:paraId="46837E1E" w14:textId="6AF801C6" w:rsidR="0035263C" w:rsidRPr="0035263C" w:rsidRDefault="0035263C" w:rsidP="0035263C">
      <w:pPr>
        <w:widowControl w:val="0"/>
        <w:autoSpaceDE w:val="0"/>
        <w:autoSpaceDN w:val="0"/>
        <w:adjustRightInd w:val="0"/>
        <w:spacing w:after="240"/>
        <w:jc w:val="center"/>
        <w:rPr>
          <w:caps/>
          <w:color w:val="000000"/>
          <w:u w:val="single"/>
        </w:rPr>
      </w:pPr>
      <w:r w:rsidRPr="0035263C">
        <w:rPr>
          <w:b/>
          <w:bCs/>
          <w:caps/>
          <w:color w:val="000000"/>
          <w:u w:val="single"/>
        </w:rPr>
        <w:t>Grades</w:t>
      </w:r>
    </w:p>
    <w:p w14:paraId="3D8A2D59" w14:textId="77777777" w:rsidR="0035263C" w:rsidRPr="0035263C" w:rsidRDefault="0035263C" w:rsidP="0035263C">
      <w:pPr>
        <w:widowControl w:val="0"/>
        <w:autoSpaceDE w:val="0"/>
        <w:autoSpaceDN w:val="0"/>
        <w:adjustRightInd w:val="0"/>
        <w:spacing w:after="240"/>
        <w:rPr>
          <w:color w:val="000000"/>
        </w:rPr>
      </w:pPr>
      <w:r w:rsidRPr="0035263C">
        <w:rPr>
          <w:color w:val="000000"/>
        </w:rPr>
        <w:t xml:space="preserve">Your grade for this course will depend on how well you perform on your seminar paper. Each member of the class will present his or her paper to the class. Quality of participation counts. If I call on you to contribute to classroom discussion, and you decline, I will come back to you the following day and call on you again to participate. </w:t>
      </w:r>
    </w:p>
    <w:p w14:paraId="123BA494" w14:textId="397FE9E5" w:rsidR="0035263C" w:rsidRPr="0035263C" w:rsidRDefault="0035263C" w:rsidP="0020002C">
      <w:pPr>
        <w:widowControl w:val="0"/>
        <w:autoSpaceDE w:val="0"/>
        <w:autoSpaceDN w:val="0"/>
        <w:adjustRightInd w:val="0"/>
        <w:spacing w:after="240" w:line="360" w:lineRule="atLeast"/>
        <w:rPr>
          <w:caps/>
          <w:color w:val="000000"/>
          <w:u w:val="single"/>
        </w:rPr>
      </w:pPr>
      <w:r w:rsidRPr="0035263C">
        <w:rPr>
          <w:b/>
          <w:bCs/>
          <w:caps/>
          <w:color w:val="000000"/>
          <w:u w:val="single"/>
        </w:rPr>
        <w:t>Evaluation of Grades</w:t>
      </w:r>
    </w:p>
    <w:tbl>
      <w:tblPr>
        <w:tblStyle w:val="TableGrid"/>
        <w:tblW w:w="0" w:type="auto"/>
        <w:tblLook w:val="04A0" w:firstRow="1" w:lastRow="0" w:firstColumn="1" w:lastColumn="0" w:noHBand="0" w:noVBand="1"/>
      </w:tblPr>
      <w:tblGrid>
        <w:gridCol w:w="3202"/>
        <w:gridCol w:w="3202"/>
      </w:tblGrid>
      <w:tr w:rsidR="0020002C" w14:paraId="151241F0" w14:textId="77777777" w:rsidTr="0020002C">
        <w:trPr>
          <w:trHeight w:val="307"/>
        </w:trPr>
        <w:tc>
          <w:tcPr>
            <w:tcW w:w="3202" w:type="dxa"/>
          </w:tcPr>
          <w:p w14:paraId="33437CB9" w14:textId="7AABA7C9" w:rsidR="0020002C" w:rsidRPr="0020002C" w:rsidRDefault="0020002C" w:rsidP="0035263C">
            <w:pPr>
              <w:widowControl w:val="0"/>
              <w:autoSpaceDE w:val="0"/>
              <w:autoSpaceDN w:val="0"/>
              <w:adjustRightInd w:val="0"/>
              <w:rPr>
                <w:b/>
                <w:color w:val="000000"/>
              </w:rPr>
            </w:pPr>
            <w:r>
              <w:rPr>
                <w:b/>
                <w:color w:val="000000"/>
              </w:rPr>
              <w:t>Percentage of Grade</w:t>
            </w:r>
          </w:p>
        </w:tc>
        <w:tc>
          <w:tcPr>
            <w:tcW w:w="3202" w:type="dxa"/>
          </w:tcPr>
          <w:p w14:paraId="3F149E86" w14:textId="2650B8B1" w:rsidR="0020002C" w:rsidRPr="0020002C" w:rsidRDefault="0020002C" w:rsidP="0035263C">
            <w:pPr>
              <w:widowControl w:val="0"/>
              <w:autoSpaceDE w:val="0"/>
              <w:autoSpaceDN w:val="0"/>
              <w:adjustRightInd w:val="0"/>
              <w:rPr>
                <w:b/>
                <w:color w:val="000000"/>
              </w:rPr>
            </w:pPr>
            <w:r>
              <w:rPr>
                <w:b/>
                <w:color w:val="000000"/>
              </w:rPr>
              <w:t>Portion of Class</w:t>
            </w:r>
          </w:p>
        </w:tc>
      </w:tr>
      <w:tr w:rsidR="0020002C" w14:paraId="454217FD" w14:textId="77777777" w:rsidTr="0020002C">
        <w:trPr>
          <w:trHeight w:val="307"/>
        </w:trPr>
        <w:tc>
          <w:tcPr>
            <w:tcW w:w="3202" w:type="dxa"/>
          </w:tcPr>
          <w:p w14:paraId="7878640F" w14:textId="01CA1CB8" w:rsidR="0020002C" w:rsidRPr="0020002C" w:rsidRDefault="0020002C" w:rsidP="0035263C">
            <w:pPr>
              <w:widowControl w:val="0"/>
              <w:autoSpaceDE w:val="0"/>
              <w:autoSpaceDN w:val="0"/>
              <w:adjustRightInd w:val="0"/>
              <w:rPr>
                <w:color w:val="000000"/>
              </w:rPr>
            </w:pPr>
            <w:r w:rsidRPr="0020002C">
              <w:rPr>
                <w:color w:val="000000"/>
              </w:rPr>
              <w:t>70%</w:t>
            </w:r>
          </w:p>
        </w:tc>
        <w:tc>
          <w:tcPr>
            <w:tcW w:w="3202" w:type="dxa"/>
          </w:tcPr>
          <w:p w14:paraId="3DA3856A" w14:textId="198DE119" w:rsidR="0020002C" w:rsidRDefault="0020002C" w:rsidP="0035263C">
            <w:pPr>
              <w:widowControl w:val="0"/>
              <w:autoSpaceDE w:val="0"/>
              <w:autoSpaceDN w:val="0"/>
              <w:adjustRightInd w:val="0"/>
              <w:rPr>
                <w:color w:val="000000"/>
              </w:rPr>
            </w:pPr>
            <w:r>
              <w:rPr>
                <w:color w:val="000000"/>
              </w:rPr>
              <w:t>Seminar Paper</w:t>
            </w:r>
          </w:p>
        </w:tc>
      </w:tr>
      <w:tr w:rsidR="0020002C" w14:paraId="4B948322" w14:textId="77777777" w:rsidTr="0020002C">
        <w:trPr>
          <w:trHeight w:val="307"/>
        </w:trPr>
        <w:tc>
          <w:tcPr>
            <w:tcW w:w="3202" w:type="dxa"/>
          </w:tcPr>
          <w:p w14:paraId="139F0EA5" w14:textId="41BC7E15" w:rsidR="0020002C" w:rsidRDefault="0020002C" w:rsidP="0035263C">
            <w:pPr>
              <w:widowControl w:val="0"/>
              <w:autoSpaceDE w:val="0"/>
              <w:autoSpaceDN w:val="0"/>
              <w:adjustRightInd w:val="0"/>
              <w:rPr>
                <w:color w:val="000000"/>
              </w:rPr>
            </w:pPr>
            <w:r>
              <w:rPr>
                <w:color w:val="000000"/>
              </w:rPr>
              <w:t>20%</w:t>
            </w:r>
          </w:p>
        </w:tc>
        <w:tc>
          <w:tcPr>
            <w:tcW w:w="3202" w:type="dxa"/>
          </w:tcPr>
          <w:p w14:paraId="5801793A" w14:textId="73012F68" w:rsidR="0020002C" w:rsidRDefault="0020002C" w:rsidP="0035263C">
            <w:pPr>
              <w:widowControl w:val="0"/>
              <w:autoSpaceDE w:val="0"/>
              <w:autoSpaceDN w:val="0"/>
              <w:adjustRightInd w:val="0"/>
              <w:rPr>
                <w:color w:val="000000"/>
              </w:rPr>
            </w:pPr>
            <w:r>
              <w:rPr>
                <w:color w:val="000000"/>
              </w:rPr>
              <w:t xml:space="preserve">Presentation </w:t>
            </w:r>
          </w:p>
        </w:tc>
      </w:tr>
      <w:tr w:rsidR="0020002C" w14:paraId="3ADE3BDF" w14:textId="77777777" w:rsidTr="0020002C">
        <w:trPr>
          <w:trHeight w:val="307"/>
        </w:trPr>
        <w:tc>
          <w:tcPr>
            <w:tcW w:w="3202" w:type="dxa"/>
          </w:tcPr>
          <w:p w14:paraId="1B7779C2" w14:textId="773DD128" w:rsidR="0020002C" w:rsidRDefault="0020002C" w:rsidP="0035263C">
            <w:pPr>
              <w:widowControl w:val="0"/>
              <w:autoSpaceDE w:val="0"/>
              <w:autoSpaceDN w:val="0"/>
              <w:adjustRightInd w:val="0"/>
              <w:rPr>
                <w:color w:val="000000"/>
              </w:rPr>
            </w:pPr>
            <w:r>
              <w:rPr>
                <w:color w:val="000000"/>
              </w:rPr>
              <w:t>10%</w:t>
            </w:r>
          </w:p>
        </w:tc>
        <w:tc>
          <w:tcPr>
            <w:tcW w:w="3202" w:type="dxa"/>
          </w:tcPr>
          <w:p w14:paraId="5186C91D" w14:textId="0F8492E2" w:rsidR="0020002C" w:rsidRDefault="0020002C" w:rsidP="0035263C">
            <w:pPr>
              <w:widowControl w:val="0"/>
              <w:autoSpaceDE w:val="0"/>
              <w:autoSpaceDN w:val="0"/>
              <w:adjustRightInd w:val="0"/>
              <w:rPr>
                <w:color w:val="000000"/>
              </w:rPr>
            </w:pPr>
            <w:r>
              <w:rPr>
                <w:color w:val="000000"/>
              </w:rPr>
              <w:t xml:space="preserve">Participation </w:t>
            </w:r>
          </w:p>
        </w:tc>
      </w:tr>
    </w:tbl>
    <w:p w14:paraId="00400939" w14:textId="77777777" w:rsidR="0020002C" w:rsidRDefault="0020002C" w:rsidP="0035263C">
      <w:pPr>
        <w:widowControl w:val="0"/>
        <w:autoSpaceDE w:val="0"/>
        <w:autoSpaceDN w:val="0"/>
        <w:adjustRightInd w:val="0"/>
        <w:rPr>
          <w:color w:val="000000"/>
        </w:rPr>
      </w:pPr>
    </w:p>
    <w:p w14:paraId="6069625C" w14:textId="45EF57EF" w:rsidR="0020002C" w:rsidRPr="0020002C" w:rsidRDefault="0020002C" w:rsidP="0035263C">
      <w:pPr>
        <w:widowControl w:val="0"/>
        <w:autoSpaceDE w:val="0"/>
        <w:autoSpaceDN w:val="0"/>
        <w:adjustRightInd w:val="0"/>
        <w:rPr>
          <w:b/>
          <w:color w:val="000000"/>
          <w:u w:val="single"/>
        </w:rPr>
      </w:pPr>
      <w:r>
        <w:rPr>
          <w:b/>
          <w:color w:val="000000"/>
          <w:u w:val="single"/>
        </w:rPr>
        <w:t xml:space="preserve">GRADING POLICY </w:t>
      </w:r>
    </w:p>
    <w:p w14:paraId="540E4E18" w14:textId="77777777" w:rsidR="0020002C" w:rsidRDefault="0020002C" w:rsidP="0035263C">
      <w:pPr>
        <w:widowControl w:val="0"/>
        <w:autoSpaceDE w:val="0"/>
        <w:autoSpaceDN w:val="0"/>
        <w:adjustRightInd w:val="0"/>
        <w:rPr>
          <w:color w:val="000000"/>
        </w:rPr>
      </w:pPr>
    </w:p>
    <w:tbl>
      <w:tblPr>
        <w:tblStyle w:val="TableGrid"/>
        <w:tblW w:w="0" w:type="auto"/>
        <w:tblLook w:val="04A0" w:firstRow="1" w:lastRow="0" w:firstColumn="1" w:lastColumn="0" w:noHBand="0" w:noVBand="1"/>
      </w:tblPr>
      <w:tblGrid>
        <w:gridCol w:w="2334"/>
        <w:gridCol w:w="2342"/>
        <w:gridCol w:w="2337"/>
        <w:gridCol w:w="2337"/>
      </w:tblGrid>
      <w:tr w:rsidR="0020002C" w14:paraId="58DCFF17" w14:textId="77777777" w:rsidTr="0020002C">
        <w:tc>
          <w:tcPr>
            <w:tcW w:w="2394" w:type="dxa"/>
          </w:tcPr>
          <w:p w14:paraId="3D185FA3" w14:textId="1FCE9C12" w:rsidR="0020002C" w:rsidRPr="0020002C" w:rsidRDefault="0020002C" w:rsidP="0035263C">
            <w:pPr>
              <w:widowControl w:val="0"/>
              <w:autoSpaceDE w:val="0"/>
              <w:autoSpaceDN w:val="0"/>
              <w:adjustRightInd w:val="0"/>
              <w:rPr>
                <w:b/>
                <w:color w:val="000000"/>
              </w:rPr>
            </w:pPr>
            <w:r>
              <w:rPr>
                <w:b/>
                <w:color w:val="000000"/>
              </w:rPr>
              <w:t xml:space="preserve">Score </w:t>
            </w:r>
          </w:p>
        </w:tc>
        <w:tc>
          <w:tcPr>
            <w:tcW w:w="2394" w:type="dxa"/>
          </w:tcPr>
          <w:p w14:paraId="6B19CA80" w14:textId="54462FC3" w:rsidR="0020002C" w:rsidRPr="0020002C" w:rsidRDefault="0020002C" w:rsidP="0035263C">
            <w:pPr>
              <w:widowControl w:val="0"/>
              <w:autoSpaceDE w:val="0"/>
              <w:autoSpaceDN w:val="0"/>
              <w:adjustRightInd w:val="0"/>
              <w:rPr>
                <w:b/>
                <w:color w:val="000000"/>
              </w:rPr>
            </w:pPr>
            <w:r>
              <w:rPr>
                <w:b/>
                <w:color w:val="000000"/>
              </w:rPr>
              <w:t xml:space="preserve">Percent </w:t>
            </w:r>
          </w:p>
        </w:tc>
        <w:tc>
          <w:tcPr>
            <w:tcW w:w="2394" w:type="dxa"/>
          </w:tcPr>
          <w:p w14:paraId="577A8BFB" w14:textId="23A321C9" w:rsidR="0020002C" w:rsidRPr="0020002C" w:rsidRDefault="0020002C" w:rsidP="0035263C">
            <w:pPr>
              <w:widowControl w:val="0"/>
              <w:autoSpaceDE w:val="0"/>
              <w:autoSpaceDN w:val="0"/>
              <w:adjustRightInd w:val="0"/>
              <w:rPr>
                <w:b/>
                <w:color w:val="000000"/>
              </w:rPr>
            </w:pPr>
            <w:r>
              <w:rPr>
                <w:b/>
                <w:color w:val="000000"/>
              </w:rPr>
              <w:t xml:space="preserve">Grade </w:t>
            </w:r>
          </w:p>
        </w:tc>
        <w:tc>
          <w:tcPr>
            <w:tcW w:w="2394" w:type="dxa"/>
          </w:tcPr>
          <w:p w14:paraId="13590337" w14:textId="4453DC9C" w:rsidR="0020002C" w:rsidRPr="0020002C" w:rsidRDefault="0020002C" w:rsidP="0035263C">
            <w:pPr>
              <w:widowControl w:val="0"/>
              <w:autoSpaceDE w:val="0"/>
              <w:autoSpaceDN w:val="0"/>
              <w:adjustRightInd w:val="0"/>
              <w:rPr>
                <w:b/>
                <w:color w:val="000000"/>
              </w:rPr>
            </w:pPr>
            <w:r>
              <w:rPr>
                <w:b/>
                <w:color w:val="000000"/>
              </w:rPr>
              <w:t>Grade Points</w:t>
            </w:r>
          </w:p>
        </w:tc>
      </w:tr>
      <w:tr w:rsidR="0020002C" w14:paraId="12B26AAB" w14:textId="77777777" w:rsidTr="0020002C">
        <w:tc>
          <w:tcPr>
            <w:tcW w:w="2394" w:type="dxa"/>
          </w:tcPr>
          <w:p w14:paraId="5BDAAF71" w14:textId="498D7C18" w:rsidR="0020002C" w:rsidRPr="0020002C" w:rsidRDefault="0020002C" w:rsidP="0035263C">
            <w:pPr>
              <w:widowControl w:val="0"/>
              <w:autoSpaceDE w:val="0"/>
              <w:autoSpaceDN w:val="0"/>
              <w:adjustRightInd w:val="0"/>
              <w:rPr>
                <w:color w:val="000000"/>
              </w:rPr>
            </w:pPr>
            <w:r>
              <w:rPr>
                <w:color w:val="000000"/>
              </w:rPr>
              <w:t>934-1000</w:t>
            </w:r>
          </w:p>
        </w:tc>
        <w:tc>
          <w:tcPr>
            <w:tcW w:w="2394" w:type="dxa"/>
          </w:tcPr>
          <w:p w14:paraId="6F897AD5" w14:textId="7A364F7D" w:rsidR="0020002C" w:rsidRDefault="0020002C" w:rsidP="0035263C">
            <w:pPr>
              <w:widowControl w:val="0"/>
              <w:autoSpaceDE w:val="0"/>
              <w:autoSpaceDN w:val="0"/>
              <w:adjustRightInd w:val="0"/>
              <w:rPr>
                <w:color w:val="000000"/>
              </w:rPr>
            </w:pPr>
            <w:r>
              <w:rPr>
                <w:color w:val="000000"/>
              </w:rPr>
              <w:t>93.4-100</w:t>
            </w:r>
          </w:p>
        </w:tc>
        <w:tc>
          <w:tcPr>
            <w:tcW w:w="2394" w:type="dxa"/>
          </w:tcPr>
          <w:p w14:paraId="083A3618" w14:textId="6EC94251" w:rsidR="0020002C" w:rsidRDefault="0020002C" w:rsidP="0035263C">
            <w:pPr>
              <w:widowControl w:val="0"/>
              <w:autoSpaceDE w:val="0"/>
              <w:autoSpaceDN w:val="0"/>
              <w:adjustRightInd w:val="0"/>
              <w:rPr>
                <w:color w:val="000000"/>
              </w:rPr>
            </w:pPr>
            <w:r>
              <w:rPr>
                <w:color w:val="000000"/>
              </w:rPr>
              <w:t>A</w:t>
            </w:r>
          </w:p>
        </w:tc>
        <w:tc>
          <w:tcPr>
            <w:tcW w:w="2394" w:type="dxa"/>
          </w:tcPr>
          <w:p w14:paraId="3C39DBCF" w14:textId="5A2CF5D8" w:rsidR="0020002C" w:rsidRDefault="0020002C" w:rsidP="0035263C">
            <w:pPr>
              <w:widowControl w:val="0"/>
              <w:autoSpaceDE w:val="0"/>
              <w:autoSpaceDN w:val="0"/>
              <w:adjustRightInd w:val="0"/>
              <w:rPr>
                <w:color w:val="000000"/>
              </w:rPr>
            </w:pPr>
            <w:r>
              <w:rPr>
                <w:color w:val="000000"/>
              </w:rPr>
              <w:t>4.00</w:t>
            </w:r>
          </w:p>
        </w:tc>
      </w:tr>
      <w:tr w:rsidR="0020002C" w14:paraId="6EE1EE09" w14:textId="77777777" w:rsidTr="0020002C">
        <w:tc>
          <w:tcPr>
            <w:tcW w:w="2394" w:type="dxa"/>
          </w:tcPr>
          <w:p w14:paraId="502D6979" w14:textId="53DE90D7" w:rsidR="0020002C" w:rsidRDefault="0020002C" w:rsidP="0035263C">
            <w:pPr>
              <w:widowControl w:val="0"/>
              <w:autoSpaceDE w:val="0"/>
              <w:autoSpaceDN w:val="0"/>
              <w:adjustRightInd w:val="0"/>
              <w:rPr>
                <w:color w:val="000000"/>
              </w:rPr>
            </w:pPr>
            <w:r>
              <w:rPr>
                <w:color w:val="000000"/>
              </w:rPr>
              <w:t>900-933</w:t>
            </w:r>
          </w:p>
        </w:tc>
        <w:tc>
          <w:tcPr>
            <w:tcW w:w="2394" w:type="dxa"/>
          </w:tcPr>
          <w:p w14:paraId="79342045" w14:textId="10947702" w:rsidR="0020002C" w:rsidRDefault="0020002C" w:rsidP="0035263C">
            <w:pPr>
              <w:widowControl w:val="0"/>
              <w:autoSpaceDE w:val="0"/>
              <w:autoSpaceDN w:val="0"/>
              <w:adjustRightInd w:val="0"/>
              <w:rPr>
                <w:color w:val="000000"/>
              </w:rPr>
            </w:pPr>
            <w:r>
              <w:rPr>
                <w:color w:val="000000"/>
              </w:rPr>
              <w:t>90-93.3</w:t>
            </w:r>
          </w:p>
        </w:tc>
        <w:tc>
          <w:tcPr>
            <w:tcW w:w="2394" w:type="dxa"/>
          </w:tcPr>
          <w:p w14:paraId="5FC6E4AF" w14:textId="3A021D41" w:rsidR="0020002C" w:rsidRDefault="0020002C" w:rsidP="0035263C">
            <w:pPr>
              <w:widowControl w:val="0"/>
              <w:autoSpaceDE w:val="0"/>
              <w:autoSpaceDN w:val="0"/>
              <w:adjustRightInd w:val="0"/>
              <w:rPr>
                <w:color w:val="000000"/>
              </w:rPr>
            </w:pPr>
            <w:r>
              <w:rPr>
                <w:color w:val="000000"/>
              </w:rPr>
              <w:t>A-</w:t>
            </w:r>
          </w:p>
        </w:tc>
        <w:tc>
          <w:tcPr>
            <w:tcW w:w="2394" w:type="dxa"/>
          </w:tcPr>
          <w:p w14:paraId="6C4003E2" w14:textId="09E04167" w:rsidR="0020002C" w:rsidRDefault="0020002C" w:rsidP="0035263C">
            <w:pPr>
              <w:widowControl w:val="0"/>
              <w:autoSpaceDE w:val="0"/>
              <w:autoSpaceDN w:val="0"/>
              <w:adjustRightInd w:val="0"/>
              <w:rPr>
                <w:color w:val="000000"/>
              </w:rPr>
            </w:pPr>
            <w:r>
              <w:rPr>
                <w:color w:val="000000"/>
              </w:rPr>
              <w:t>3.67</w:t>
            </w:r>
          </w:p>
        </w:tc>
      </w:tr>
      <w:tr w:rsidR="0020002C" w14:paraId="0E904499" w14:textId="77777777" w:rsidTr="0020002C">
        <w:tc>
          <w:tcPr>
            <w:tcW w:w="2394" w:type="dxa"/>
          </w:tcPr>
          <w:p w14:paraId="0DCD4512" w14:textId="1C676611" w:rsidR="0020002C" w:rsidRDefault="0020002C" w:rsidP="0035263C">
            <w:pPr>
              <w:widowControl w:val="0"/>
              <w:autoSpaceDE w:val="0"/>
              <w:autoSpaceDN w:val="0"/>
              <w:adjustRightInd w:val="0"/>
              <w:rPr>
                <w:color w:val="000000"/>
              </w:rPr>
            </w:pPr>
            <w:r>
              <w:rPr>
                <w:color w:val="000000"/>
              </w:rPr>
              <w:t>867-899</w:t>
            </w:r>
          </w:p>
        </w:tc>
        <w:tc>
          <w:tcPr>
            <w:tcW w:w="2394" w:type="dxa"/>
          </w:tcPr>
          <w:p w14:paraId="16DF8507" w14:textId="2AA6404D" w:rsidR="0020002C" w:rsidRDefault="0020002C" w:rsidP="0035263C">
            <w:pPr>
              <w:widowControl w:val="0"/>
              <w:autoSpaceDE w:val="0"/>
              <w:autoSpaceDN w:val="0"/>
              <w:adjustRightInd w:val="0"/>
              <w:rPr>
                <w:color w:val="000000"/>
              </w:rPr>
            </w:pPr>
            <w:r>
              <w:rPr>
                <w:color w:val="000000"/>
              </w:rPr>
              <w:t>86.7-89.9</w:t>
            </w:r>
          </w:p>
        </w:tc>
        <w:tc>
          <w:tcPr>
            <w:tcW w:w="2394" w:type="dxa"/>
          </w:tcPr>
          <w:p w14:paraId="17FF2DF2" w14:textId="7E291BF4" w:rsidR="0020002C" w:rsidRDefault="0020002C" w:rsidP="0035263C">
            <w:pPr>
              <w:widowControl w:val="0"/>
              <w:autoSpaceDE w:val="0"/>
              <w:autoSpaceDN w:val="0"/>
              <w:adjustRightInd w:val="0"/>
              <w:rPr>
                <w:color w:val="000000"/>
              </w:rPr>
            </w:pPr>
            <w:r>
              <w:rPr>
                <w:color w:val="000000"/>
              </w:rPr>
              <w:t>B+</w:t>
            </w:r>
          </w:p>
        </w:tc>
        <w:tc>
          <w:tcPr>
            <w:tcW w:w="2394" w:type="dxa"/>
          </w:tcPr>
          <w:p w14:paraId="33924C92" w14:textId="7B39CF67" w:rsidR="0020002C" w:rsidRDefault="0020002C" w:rsidP="0035263C">
            <w:pPr>
              <w:widowControl w:val="0"/>
              <w:autoSpaceDE w:val="0"/>
              <w:autoSpaceDN w:val="0"/>
              <w:adjustRightInd w:val="0"/>
              <w:rPr>
                <w:color w:val="000000"/>
              </w:rPr>
            </w:pPr>
            <w:r>
              <w:rPr>
                <w:color w:val="000000"/>
              </w:rPr>
              <w:t>3.33</w:t>
            </w:r>
          </w:p>
        </w:tc>
      </w:tr>
      <w:tr w:rsidR="0020002C" w14:paraId="4E1A748A" w14:textId="77777777" w:rsidTr="0020002C">
        <w:tc>
          <w:tcPr>
            <w:tcW w:w="2394" w:type="dxa"/>
          </w:tcPr>
          <w:p w14:paraId="053FDA23" w14:textId="45C36B79" w:rsidR="0020002C" w:rsidRDefault="0020002C" w:rsidP="0035263C">
            <w:pPr>
              <w:widowControl w:val="0"/>
              <w:autoSpaceDE w:val="0"/>
              <w:autoSpaceDN w:val="0"/>
              <w:adjustRightInd w:val="0"/>
              <w:rPr>
                <w:color w:val="000000"/>
              </w:rPr>
            </w:pPr>
            <w:r>
              <w:rPr>
                <w:color w:val="000000"/>
              </w:rPr>
              <w:t>834-866</w:t>
            </w:r>
          </w:p>
        </w:tc>
        <w:tc>
          <w:tcPr>
            <w:tcW w:w="2394" w:type="dxa"/>
          </w:tcPr>
          <w:p w14:paraId="7DA02E87" w14:textId="46FD82C5" w:rsidR="0020002C" w:rsidRDefault="0020002C" w:rsidP="0035263C">
            <w:pPr>
              <w:widowControl w:val="0"/>
              <w:autoSpaceDE w:val="0"/>
              <w:autoSpaceDN w:val="0"/>
              <w:adjustRightInd w:val="0"/>
              <w:rPr>
                <w:color w:val="000000"/>
              </w:rPr>
            </w:pPr>
            <w:r>
              <w:rPr>
                <w:color w:val="000000"/>
              </w:rPr>
              <w:t>83.4-86.6</w:t>
            </w:r>
          </w:p>
        </w:tc>
        <w:tc>
          <w:tcPr>
            <w:tcW w:w="2394" w:type="dxa"/>
          </w:tcPr>
          <w:p w14:paraId="0525EBA1" w14:textId="0A225B93" w:rsidR="0020002C" w:rsidRDefault="0020002C" w:rsidP="0035263C">
            <w:pPr>
              <w:widowControl w:val="0"/>
              <w:autoSpaceDE w:val="0"/>
              <w:autoSpaceDN w:val="0"/>
              <w:adjustRightInd w:val="0"/>
              <w:rPr>
                <w:color w:val="000000"/>
              </w:rPr>
            </w:pPr>
            <w:r>
              <w:rPr>
                <w:color w:val="000000"/>
              </w:rPr>
              <w:t>B</w:t>
            </w:r>
          </w:p>
        </w:tc>
        <w:tc>
          <w:tcPr>
            <w:tcW w:w="2394" w:type="dxa"/>
          </w:tcPr>
          <w:p w14:paraId="1ACD3943" w14:textId="73D68B17" w:rsidR="0020002C" w:rsidRDefault="0020002C" w:rsidP="0035263C">
            <w:pPr>
              <w:widowControl w:val="0"/>
              <w:autoSpaceDE w:val="0"/>
              <w:autoSpaceDN w:val="0"/>
              <w:adjustRightInd w:val="0"/>
              <w:rPr>
                <w:color w:val="000000"/>
              </w:rPr>
            </w:pPr>
            <w:r>
              <w:rPr>
                <w:color w:val="000000"/>
              </w:rPr>
              <w:t>3.00</w:t>
            </w:r>
          </w:p>
        </w:tc>
      </w:tr>
      <w:tr w:rsidR="0020002C" w14:paraId="55FB2BDD" w14:textId="77777777" w:rsidTr="0020002C">
        <w:tc>
          <w:tcPr>
            <w:tcW w:w="2394" w:type="dxa"/>
          </w:tcPr>
          <w:p w14:paraId="3467BF58" w14:textId="74FEDDDD" w:rsidR="0020002C" w:rsidRDefault="0020002C" w:rsidP="0035263C">
            <w:pPr>
              <w:widowControl w:val="0"/>
              <w:autoSpaceDE w:val="0"/>
              <w:autoSpaceDN w:val="0"/>
              <w:adjustRightInd w:val="0"/>
              <w:rPr>
                <w:color w:val="000000"/>
              </w:rPr>
            </w:pPr>
            <w:r>
              <w:rPr>
                <w:color w:val="000000"/>
              </w:rPr>
              <w:t>800-833</w:t>
            </w:r>
          </w:p>
        </w:tc>
        <w:tc>
          <w:tcPr>
            <w:tcW w:w="2394" w:type="dxa"/>
          </w:tcPr>
          <w:p w14:paraId="0B245249" w14:textId="068E8D45" w:rsidR="0020002C" w:rsidRDefault="0020002C" w:rsidP="0035263C">
            <w:pPr>
              <w:widowControl w:val="0"/>
              <w:autoSpaceDE w:val="0"/>
              <w:autoSpaceDN w:val="0"/>
              <w:adjustRightInd w:val="0"/>
              <w:rPr>
                <w:color w:val="000000"/>
              </w:rPr>
            </w:pPr>
            <w:r>
              <w:rPr>
                <w:color w:val="000000"/>
              </w:rPr>
              <w:t>80-83.3</w:t>
            </w:r>
          </w:p>
        </w:tc>
        <w:tc>
          <w:tcPr>
            <w:tcW w:w="2394" w:type="dxa"/>
          </w:tcPr>
          <w:p w14:paraId="0B7580A8" w14:textId="631FDAA9" w:rsidR="0020002C" w:rsidRDefault="0020002C" w:rsidP="0035263C">
            <w:pPr>
              <w:widowControl w:val="0"/>
              <w:autoSpaceDE w:val="0"/>
              <w:autoSpaceDN w:val="0"/>
              <w:adjustRightInd w:val="0"/>
              <w:rPr>
                <w:color w:val="000000"/>
              </w:rPr>
            </w:pPr>
            <w:r>
              <w:rPr>
                <w:color w:val="000000"/>
              </w:rPr>
              <w:t>B-</w:t>
            </w:r>
          </w:p>
        </w:tc>
        <w:tc>
          <w:tcPr>
            <w:tcW w:w="2394" w:type="dxa"/>
          </w:tcPr>
          <w:p w14:paraId="35D5611B" w14:textId="08A2E81F" w:rsidR="0020002C" w:rsidRDefault="0020002C" w:rsidP="0035263C">
            <w:pPr>
              <w:widowControl w:val="0"/>
              <w:autoSpaceDE w:val="0"/>
              <w:autoSpaceDN w:val="0"/>
              <w:adjustRightInd w:val="0"/>
              <w:rPr>
                <w:color w:val="000000"/>
              </w:rPr>
            </w:pPr>
            <w:r>
              <w:rPr>
                <w:color w:val="000000"/>
              </w:rPr>
              <w:t>2.67</w:t>
            </w:r>
          </w:p>
        </w:tc>
      </w:tr>
      <w:tr w:rsidR="0020002C" w14:paraId="0ECA0A05" w14:textId="77777777" w:rsidTr="0020002C">
        <w:tc>
          <w:tcPr>
            <w:tcW w:w="2394" w:type="dxa"/>
          </w:tcPr>
          <w:p w14:paraId="3132F258" w14:textId="7092707A" w:rsidR="0020002C" w:rsidRDefault="0020002C" w:rsidP="0035263C">
            <w:pPr>
              <w:widowControl w:val="0"/>
              <w:autoSpaceDE w:val="0"/>
              <w:autoSpaceDN w:val="0"/>
              <w:adjustRightInd w:val="0"/>
              <w:rPr>
                <w:color w:val="000000"/>
              </w:rPr>
            </w:pPr>
            <w:r>
              <w:rPr>
                <w:color w:val="000000"/>
              </w:rPr>
              <w:t>767-799</w:t>
            </w:r>
          </w:p>
        </w:tc>
        <w:tc>
          <w:tcPr>
            <w:tcW w:w="2394" w:type="dxa"/>
          </w:tcPr>
          <w:p w14:paraId="0A87DD68" w14:textId="25CE5168" w:rsidR="0020002C" w:rsidRDefault="0020002C" w:rsidP="0035263C">
            <w:pPr>
              <w:widowControl w:val="0"/>
              <w:autoSpaceDE w:val="0"/>
              <w:autoSpaceDN w:val="0"/>
              <w:adjustRightInd w:val="0"/>
              <w:rPr>
                <w:color w:val="000000"/>
              </w:rPr>
            </w:pPr>
            <w:r>
              <w:rPr>
                <w:color w:val="000000"/>
              </w:rPr>
              <w:t>76.7-79.9</w:t>
            </w:r>
          </w:p>
        </w:tc>
        <w:tc>
          <w:tcPr>
            <w:tcW w:w="2394" w:type="dxa"/>
          </w:tcPr>
          <w:p w14:paraId="1945A48B" w14:textId="58147171" w:rsidR="0020002C" w:rsidRDefault="0020002C" w:rsidP="0035263C">
            <w:pPr>
              <w:widowControl w:val="0"/>
              <w:autoSpaceDE w:val="0"/>
              <w:autoSpaceDN w:val="0"/>
              <w:adjustRightInd w:val="0"/>
              <w:rPr>
                <w:color w:val="000000"/>
              </w:rPr>
            </w:pPr>
            <w:r>
              <w:rPr>
                <w:color w:val="000000"/>
              </w:rPr>
              <w:t>C+</w:t>
            </w:r>
          </w:p>
        </w:tc>
        <w:tc>
          <w:tcPr>
            <w:tcW w:w="2394" w:type="dxa"/>
          </w:tcPr>
          <w:p w14:paraId="1FC62018" w14:textId="6CAF9CFD" w:rsidR="0020002C" w:rsidRDefault="0020002C" w:rsidP="0035263C">
            <w:pPr>
              <w:widowControl w:val="0"/>
              <w:autoSpaceDE w:val="0"/>
              <w:autoSpaceDN w:val="0"/>
              <w:adjustRightInd w:val="0"/>
              <w:rPr>
                <w:color w:val="000000"/>
              </w:rPr>
            </w:pPr>
            <w:r>
              <w:rPr>
                <w:color w:val="000000"/>
              </w:rPr>
              <w:t>2.33</w:t>
            </w:r>
          </w:p>
        </w:tc>
      </w:tr>
      <w:tr w:rsidR="0020002C" w14:paraId="10FEC5F3" w14:textId="77777777" w:rsidTr="0020002C">
        <w:tc>
          <w:tcPr>
            <w:tcW w:w="2394" w:type="dxa"/>
          </w:tcPr>
          <w:p w14:paraId="77EF185C" w14:textId="3CF1E8A3" w:rsidR="0020002C" w:rsidRDefault="0020002C" w:rsidP="0035263C">
            <w:pPr>
              <w:widowControl w:val="0"/>
              <w:autoSpaceDE w:val="0"/>
              <w:autoSpaceDN w:val="0"/>
              <w:adjustRightInd w:val="0"/>
              <w:rPr>
                <w:color w:val="000000"/>
              </w:rPr>
            </w:pPr>
            <w:r>
              <w:rPr>
                <w:color w:val="000000"/>
              </w:rPr>
              <w:t>734-766</w:t>
            </w:r>
          </w:p>
        </w:tc>
        <w:tc>
          <w:tcPr>
            <w:tcW w:w="2394" w:type="dxa"/>
          </w:tcPr>
          <w:p w14:paraId="2A868A9E" w14:textId="7715C53D" w:rsidR="0020002C" w:rsidRDefault="0020002C" w:rsidP="0035263C">
            <w:pPr>
              <w:widowControl w:val="0"/>
              <w:autoSpaceDE w:val="0"/>
              <w:autoSpaceDN w:val="0"/>
              <w:adjustRightInd w:val="0"/>
              <w:rPr>
                <w:color w:val="000000"/>
              </w:rPr>
            </w:pPr>
            <w:r>
              <w:rPr>
                <w:color w:val="000000"/>
              </w:rPr>
              <w:t>73.4-76.6</w:t>
            </w:r>
          </w:p>
        </w:tc>
        <w:tc>
          <w:tcPr>
            <w:tcW w:w="2394" w:type="dxa"/>
          </w:tcPr>
          <w:p w14:paraId="0680995B" w14:textId="2350D30B" w:rsidR="0020002C" w:rsidRDefault="0020002C" w:rsidP="0035263C">
            <w:pPr>
              <w:widowControl w:val="0"/>
              <w:autoSpaceDE w:val="0"/>
              <w:autoSpaceDN w:val="0"/>
              <w:adjustRightInd w:val="0"/>
              <w:rPr>
                <w:color w:val="000000"/>
              </w:rPr>
            </w:pPr>
            <w:r>
              <w:rPr>
                <w:color w:val="000000"/>
              </w:rPr>
              <w:t>C</w:t>
            </w:r>
          </w:p>
        </w:tc>
        <w:tc>
          <w:tcPr>
            <w:tcW w:w="2394" w:type="dxa"/>
          </w:tcPr>
          <w:p w14:paraId="0E87F641" w14:textId="28268ACD" w:rsidR="0020002C" w:rsidRDefault="0020002C" w:rsidP="0035263C">
            <w:pPr>
              <w:widowControl w:val="0"/>
              <w:autoSpaceDE w:val="0"/>
              <w:autoSpaceDN w:val="0"/>
              <w:adjustRightInd w:val="0"/>
              <w:rPr>
                <w:color w:val="000000"/>
              </w:rPr>
            </w:pPr>
            <w:r>
              <w:rPr>
                <w:color w:val="000000"/>
              </w:rPr>
              <w:t>2.00</w:t>
            </w:r>
          </w:p>
        </w:tc>
      </w:tr>
      <w:tr w:rsidR="0020002C" w14:paraId="513CAEC9" w14:textId="77777777" w:rsidTr="0020002C">
        <w:tc>
          <w:tcPr>
            <w:tcW w:w="2394" w:type="dxa"/>
          </w:tcPr>
          <w:p w14:paraId="18FCC6CF" w14:textId="277699D8" w:rsidR="0020002C" w:rsidRDefault="0020002C" w:rsidP="0035263C">
            <w:pPr>
              <w:widowControl w:val="0"/>
              <w:autoSpaceDE w:val="0"/>
              <w:autoSpaceDN w:val="0"/>
              <w:adjustRightInd w:val="0"/>
              <w:rPr>
                <w:color w:val="000000"/>
              </w:rPr>
            </w:pPr>
            <w:r>
              <w:rPr>
                <w:color w:val="000000"/>
              </w:rPr>
              <w:t>700-733</w:t>
            </w:r>
          </w:p>
        </w:tc>
        <w:tc>
          <w:tcPr>
            <w:tcW w:w="2394" w:type="dxa"/>
          </w:tcPr>
          <w:p w14:paraId="3463AA46" w14:textId="193CB9C9" w:rsidR="0020002C" w:rsidRDefault="0020002C" w:rsidP="0035263C">
            <w:pPr>
              <w:widowControl w:val="0"/>
              <w:autoSpaceDE w:val="0"/>
              <w:autoSpaceDN w:val="0"/>
              <w:adjustRightInd w:val="0"/>
              <w:rPr>
                <w:color w:val="000000"/>
              </w:rPr>
            </w:pPr>
            <w:r>
              <w:rPr>
                <w:color w:val="000000"/>
              </w:rPr>
              <w:t>70-73.3</w:t>
            </w:r>
          </w:p>
        </w:tc>
        <w:tc>
          <w:tcPr>
            <w:tcW w:w="2394" w:type="dxa"/>
          </w:tcPr>
          <w:p w14:paraId="6E88064F" w14:textId="6EBD2269" w:rsidR="0020002C" w:rsidRDefault="0020002C" w:rsidP="0035263C">
            <w:pPr>
              <w:widowControl w:val="0"/>
              <w:autoSpaceDE w:val="0"/>
              <w:autoSpaceDN w:val="0"/>
              <w:adjustRightInd w:val="0"/>
              <w:rPr>
                <w:color w:val="000000"/>
              </w:rPr>
            </w:pPr>
            <w:r>
              <w:rPr>
                <w:color w:val="000000"/>
              </w:rPr>
              <w:t>C-</w:t>
            </w:r>
          </w:p>
        </w:tc>
        <w:tc>
          <w:tcPr>
            <w:tcW w:w="2394" w:type="dxa"/>
          </w:tcPr>
          <w:p w14:paraId="7366FE74" w14:textId="69A79BBC" w:rsidR="0020002C" w:rsidRDefault="0020002C" w:rsidP="0035263C">
            <w:pPr>
              <w:widowControl w:val="0"/>
              <w:autoSpaceDE w:val="0"/>
              <w:autoSpaceDN w:val="0"/>
              <w:adjustRightInd w:val="0"/>
              <w:rPr>
                <w:color w:val="000000"/>
              </w:rPr>
            </w:pPr>
            <w:r>
              <w:rPr>
                <w:color w:val="000000"/>
              </w:rPr>
              <w:t>1.67</w:t>
            </w:r>
          </w:p>
        </w:tc>
      </w:tr>
      <w:tr w:rsidR="0020002C" w14:paraId="3AEFBFCC" w14:textId="77777777" w:rsidTr="0020002C">
        <w:tc>
          <w:tcPr>
            <w:tcW w:w="2394" w:type="dxa"/>
          </w:tcPr>
          <w:p w14:paraId="200A3E99" w14:textId="0BF8CB23" w:rsidR="0020002C" w:rsidRDefault="0020002C" w:rsidP="0035263C">
            <w:pPr>
              <w:widowControl w:val="0"/>
              <w:autoSpaceDE w:val="0"/>
              <w:autoSpaceDN w:val="0"/>
              <w:adjustRightInd w:val="0"/>
              <w:rPr>
                <w:color w:val="000000"/>
              </w:rPr>
            </w:pPr>
            <w:r>
              <w:rPr>
                <w:color w:val="000000"/>
              </w:rPr>
              <w:t>667-699</w:t>
            </w:r>
          </w:p>
        </w:tc>
        <w:tc>
          <w:tcPr>
            <w:tcW w:w="2394" w:type="dxa"/>
          </w:tcPr>
          <w:p w14:paraId="4410246F" w14:textId="49B01AFA" w:rsidR="0020002C" w:rsidRDefault="0020002C" w:rsidP="0035263C">
            <w:pPr>
              <w:widowControl w:val="0"/>
              <w:autoSpaceDE w:val="0"/>
              <w:autoSpaceDN w:val="0"/>
              <w:adjustRightInd w:val="0"/>
              <w:rPr>
                <w:color w:val="000000"/>
              </w:rPr>
            </w:pPr>
            <w:r>
              <w:rPr>
                <w:color w:val="000000"/>
              </w:rPr>
              <w:t>66.7-69.9</w:t>
            </w:r>
          </w:p>
        </w:tc>
        <w:tc>
          <w:tcPr>
            <w:tcW w:w="2394" w:type="dxa"/>
          </w:tcPr>
          <w:p w14:paraId="3A52A0A6" w14:textId="68DE190B" w:rsidR="0020002C" w:rsidRDefault="0020002C" w:rsidP="0035263C">
            <w:pPr>
              <w:widowControl w:val="0"/>
              <w:autoSpaceDE w:val="0"/>
              <w:autoSpaceDN w:val="0"/>
              <w:adjustRightInd w:val="0"/>
              <w:rPr>
                <w:color w:val="000000"/>
              </w:rPr>
            </w:pPr>
            <w:r>
              <w:rPr>
                <w:color w:val="000000"/>
              </w:rPr>
              <w:t>D+</w:t>
            </w:r>
          </w:p>
        </w:tc>
        <w:tc>
          <w:tcPr>
            <w:tcW w:w="2394" w:type="dxa"/>
          </w:tcPr>
          <w:p w14:paraId="0EE9D07B" w14:textId="5E0E5D27" w:rsidR="0020002C" w:rsidRDefault="0020002C" w:rsidP="0035263C">
            <w:pPr>
              <w:widowControl w:val="0"/>
              <w:autoSpaceDE w:val="0"/>
              <w:autoSpaceDN w:val="0"/>
              <w:adjustRightInd w:val="0"/>
              <w:rPr>
                <w:color w:val="000000"/>
              </w:rPr>
            </w:pPr>
            <w:r>
              <w:rPr>
                <w:color w:val="000000"/>
              </w:rPr>
              <w:t>1.33</w:t>
            </w:r>
          </w:p>
        </w:tc>
      </w:tr>
      <w:tr w:rsidR="0020002C" w14:paraId="6DAB91EE" w14:textId="77777777" w:rsidTr="0020002C">
        <w:tc>
          <w:tcPr>
            <w:tcW w:w="2394" w:type="dxa"/>
          </w:tcPr>
          <w:p w14:paraId="1A9DC908" w14:textId="6295C51F" w:rsidR="0020002C" w:rsidRDefault="0020002C" w:rsidP="0035263C">
            <w:pPr>
              <w:widowControl w:val="0"/>
              <w:autoSpaceDE w:val="0"/>
              <w:autoSpaceDN w:val="0"/>
              <w:adjustRightInd w:val="0"/>
              <w:rPr>
                <w:color w:val="000000"/>
              </w:rPr>
            </w:pPr>
            <w:r>
              <w:rPr>
                <w:color w:val="000000"/>
              </w:rPr>
              <w:t>634-666</w:t>
            </w:r>
          </w:p>
        </w:tc>
        <w:tc>
          <w:tcPr>
            <w:tcW w:w="2394" w:type="dxa"/>
          </w:tcPr>
          <w:p w14:paraId="3235FC2B" w14:textId="0407C330" w:rsidR="0020002C" w:rsidRDefault="0020002C" w:rsidP="0035263C">
            <w:pPr>
              <w:widowControl w:val="0"/>
              <w:autoSpaceDE w:val="0"/>
              <w:autoSpaceDN w:val="0"/>
              <w:adjustRightInd w:val="0"/>
              <w:rPr>
                <w:color w:val="000000"/>
              </w:rPr>
            </w:pPr>
            <w:r>
              <w:rPr>
                <w:color w:val="000000"/>
              </w:rPr>
              <w:t>63.4-66.6</w:t>
            </w:r>
          </w:p>
        </w:tc>
        <w:tc>
          <w:tcPr>
            <w:tcW w:w="2394" w:type="dxa"/>
          </w:tcPr>
          <w:p w14:paraId="5C17C34E" w14:textId="2B73A16D" w:rsidR="0020002C" w:rsidRDefault="0020002C" w:rsidP="0035263C">
            <w:pPr>
              <w:widowControl w:val="0"/>
              <w:autoSpaceDE w:val="0"/>
              <w:autoSpaceDN w:val="0"/>
              <w:adjustRightInd w:val="0"/>
              <w:rPr>
                <w:color w:val="000000"/>
              </w:rPr>
            </w:pPr>
            <w:r>
              <w:rPr>
                <w:color w:val="000000"/>
              </w:rPr>
              <w:t>D</w:t>
            </w:r>
          </w:p>
        </w:tc>
        <w:tc>
          <w:tcPr>
            <w:tcW w:w="2394" w:type="dxa"/>
          </w:tcPr>
          <w:p w14:paraId="16AC5E55" w14:textId="6818838C" w:rsidR="0020002C" w:rsidRDefault="0020002C" w:rsidP="0035263C">
            <w:pPr>
              <w:widowControl w:val="0"/>
              <w:autoSpaceDE w:val="0"/>
              <w:autoSpaceDN w:val="0"/>
              <w:adjustRightInd w:val="0"/>
              <w:rPr>
                <w:color w:val="000000"/>
              </w:rPr>
            </w:pPr>
            <w:r>
              <w:rPr>
                <w:color w:val="000000"/>
              </w:rPr>
              <w:t>1.00</w:t>
            </w:r>
          </w:p>
        </w:tc>
      </w:tr>
      <w:tr w:rsidR="0020002C" w14:paraId="0835E00D" w14:textId="77777777" w:rsidTr="0020002C">
        <w:tc>
          <w:tcPr>
            <w:tcW w:w="2394" w:type="dxa"/>
          </w:tcPr>
          <w:p w14:paraId="6A0A5A5C" w14:textId="26B81413" w:rsidR="0020002C" w:rsidRDefault="0020002C" w:rsidP="0035263C">
            <w:pPr>
              <w:widowControl w:val="0"/>
              <w:autoSpaceDE w:val="0"/>
              <w:autoSpaceDN w:val="0"/>
              <w:adjustRightInd w:val="0"/>
              <w:rPr>
                <w:color w:val="000000"/>
              </w:rPr>
            </w:pPr>
            <w:r>
              <w:rPr>
                <w:color w:val="000000"/>
              </w:rPr>
              <w:t>600-633</w:t>
            </w:r>
          </w:p>
        </w:tc>
        <w:tc>
          <w:tcPr>
            <w:tcW w:w="2394" w:type="dxa"/>
          </w:tcPr>
          <w:p w14:paraId="2A3961DA" w14:textId="38D7BE29" w:rsidR="0020002C" w:rsidRDefault="0020002C" w:rsidP="0035263C">
            <w:pPr>
              <w:widowControl w:val="0"/>
              <w:autoSpaceDE w:val="0"/>
              <w:autoSpaceDN w:val="0"/>
              <w:adjustRightInd w:val="0"/>
              <w:rPr>
                <w:color w:val="000000"/>
              </w:rPr>
            </w:pPr>
            <w:r>
              <w:rPr>
                <w:color w:val="000000"/>
              </w:rPr>
              <w:t>60-63.3</w:t>
            </w:r>
          </w:p>
        </w:tc>
        <w:tc>
          <w:tcPr>
            <w:tcW w:w="2394" w:type="dxa"/>
          </w:tcPr>
          <w:p w14:paraId="766BA748" w14:textId="0E0491B1" w:rsidR="0020002C" w:rsidRDefault="0020002C" w:rsidP="0035263C">
            <w:pPr>
              <w:widowControl w:val="0"/>
              <w:autoSpaceDE w:val="0"/>
              <w:autoSpaceDN w:val="0"/>
              <w:adjustRightInd w:val="0"/>
              <w:rPr>
                <w:color w:val="000000"/>
              </w:rPr>
            </w:pPr>
            <w:r>
              <w:rPr>
                <w:color w:val="000000"/>
              </w:rPr>
              <w:t>D-</w:t>
            </w:r>
          </w:p>
        </w:tc>
        <w:tc>
          <w:tcPr>
            <w:tcW w:w="2394" w:type="dxa"/>
          </w:tcPr>
          <w:p w14:paraId="1AFD731D" w14:textId="0F7B7EA9" w:rsidR="0020002C" w:rsidRDefault="0020002C" w:rsidP="0035263C">
            <w:pPr>
              <w:widowControl w:val="0"/>
              <w:autoSpaceDE w:val="0"/>
              <w:autoSpaceDN w:val="0"/>
              <w:adjustRightInd w:val="0"/>
              <w:rPr>
                <w:color w:val="000000"/>
              </w:rPr>
            </w:pPr>
            <w:r>
              <w:rPr>
                <w:color w:val="000000"/>
              </w:rPr>
              <w:t>0.67</w:t>
            </w:r>
          </w:p>
        </w:tc>
      </w:tr>
      <w:tr w:rsidR="0020002C" w14:paraId="62B7BC3E" w14:textId="77777777" w:rsidTr="0020002C">
        <w:tc>
          <w:tcPr>
            <w:tcW w:w="2394" w:type="dxa"/>
          </w:tcPr>
          <w:p w14:paraId="15E11543" w14:textId="7EE6E042" w:rsidR="0020002C" w:rsidRDefault="0020002C" w:rsidP="0035263C">
            <w:pPr>
              <w:widowControl w:val="0"/>
              <w:autoSpaceDE w:val="0"/>
              <w:autoSpaceDN w:val="0"/>
              <w:adjustRightInd w:val="0"/>
              <w:rPr>
                <w:color w:val="000000"/>
              </w:rPr>
            </w:pPr>
            <w:r>
              <w:rPr>
                <w:color w:val="000000"/>
              </w:rPr>
              <w:t>0-559</w:t>
            </w:r>
          </w:p>
        </w:tc>
        <w:tc>
          <w:tcPr>
            <w:tcW w:w="2394" w:type="dxa"/>
          </w:tcPr>
          <w:p w14:paraId="76F96A34" w14:textId="47A70DCD" w:rsidR="0020002C" w:rsidRDefault="0020002C" w:rsidP="0035263C">
            <w:pPr>
              <w:widowControl w:val="0"/>
              <w:autoSpaceDE w:val="0"/>
              <w:autoSpaceDN w:val="0"/>
              <w:adjustRightInd w:val="0"/>
              <w:rPr>
                <w:color w:val="000000"/>
              </w:rPr>
            </w:pPr>
            <w:r>
              <w:rPr>
                <w:color w:val="000000"/>
              </w:rPr>
              <w:t>0-59.9</w:t>
            </w:r>
          </w:p>
        </w:tc>
        <w:tc>
          <w:tcPr>
            <w:tcW w:w="2394" w:type="dxa"/>
          </w:tcPr>
          <w:p w14:paraId="596C35F0" w14:textId="6055E487" w:rsidR="0020002C" w:rsidRDefault="0020002C" w:rsidP="0035263C">
            <w:pPr>
              <w:widowControl w:val="0"/>
              <w:autoSpaceDE w:val="0"/>
              <w:autoSpaceDN w:val="0"/>
              <w:adjustRightInd w:val="0"/>
              <w:rPr>
                <w:color w:val="000000"/>
              </w:rPr>
            </w:pPr>
            <w:r>
              <w:rPr>
                <w:color w:val="000000"/>
              </w:rPr>
              <w:t>E</w:t>
            </w:r>
          </w:p>
        </w:tc>
        <w:tc>
          <w:tcPr>
            <w:tcW w:w="2394" w:type="dxa"/>
          </w:tcPr>
          <w:p w14:paraId="275E2B81" w14:textId="7AAE7165" w:rsidR="0020002C" w:rsidRDefault="00B67162" w:rsidP="0035263C">
            <w:pPr>
              <w:widowControl w:val="0"/>
              <w:autoSpaceDE w:val="0"/>
              <w:autoSpaceDN w:val="0"/>
              <w:adjustRightInd w:val="0"/>
              <w:rPr>
                <w:color w:val="000000"/>
              </w:rPr>
            </w:pPr>
            <w:r>
              <w:rPr>
                <w:color w:val="000000"/>
              </w:rPr>
              <w:t>0.00</w:t>
            </w:r>
          </w:p>
        </w:tc>
      </w:tr>
    </w:tbl>
    <w:p w14:paraId="43D6C6C2" w14:textId="77777777" w:rsidR="0020002C" w:rsidRDefault="0020002C" w:rsidP="0035263C">
      <w:pPr>
        <w:widowControl w:val="0"/>
        <w:autoSpaceDE w:val="0"/>
        <w:autoSpaceDN w:val="0"/>
        <w:adjustRightInd w:val="0"/>
        <w:rPr>
          <w:color w:val="000000"/>
        </w:rPr>
      </w:pPr>
    </w:p>
    <w:p w14:paraId="5AFEEEC3" w14:textId="77777777" w:rsidR="0035263C" w:rsidRPr="0035263C" w:rsidRDefault="0035263C" w:rsidP="0035263C">
      <w:pPr>
        <w:widowControl w:val="0"/>
        <w:autoSpaceDE w:val="0"/>
        <w:autoSpaceDN w:val="0"/>
        <w:adjustRightInd w:val="0"/>
        <w:rPr>
          <w:color w:val="000000"/>
        </w:rPr>
      </w:pPr>
      <w:r w:rsidRPr="0035263C">
        <w:rPr>
          <w:color w:val="000000"/>
        </w:rPr>
        <w:t xml:space="preserve">For more details, see this information at </w:t>
      </w:r>
    </w:p>
    <w:p w14:paraId="011A9D4A" w14:textId="77777777" w:rsidR="0035263C" w:rsidRPr="0035263C" w:rsidRDefault="0035263C" w:rsidP="0035263C">
      <w:pPr>
        <w:widowControl w:val="0"/>
        <w:autoSpaceDE w:val="0"/>
        <w:autoSpaceDN w:val="0"/>
        <w:adjustRightInd w:val="0"/>
        <w:rPr>
          <w:color w:val="000000"/>
        </w:rPr>
      </w:pPr>
      <w:r w:rsidRPr="0035263C">
        <w:rPr>
          <w:color w:val="0000FF"/>
        </w:rPr>
        <w:t xml:space="preserve">https://catalog.ufl.edu/ugrad/current/regulations/info/grades.aspx </w:t>
      </w:r>
    </w:p>
    <w:p w14:paraId="3ECBF59D" w14:textId="77777777" w:rsidR="00D928CC" w:rsidRDefault="00D928CC">
      <w:pPr>
        <w:rPr>
          <w:color w:val="000000"/>
        </w:rPr>
      </w:pPr>
    </w:p>
    <w:p w14:paraId="7D5DCF58" w14:textId="14882D85" w:rsidR="00D928CC" w:rsidRPr="00D928CC" w:rsidRDefault="00D928CC" w:rsidP="00D928CC">
      <w:pPr>
        <w:widowControl w:val="0"/>
        <w:autoSpaceDE w:val="0"/>
        <w:autoSpaceDN w:val="0"/>
        <w:adjustRightInd w:val="0"/>
        <w:spacing w:after="240"/>
        <w:jc w:val="center"/>
        <w:rPr>
          <w:caps/>
          <w:color w:val="000000"/>
          <w:u w:val="single"/>
        </w:rPr>
      </w:pPr>
      <w:r w:rsidRPr="00D928CC">
        <w:rPr>
          <w:b/>
          <w:bCs/>
          <w:caps/>
          <w:color w:val="000000"/>
          <w:u w:val="single"/>
        </w:rPr>
        <w:t>Course Evaluations</w:t>
      </w:r>
    </w:p>
    <w:p w14:paraId="12E85038" w14:textId="77777777" w:rsidR="00D928CC" w:rsidRPr="00D928CC" w:rsidRDefault="00D928CC" w:rsidP="00D928CC">
      <w:pPr>
        <w:widowControl w:val="0"/>
        <w:autoSpaceDE w:val="0"/>
        <w:autoSpaceDN w:val="0"/>
        <w:adjustRightInd w:val="0"/>
        <w:spacing w:after="240"/>
        <w:rPr>
          <w:color w:val="000000"/>
        </w:rPr>
      </w:pPr>
      <w:r w:rsidRPr="00D928CC">
        <w:rPr>
          <w:color w:val="000000"/>
        </w:rPr>
        <w:t xml:space="preserve">Students are expected to provide feedback on the quality of instruction in this course by completing online evaluations at </w:t>
      </w:r>
      <w:r w:rsidRPr="00D928CC">
        <w:rPr>
          <w:color w:val="0000FF"/>
        </w:rPr>
        <w:t>https://evaluations.ufl.edu</w:t>
      </w:r>
      <w:r w:rsidRPr="00D928CC">
        <w:rPr>
          <w:color w:val="000000"/>
        </w:rPr>
        <w:t xml:space="preserve">. Evaluations are typically open during the last two or three weeks of the semester, but students will be given specific times when they are open. Summary results of these assessments are available to students at </w:t>
      </w:r>
      <w:r w:rsidRPr="00D928CC">
        <w:rPr>
          <w:color w:val="0000FF"/>
        </w:rPr>
        <w:t>https://evaluations.ufl.edu/results/</w:t>
      </w:r>
      <w:r w:rsidRPr="00D928CC">
        <w:rPr>
          <w:color w:val="000000"/>
        </w:rPr>
        <w:t xml:space="preserve">. </w:t>
      </w:r>
    </w:p>
    <w:p w14:paraId="755A2186" w14:textId="474707E8" w:rsidR="00D928CC" w:rsidRPr="00D928CC" w:rsidRDefault="00D928CC" w:rsidP="00D928CC">
      <w:pPr>
        <w:widowControl w:val="0"/>
        <w:autoSpaceDE w:val="0"/>
        <w:autoSpaceDN w:val="0"/>
        <w:adjustRightInd w:val="0"/>
        <w:spacing w:after="240"/>
        <w:jc w:val="center"/>
        <w:rPr>
          <w:caps/>
          <w:color w:val="000000"/>
          <w:u w:val="single"/>
        </w:rPr>
      </w:pPr>
      <w:r w:rsidRPr="00D928CC">
        <w:rPr>
          <w:b/>
          <w:bCs/>
          <w:caps/>
          <w:color w:val="000000"/>
          <w:u w:val="single"/>
        </w:rPr>
        <w:t>Requesting Accommodations</w:t>
      </w:r>
    </w:p>
    <w:p w14:paraId="1DC4FFD4" w14:textId="77777777" w:rsidR="00D928CC" w:rsidRPr="00D928CC" w:rsidRDefault="00D928CC" w:rsidP="00D928CC">
      <w:pPr>
        <w:widowControl w:val="0"/>
        <w:autoSpaceDE w:val="0"/>
        <w:autoSpaceDN w:val="0"/>
        <w:adjustRightInd w:val="0"/>
        <w:spacing w:after="240"/>
        <w:rPr>
          <w:color w:val="000000"/>
        </w:rPr>
      </w:pPr>
      <w:r w:rsidRPr="00D928CC">
        <w:rPr>
          <w:color w:val="000000"/>
        </w:rPr>
        <w:t xml:space="preserve">Students with disabilities requesting accommodations should first register with the Disability Resource Center (352-392-8565, </w:t>
      </w:r>
      <w:r w:rsidRPr="00D928CC">
        <w:rPr>
          <w:color w:val="0000FF"/>
        </w:rPr>
        <w:t>www.dso.ufl.edu/drc/</w:t>
      </w:r>
      <w:r w:rsidRPr="00D928CC">
        <w:rPr>
          <w:color w:val="000000"/>
        </w:rPr>
        <w:t xml:space="preserve">) by providing appropriate documentation. Once registered, students will receive an accommodation letter which must be presented to the instructor when requesting accommodation. Students with disabilities should follow this procedure as early as possible in the semester. </w:t>
      </w:r>
    </w:p>
    <w:p w14:paraId="29971C18" w14:textId="0B0718CA" w:rsidR="00D928CC" w:rsidRPr="00D928CC" w:rsidRDefault="00D928CC" w:rsidP="00D928CC">
      <w:pPr>
        <w:widowControl w:val="0"/>
        <w:autoSpaceDE w:val="0"/>
        <w:autoSpaceDN w:val="0"/>
        <w:adjustRightInd w:val="0"/>
        <w:spacing w:after="240"/>
        <w:jc w:val="center"/>
        <w:rPr>
          <w:caps/>
          <w:color w:val="000000"/>
          <w:u w:val="single"/>
        </w:rPr>
      </w:pPr>
      <w:r w:rsidRPr="00D928CC">
        <w:rPr>
          <w:b/>
          <w:bCs/>
          <w:caps/>
          <w:color w:val="000000"/>
          <w:u w:val="single"/>
        </w:rPr>
        <w:t>University Honesty Policy</w:t>
      </w:r>
    </w:p>
    <w:p w14:paraId="251D816A" w14:textId="53D92458" w:rsidR="00D928CC" w:rsidRDefault="00D928CC" w:rsidP="00D928CC">
      <w:pPr>
        <w:widowControl w:val="0"/>
        <w:autoSpaceDE w:val="0"/>
        <w:autoSpaceDN w:val="0"/>
        <w:adjustRightInd w:val="0"/>
        <w:spacing w:after="240"/>
        <w:rPr>
          <w:color w:val="000000"/>
        </w:rPr>
      </w:pPr>
      <w:r w:rsidRPr="00D928CC">
        <w:rPr>
          <w:color w:val="000000"/>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(https://www.dso.ufl.edu/sccr/process/student-conduct-honor- code/) specifies </w:t>
      </w:r>
      <w:proofErr w:type="gramStart"/>
      <w:r w:rsidRPr="00D928CC">
        <w:rPr>
          <w:color w:val="000000"/>
        </w:rPr>
        <w:t>a number of</w:t>
      </w:r>
      <w:proofErr w:type="gramEnd"/>
      <w:r w:rsidRPr="00D928CC">
        <w:rPr>
          <w:color w:val="000000"/>
        </w:rPr>
        <w:t xml:space="preserve">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 </w:t>
      </w:r>
    </w:p>
    <w:p w14:paraId="4C542A65" w14:textId="77777777" w:rsidR="0092651E" w:rsidRPr="00D928CC" w:rsidRDefault="0092651E" w:rsidP="00D928CC">
      <w:pPr>
        <w:widowControl w:val="0"/>
        <w:autoSpaceDE w:val="0"/>
        <w:autoSpaceDN w:val="0"/>
        <w:adjustRightInd w:val="0"/>
        <w:spacing w:after="240"/>
        <w:rPr>
          <w:color w:val="000000"/>
        </w:rPr>
      </w:pPr>
    </w:p>
    <w:p w14:paraId="77FA77ED" w14:textId="2A4EB821" w:rsidR="00D928CC" w:rsidRPr="00D928CC" w:rsidRDefault="00D928CC" w:rsidP="00D928CC">
      <w:pPr>
        <w:widowControl w:val="0"/>
        <w:autoSpaceDE w:val="0"/>
        <w:autoSpaceDN w:val="0"/>
        <w:adjustRightInd w:val="0"/>
        <w:spacing w:after="240"/>
        <w:jc w:val="center"/>
        <w:rPr>
          <w:caps/>
          <w:color w:val="000000"/>
          <w:u w:val="single"/>
        </w:rPr>
      </w:pPr>
      <w:r w:rsidRPr="00D928CC">
        <w:rPr>
          <w:b/>
          <w:bCs/>
          <w:caps/>
          <w:color w:val="000000"/>
          <w:u w:val="single"/>
        </w:rPr>
        <w:lastRenderedPageBreak/>
        <w:t>Counseling and Wellness Center</w:t>
      </w:r>
    </w:p>
    <w:p w14:paraId="5ED7B6AF" w14:textId="77777777" w:rsidR="00D928CC" w:rsidRDefault="00D928CC" w:rsidP="00D928CC">
      <w:pPr>
        <w:widowControl w:val="0"/>
        <w:autoSpaceDE w:val="0"/>
        <w:autoSpaceDN w:val="0"/>
        <w:adjustRightInd w:val="0"/>
        <w:spacing w:after="240"/>
        <w:rPr>
          <w:color w:val="000000"/>
        </w:rPr>
      </w:pPr>
      <w:r w:rsidRPr="00D928CC">
        <w:rPr>
          <w:color w:val="000000"/>
        </w:rPr>
        <w:t xml:space="preserve">Contact information for the Counseling and Wellness Center: http://www.counseling.ufl.edu/cwc/Default.aspx, 392-1575; and the University Police Department: 392-1111 or 9-1-1 for emergencies. </w:t>
      </w:r>
    </w:p>
    <w:p w14:paraId="35CD8E3B" w14:textId="29D63A29" w:rsidR="00274893" w:rsidRDefault="00274893" w:rsidP="00274893">
      <w:pPr>
        <w:widowControl w:val="0"/>
        <w:autoSpaceDE w:val="0"/>
        <w:autoSpaceDN w:val="0"/>
        <w:adjustRightInd w:val="0"/>
        <w:spacing w:after="240"/>
        <w:jc w:val="center"/>
        <w:rPr>
          <w:color w:val="000000"/>
        </w:rPr>
      </w:pPr>
      <w:r>
        <w:rPr>
          <w:b/>
          <w:color w:val="000000"/>
          <w:u w:val="single"/>
        </w:rPr>
        <w:t>COVID-19</w:t>
      </w:r>
    </w:p>
    <w:p w14:paraId="1A8210BC" w14:textId="68436376" w:rsidR="00274893" w:rsidRDefault="00274893" w:rsidP="00274893">
      <w:pPr>
        <w:widowControl w:val="0"/>
        <w:autoSpaceDE w:val="0"/>
        <w:autoSpaceDN w:val="0"/>
        <w:adjustRightInd w:val="0"/>
        <w:spacing w:after="240"/>
        <w:rPr>
          <w:color w:val="000000"/>
        </w:rPr>
      </w:pPr>
      <w:r>
        <w:rPr>
          <w:color w:val="000000"/>
        </w:rPr>
        <w:t xml:space="preserve">This course will be taught in person </w:t>
      </w:r>
      <w:r w:rsidR="009112BE">
        <w:rPr>
          <w:color w:val="000000"/>
        </w:rPr>
        <w:t xml:space="preserve">and online. </w:t>
      </w:r>
      <w:r w:rsidR="00351136">
        <w:rPr>
          <w:color w:val="000000"/>
        </w:rPr>
        <w:t>Students must</w:t>
      </w:r>
      <w:r w:rsidR="009112BE">
        <w:rPr>
          <w:color w:val="000000"/>
        </w:rPr>
        <w:t xml:space="preserve"> adhere to the following policies to ensure safe classroom interactions: </w:t>
      </w:r>
    </w:p>
    <w:p w14:paraId="2EBF9C2F" w14:textId="497B42B1" w:rsidR="009112BE" w:rsidRDefault="009112BE" w:rsidP="009112BE">
      <w:pPr>
        <w:pStyle w:val="ListParagraph"/>
        <w:widowControl w:val="0"/>
        <w:numPr>
          <w:ilvl w:val="0"/>
          <w:numId w:val="13"/>
        </w:numPr>
        <w:autoSpaceDE w:val="0"/>
        <w:autoSpaceDN w:val="0"/>
        <w:adjustRightInd w:val="0"/>
        <w:spacing w:after="240"/>
        <w:rPr>
          <w:color w:val="000000"/>
        </w:rPr>
      </w:pPr>
      <w:r>
        <w:rPr>
          <w:color w:val="000000"/>
        </w:rPr>
        <w:t xml:space="preserve">Students </w:t>
      </w:r>
      <w:proofErr w:type="gramStart"/>
      <w:r>
        <w:rPr>
          <w:color w:val="000000"/>
        </w:rPr>
        <w:t>must wear approved facial masks at all times</w:t>
      </w:r>
      <w:proofErr w:type="gramEnd"/>
      <w:r>
        <w:rPr>
          <w:color w:val="000000"/>
        </w:rPr>
        <w:t xml:space="preserve"> during class and in buildings on campus. Failure to wear an approved facial covering will result in the student being reported to the Office of Student Conduct and Conflict Resolution, and the student will no longer be permitted on campus. This violation will also be reported to the relevant state bar. </w:t>
      </w:r>
    </w:p>
    <w:p w14:paraId="46DDE3DC" w14:textId="7D1C5A1B" w:rsidR="009112BE" w:rsidRDefault="009112BE" w:rsidP="009112BE">
      <w:pPr>
        <w:pStyle w:val="ListParagraph"/>
        <w:widowControl w:val="0"/>
        <w:numPr>
          <w:ilvl w:val="0"/>
          <w:numId w:val="13"/>
        </w:numPr>
        <w:autoSpaceDE w:val="0"/>
        <w:autoSpaceDN w:val="0"/>
        <w:adjustRightInd w:val="0"/>
        <w:spacing w:after="240"/>
        <w:rPr>
          <w:color w:val="000000"/>
        </w:rPr>
      </w:pPr>
      <w:r>
        <w:rPr>
          <w:color w:val="000000"/>
        </w:rPr>
        <w:t xml:space="preserve">Students must sit </w:t>
      </w:r>
      <w:proofErr w:type="gramStart"/>
      <w:r>
        <w:rPr>
          <w:color w:val="000000"/>
        </w:rPr>
        <w:t>six-feet</w:t>
      </w:r>
      <w:proofErr w:type="gramEnd"/>
      <w:r>
        <w:rPr>
          <w:color w:val="000000"/>
        </w:rPr>
        <w:t xml:space="preserve"> apart at all times while in the classroom. Students must sit in designated seats that have been made available for seating. </w:t>
      </w:r>
    </w:p>
    <w:p w14:paraId="613D0602" w14:textId="490B9BA1" w:rsidR="009112BE" w:rsidRDefault="009112BE" w:rsidP="009112BE">
      <w:pPr>
        <w:pStyle w:val="ListParagraph"/>
        <w:widowControl w:val="0"/>
        <w:numPr>
          <w:ilvl w:val="0"/>
          <w:numId w:val="13"/>
        </w:numPr>
        <w:autoSpaceDE w:val="0"/>
        <w:autoSpaceDN w:val="0"/>
        <w:adjustRightInd w:val="0"/>
        <w:spacing w:after="240"/>
        <w:rPr>
          <w:color w:val="000000"/>
        </w:rPr>
      </w:pPr>
      <w:r>
        <w:rPr>
          <w:color w:val="000000"/>
        </w:rPr>
        <w:t xml:space="preserve">You can use the sanitizing supplies to disinfect your seating area before and after class. </w:t>
      </w:r>
    </w:p>
    <w:p w14:paraId="43B9C6C7" w14:textId="0F63D89D" w:rsidR="009112BE" w:rsidRDefault="009112BE" w:rsidP="009112BE">
      <w:pPr>
        <w:pStyle w:val="ListParagraph"/>
        <w:widowControl w:val="0"/>
        <w:numPr>
          <w:ilvl w:val="0"/>
          <w:numId w:val="13"/>
        </w:numPr>
        <w:autoSpaceDE w:val="0"/>
        <w:autoSpaceDN w:val="0"/>
        <w:adjustRightInd w:val="0"/>
        <w:spacing w:after="240"/>
        <w:rPr>
          <w:color w:val="000000"/>
        </w:rPr>
      </w:pPr>
      <w:r>
        <w:rPr>
          <w:color w:val="000000"/>
        </w:rPr>
        <w:t xml:space="preserve">Students must follow the TA’s instructions for entering and exiting the classroom, and students must practice social distancing when entering and exiting the classroom. </w:t>
      </w:r>
    </w:p>
    <w:p w14:paraId="77A1A5D5" w14:textId="300B66B6" w:rsidR="009112BE" w:rsidRDefault="009112BE" w:rsidP="009112BE">
      <w:pPr>
        <w:pStyle w:val="ListParagraph"/>
        <w:widowControl w:val="0"/>
        <w:numPr>
          <w:ilvl w:val="0"/>
          <w:numId w:val="13"/>
        </w:numPr>
        <w:autoSpaceDE w:val="0"/>
        <w:autoSpaceDN w:val="0"/>
        <w:adjustRightInd w:val="0"/>
        <w:spacing w:after="240"/>
        <w:rPr>
          <w:color w:val="000000"/>
        </w:rPr>
      </w:pPr>
      <w:r>
        <w:rPr>
          <w:color w:val="000000"/>
        </w:rPr>
        <w:t xml:space="preserve">If you are experiencing COVID-19 symptoms, do not come to campus. I </w:t>
      </w:r>
      <w:proofErr w:type="spellStart"/>
      <w:r>
        <w:rPr>
          <w:color w:val="000000"/>
        </w:rPr>
        <w:t>fyou</w:t>
      </w:r>
      <w:proofErr w:type="spellEnd"/>
      <w:r>
        <w:rPr>
          <w:color w:val="000000"/>
        </w:rPr>
        <w:t xml:space="preserve"> are already on campus, immediately leave. This link provides a list of symptoms: </w:t>
      </w:r>
      <w:hyperlink r:id="rId10" w:history="1">
        <w:r w:rsidRPr="006B479E">
          <w:rPr>
            <w:rStyle w:val="Hyperlink"/>
          </w:rPr>
          <w:t>https://www.cdc.gov/coronavirus/2019-ncov/symptoms-testing/symptoms.html</w:t>
        </w:r>
      </w:hyperlink>
      <w:r>
        <w:rPr>
          <w:color w:val="000000"/>
        </w:rPr>
        <w:t xml:space="preserve">. </w:t>
      </w:r>
    </w:p>
    <w:p w14:paraId="40703347" w14:textId="5D87F895" w:rsidR="009112BE" w:rsidRDefault="009112BE" w:rsidP="009112BE">
      <w:pPr>
        <w:pStyle w:val="ListParagraph"/>
        <w:widowControl w:val="0"/>
        <w:numPr>
          <w:ilvl w:val="0"/>
          <w:numId w:val="13"/>
        </w:numPr>
        <w:autoSpaceDE w:val="0"/>
        <w:autoSpaceDN w:val="0"/>
        <w:adjustRightInd w:val="0"/>
        <w:spacing w:after="240"/>
        <w:rPr>
          <w:color w:val="000000"/>
        </w:rPr>
      </w:pPr>
      <w:r>
        <w:rPr>
          <w:color w:val="000000"/>
        </w:rPr>
        <w:t xml:space="preserve">Please use the UF Health Screening </w:t>
      </w:r>
      <w:proofErr w:type="spellStart"/>
      <w:r>
        <w:rPr>
          <w:color w:val="000000"/>
        </w:rPr>
        <w:t>Questionairre</w:t>
      </w:r>
      <w:proofErr w:type="spellEnd"/>
      <w:r>
        <w:rPr>
          <w:color w:val="000000"/>
        </w:rPr>
        <w:t xml:space="preserve"> and follow instructions provided by the university for determining when coming back to campus is permitted (</w:t>
      </w:r>
      <w:hyperlink r:id="rId11" w:history="1">
        <w:r w:rsidRPr="006B479E">
          <w:rPr>
            <w:rStyle w:val="Hyperlink"/>
          </w:rPr>
          <w:t>https://coronavirus.ufhealth.org/screen-test-protect-2/frequently-asked-questions/covid-19-exposure-and-symptoms-who-do-i-call-if/</w:t>
        </w:r>
      </w:hyperlink>
      <w:r>
        <w:rPr>
          <w:color w:val="000000"/>
        </w:rPr>
        <w:t>)</w:t>
      </w:r>
    </w:p>
    <w:p w14:paraId="6CD8FB2D" w14:textId="44586344" w:rsidR="009112BE" w:rsidRPr="009112BE" w:rsidRDefault="009112BE" w:rsidP="009112BE">
      <w:pPr>
        <w:pStyle w:val="ListParagraph"/>
        <w:widowControl w:val="0"/>
        <w:numPr>
          <w:ilvl w:val="0"/>
          <w:numId w:val="13"/>
        </w:numPr>
        <w:autoSpaceDE w:val="0"/>
        <w:autoSpaceDN w:val="0"/>
        <w:adjustRightInd w:val="0"/>
        <w:spacing w:after="240"/>
        <w:rPr>
          <w:color w:val="000000"/>
        </w:rPr>
      </w:pPr>
      <w:r>
        <w:rPr>
          <w:color w:val="000000"/>
        </w:rPr>
        <w:t xml:space="preserve">Course materials will be </w:t>
      </w:r>
      <w:proofErr w:type="gramStart"/>
      <w:r>
        <w:rPr>
          <w:color w:val="000000"/>
        </w:rPr>
        <w:t>provided</w:t>
      </w:r>
      <w:proofErr w:type="gramEnd"/>
      <w:r>
        <w:rPr>
          <w:color w:val="000000"/>
        </w:rPr>
        <w:t xml:space="preserve"> and you will be given a reasonable amount of </w:t>
      </w:r>
      <w:proofErr w:type="spellStart"/>
      <w:r>
        <w:rPr>
          <w:color w:val="000000"/>
        </w:rPr>
        <w:t>timet</w:t>
      </w:r>
      <w:proofErr w:type="spellEnd"/>
      <w:r>
        <w:rPr>
          <w:color w:val="000000"/>
        </w:rPr>
        <w:t xml:space="preserve"> o makeup any assignments missed due to a COVID-19 related absence. </w:t>
      </w:r>
    </w:p>
    <w:p w14:paraId="319A6459" w14:textId="28FA8D0D" w:rsidR="00D928CC" w:rsidRPr="00D928CC" w:rsidRDefault="00D928CC" w:rsidP="00D928CC">
      <w:pPr>
        <w:jc w:val="center"/>
        <w:rPr>
          <w:b/>
          <w:color w:val="000000"/>
          <w:u w:val="single"/>
        </w:rPr>
      </w:pPr>
      <w:r>
        <w:rPr>
          <w:b/>
          <w:color w:val="000000"/>
          <w:u w:val="single"/>
        </w:rPr>
        <w:t>SYLLABUS</w:t>
      </w:r>
    </w:p>
    <w:p w14:paraId="0B087BC8" w14:textId="77777777" w:rsidR="00D928CC" w:rsidRDefault="00D928CC">
      <w:pPr>
        <w:rPr>
          <w:color w:val="000000"/>
        </w:rPr>
      </w:pPr>
    </w:p>
    <w:p w14:paraId="6AE6AB04" w14:textId="77777777" w:rsidR="001907CC" w:rsidRPr="00F77CDC" w:rsidRDefault="005524EF">
      <w:pPr>
        <w:rPr>
          <w:b/>
        </w:rPr>
      </w:pPr>
      <w:r w:rsidRPr="00F77CDC">
        <w:rPr>
          <w:b/>
        </w:rPr>
        <w:t xml:space="preserve">Week #1—History of Defining Privacy </w:t>
      </w:r>
      <w:proofErr w:type="gramStart"/>
      <w:r w:rsidRPr="00F77CDC">
        <w:rPr>
          <w:b/>
        </w:rPr>
        <w:t>in Today’s Society</w:t>
      </w:r>
      <w:proofErr w:type="gramEnd"/>
      <w:r w:rsidRPr="00F77CDC">
        <w:rPr>
          <w:b/>
        </w:rPr>
        <w:t xml:space="preserve"> </w:t>
      </w:r>
    </w:p>
    <w:p w14:paraId="2E3B9E48" w14:textId="77777777" w:rsidR="00F77CDC" w:rsidRDefault="00F77CDC" w:rsidP="005524EF">
      <w:pPr>
        <w:pStyle w:val="ListParagraph"/>
        <w:numPr>
          <w:ilvl w:val="0"/>
          <w:numId w:val="1"/>
        </w:numPr>
      </w:pPr>
      <w:r>
        <w:t>Textbook: pages 1-27</w:t>
      </w:r>
    </w:p>
    <w:p w14:paraId="0AEDEC4D" w14:textId="77777777" w:rsidR="00312E62" w:rsidRDefault="0092651E" w:rsidP="005524EF">
      <w:pPr>
        <w:pStyle w:val="ListParagraph"/>
        <w:numPr>
          <w:ilvl w:val="0"/>
          <w:numId w:val="1"/>
        </w:numPr>
      </w:pPr>
      <w:hyperlink r:id="rId12" w:history="1">
        <w:r w:rsidR="00312E62" w:rsidRPr="00312E62">
          <w:rPr>
            <w:rStyle w:val="Hyperlink"/>
          </w:rPr>
          <w:t>“Right to Privacy,” Warren and Brandies (1890 Harvard Law Review)</w:t>
        </w:r>
      </w:hyperlink>
    </w:p>
    <w:p w14:paraId="2695D724" w14:textId="45BC98E5" w:rsidR="005524EF" w:rsidRDefault="0092651E" w:rsidP="005524EF">
      <w:pPr>
        <w:pStyle w:val="ListParagraph"/>
        <w:numPr>
          <w:ilvl w:val="0"/>
          <w:numId w:val="1"/>
        </w:numPr>
      </w:pPr>
      <w:hyperlink r:id="rId13" w:history="1">
        <w:r w:rsidR="005524EF" w:rsidRPr="00312E62">
          <w:rPr>
            <w:rStyle w:val="Hyperlink"/>
          </w:rPr>
          <w:t>Olmstead v. United States, 277 U.S. 438 (1928)</w:t>
        </w:r>
      </w:hyperlink>
      <w:r w:rsidR="005524EF">
        <w:t xml:space="preserve"> (Brandies, J. dissenting)</w:t>
      </w:r>
    </w:p>
    <w:p w14:paraId="5D46877E" w14:textId="77777777" w:rsidR="00312E62" w:rsidRDefault="0092651E" w:rsidP="005524EF">
      <w:pPr>
        <w:pStyle w:val="ListParagraph"/>
        <w:numPr>
          <w:ilvl w:val="0"/>
          <w:numId w:val="1"/>
        </w:numPr>
      </w:pPr>
      <w:hyperlink r:id="rId14" w:history="1">
        <w:r w:rsidR="00312E62" w:rsidRPr="00312E62">
          <w:rPr>
            <w:rStyle w:val="Hyperlink"/>
          </w:rPr>
          <w:t>Griswold v. Connecticut, 381 U.S. 479 (1965)</w:t>
        </w:r>
      </w:hyperlink>
    </w:p>
    <w:p w14:paraId="66E57E97" w14:textId="77777777" w:rsidR="00312E62" w:rsidRDefault="0092651E" w:rsidP="005524EF">
      <w:pPr>
        <w:pStyle w:val="ListParagraph"/>
        <w:numPr>
          <w:ilvl w:val="0"/>
          <w:numId w:val="1"/>
        </w:numPr>
      </w:pPr>
      <w:hyperlink r:id="rId15" w:history="1">
        <w:r w:rsidR="00312E62" w:rsidRPr="00312E62">
          <w:rPr>
            <w:rStyle w:val="Hyperlink"/>
          </w:rPr>
          <w:t>Whalen v. Roe, 429 U.S. 589 (1977)</w:t>
        </w:r>
      </w:hyperlink>
    </w:p>
    <w:p w14:paraId="10D69D44" w14:textId="77777777" w:rsidR="005524EF" w:rsidRDefault="005524EF" w:rsidP="005524EF"/>
    <w:p w14:paraId="145C0648" w14:textId="77777777" w:rsidR="005524EF" w:rsidRPr="00F77CDC" w:rsidRDefault="005524EF" w:rsidP="005524EF">
      <w:pPr>
        <w:rPr>
          <w:b/>
        </w:rPr>
      </w:pPr>
      <w:r w:rsidRPr="00F77CDC">
        <w:rPr>
          <w:b/>
        </w:rPr>
        <w:t>Week #2—Florida Privacy Law</w:t>
      </w:r>
    </w:p>
    <w:p w14:paraId="2969C40F" w14:textId="77777777" w:rsidR="00F77CDC" w:rsidRDefault="00F77CDC" w:rsidP="00F77CDC">
      <w:pPr>
        <w:pStyle w:val="ListParagraph"/>
        <w:numPr>
          <w:ilvl w:val="0"/>
          <w:numId w:val="3"/>
        </w:numPr>
      </w:pPr>
      <w:r>
        <w:t>Textbook: pages 27-77</w:t>
      </w:r>
    </w:p>
    <w:p w14:paraId="59934D5D" w14:textId="77777777" w:rsidR="005524EF" w:rsidRDefault="005524EF" w:rsidP="005524EF">
      <w:pPr>
        <w:pStyle w:val="ListParagraph"/>
        <w:numPr>
          <w:ilvl w:val="0"/>
          <w:numId w:val="2"/>
        </w:numPr>
      </w:pPr>
      <w:r>
        <w:t xml:space="preserve">State v. Rolling, </w:t>
      </w:r>
      <w:r w:rsidR="00BC737C">
        <w:t>1994 WL 722891</w:t>
      </w:r>
      <w:r>
        <w:t xml:space="preserve"> (Fla. 8</w:t>
      </w:r>
      <w:r w:rsidRPr="005524EF">
        <w:t>th</w:t>
      </w:r>
      <w:r>
        <w:t xml:space="preserve"> Cir. Ct.)</w:t>
      </w:r>
    </w:p>
    <w:p w14:paraId="750847DD" w14:textId="77777777" w:rsidR="00F77CDC" w:rsidRDefault="0092651E" w:rsidP="005524EF">
      <w:pPr>
        <w:pStyle w:val="ListParagraph"/>
        <w:numPr>
          <w:ilvl w:val="0"/>
          <w:numId w:val="2"/>
        </w:numPr>
      </w:pPr>
      <w:hyperlink r:id="rId16" w:history="1">
        <w:r w:rsidR="00F77CDC" w:rsidRPr="00F77CDC">
          <w:rPr>
            <w:rStyle w:val="Hyperlink"/>
          </w:rPr>
          <w:t>Campus Communications v. Earnhardt, 821 So.2d 388 (Fla. 5th DCA 2002)</w:t>
        </w:r>
      </w:hyperlink>
    </w:p>
    <w:p w14:paraId="59B9DE40" w14:textId="53EB4A25" w:rsidR="00C0118C" w:rsidRPr="0092651E" w:rsidRDefault="0092651E" w:rsidP="005524EF">
      <w:pPr>
        <w:pStyle w:val="ListParagraph"/>
        <w:numPr>
          <w:ilvl w:val="0"/>
          <w:numId w:val="2"/>
        </w:numPr>
        <w:rPr>
          <w:rStyle w:val="Hyperlink"/>
          <w:color w:val="auto"/>
          <w:u w:val="none"/>
        </w:rPr>
      </w:pPr>
      <w:hyperlink r:id="rId17" w:history="1">
        <w:r w:rsidR="00BC737C" w:rsidRPr="00BC737C">
          <w:rPr>
            <w:rStyle w:val="Hyperlink"/>
          </w:rPr>
          <w:t>SeaWorld Video Case</w:t>
        </w:r>
      </w:hyperlink>
    </w:p>
    <w:p w14:paraId="04884509" w14:textId="77777777" w:rsidR="0092651E" w:rsidRDefault="0092651E" w:rsidP="005524EF">
      <w:pPr>
        <w:pStyle w:val="ListParagraph"/>
        <w:numPr>
          <w:ilvl w:val="0"/>
          <w:numId w:val="2"/>
        </w:numPr>
      </w:pPr>
      <w:bookmarkStart w:id="0" w:name="_GoBack"/>
      <w:bookmarkEnd w:id="0"/>
    </w:p>
    <w:p w14:paraId="72F9710F" w14:textId="77777777" w:rsidR="00F77CDC" w:rsidRDefault="00F77CDC" w:rsidP="00F77CDC"/>
    <w:p w14:paraId="667335A6" w14:textId="77777777" w:rsidR="00F1361E" w:rsidRPr="001A080D" w:rsidRDefault="00F77CDC" w:rsidP="00F1361E">
      <w:pPr>
        <w:rPr>
          <w:b/>
        </w:rPr>
      </w:pPr>
      <w:r w:rsidRPr="001A080D">
        <w:rPr>
          <w:b/>
        </w:rPr>
        <w:t>Week #3—Global Privacy Issues</w:t>
      </w:r>
      <w:r w:rsidR="00F1361E" w:rsidRPr="001A080D">
        <w:rPr>
          <w:b/>
        </w:rPr>
        <w:t xml:space="preserve"> </w:t>
      </w:r>
    </w:p>
    <w:p w14:paraId="6CDDFC0A" w14:textId="77777777" w:rsidR="00F77CDC" w:rsidRDefault="00F77CDC" w:rsidP="00F1361E">
      <w:pPr>
        <w:pStyle w:val="ListParagraph"/>
        <w:numPr>
          <w:ilvl w:val="0"/>
          <w:numId w:val="5"/>
        </w:numPr>
      </w:pPr>
      <w:r>
        <w:t>Textbook: pages 77-105</w:t>
      </w:r>
    </w:p>
    <w:p w14:paraId="1B1B0A90" w14:textId="77777777" w:rsidR="00153DD5" w:rsidRPr="00153DD5" w:rsidRDefault="0092651E" w:rsidP="00153DD5">
      <w:pPr>
        <w:pStyle w:val="ListParagraph"/>
        <w:numPr>
          <w:ilvl w:val="0"/>
          <w:numId w:val="4"/>
        </w:numPr>
      </w:pPr>
      <w:hyperlink r:id="rId18" w:history="1">
        <w:r w:rsidR="00153DD5" w:rsidRPr="00153DD5">
          <w:rPr>
            <w:rStyle w:val="Hyperlink"/>
          </w:rPr>
          <w:t>The EU’s General Data Protection Regulation</w:t>
        </w:r>
      </w:hyperlink>
    </w:p>
    <w:p w14:paraId="45D08D7F" w14:textId="77777777" w:rsidR="00153DD5" w:rsidRPr="0080618E" w:rsidRDefault="0092651E" w:rsidP="00153DD5">
      <w:pPr>
        <w:pStyle w:val="ListParagraph"/>
        <w:numPr>
          <w:ilvl w:val="0"/>
          <w:numId w:val="4"/>
        </w:numPr>
        <w:rPr>
          <w:rStyle w:val="Hyperlink"/>
          <w:color w:val="auto"/>
          <w:u w:val="none"/>
        </w:rPr>
      </w:pPr>
      <w:hyperlink r:id="rId19" w:history="1">
        <w:r w:rsidR="00153DD5" w:rsidRPr="00153DD5">
          <w:rPr>
            <w:rStyle w:val="Hyperlink"/>
          </w:rPr>
          <w:t>3 Things You Should Know About Europe’s Sweeping New Data Privacy Law</w:t>
        </w:r>
      </w:hyperlink>
    </w:p>
    <w:p w14:paraId="00BCB71A" w14:textId="77777777" w:rsidR="00F47905" w:rsidRPr="0080618E" w:rsidRDefault="0092651E" w:rsidP="0080618E">
      <w:pPr>
        <w:pStyle w:val="ListParagraph"/>
        <w:numPr>
          <w:ilvl w:val="0"/>
          <w:numId w:val="4"/>
        </w:numPr>
        <w:rPr>
          <w:rStyle w:val="Hyperlink"/>
          <w:color w:val="auto"/>
          <w:u w:val="none"/>
        </w:rPr>
      </w:pPr>
      <w:hyperlink r:id="rId20" w:history="1">
        <w:r w:rsidR="00F47905" w:rsidRPr="0080618E">
          <w:rPr>
            <w:rStyle w:val="Hyperlink"/>
            <w:i/>
          </w:rPr>
          <w:t>R (Bridges) v. Chief Constable of South Wales Police and Others [2019] EWHC 2341 (Admin)</w:t>
        </w:r>
      </w:hyperlink>
    </w:p>
    <w:p w14:paraId="5D7BB81E" w14:textId="77777777" w:rsidR="003D557B" w:rsidRPr="003D557B" w:rsidRDefault="0092651E" w:rsidP="00F47905">
      <w:pPr>
        <w:pStyle w:val="ListParagraph"/>
        <w:numPr>
          <w:ilvl w:val="0"/>
          <w:numId w:val="4"/>
        </w:numPr>
        <w:rPr>
          <w:rStyle w:val="Hyperlink"/>
          <w:color w:val="800000"/>
          <w:u w:val="none"/>
        </w:rPr>
      </w:pPr>
      <w:hyperlink r:id="rId21" w:history="1">
        <w:r w:rsidR="0080618E" w:rsidRPr="0080618E">
          <w:rPr>
            <w:rStyle w:val="Hyperlink"/>
            <w:i/>
          </w:rPr>
          <w:t xml:space="preserve">Google Spain SL v. </w:t>
        </w:r>
        <w:proofErr w:type="spellStart"/>
        <w:r w:rsidR="0080618E" w:rsidRPr="0080618E">
          <w:rPr>
            <w:rStyle w:val="Hyperlink"/>
            <w:i/>
          </w:rPr>
          <w:t>Agencia</w:t>
        </w:r>
        <w:proofErr w:type="spellEnd"/>
        <w:r w:rsidR="0080618E" w:rsidRPr="0080618E">
          <w:rPr>
            <w:rStyle w:val="Hyperlink"/>
            <w:i/>
          </w:rPr>
          <w:t xml:space="preserve"> Española de </w:t>
        </w:r>
        <w:proofErr w:type="spellStart"/>
        <w:r w:rsidR="0080618E" w:rsidRPr="0080618E">
          <w:rPr>
            <w:rStyle w:val="Hyperlink"/>
            <w:i/>
          </w:rPr>
          <w:t>Protección</w:t>
        </w:r>
        <w:proofErr w:type="spellEnd"/>
        <w:r w:rsidR="0080618E" w:rsidRPr="0080618E">
          <w:rPr>
            <w:rStyle w:val="Hyperlink"/>
            <w:i/>
          </w:rPr>
          <w:t xml:space="preserve"> de </w:t>
        </w:r>
        <w:proofErr w:type="spellStart"/>
        <w:r w:rsidR="0080618E" w:rsidRPr="0080618E">
          <w:rPr>
            <w:rStyle w:val="Hyperlink"/>
            <w:i/>
          </w:rPr>
          <w:t>Datos</w:t>
        </w:r>
        <w:proofErr w:type="spellEnd"/>
      </w:hyperlink>
    </w:p>
    <w:p w14:paraId="49C5B6DE" w14:textId="6E53499C" w:rsidR="003D557B" w:rsidRPr="003D557B" w:rsidRDefault="0092651E" w:rsidP="00F47905">
      <w:pPr>
        <w:pStyle w:val="ListParagraph"/>
        <w:numPr>
          <w:ilvl w:val="0"/>
          <w:numId w:val="4"/>
        </w:numPr>
        <w:rPr>
          <w:color w:val="800000"/>
        </w:rPr>
      </w:pPr>
      <w:hyperlink r:id="rId22" w:history="1">
        <w:r w:rsidR="003D557B" w:rsidRPr="003D557B">
          <w:rPr>
            <w:rStyle w:val="Hyperlink"/>
            <w:rFonts w:eastAsia="Times New Roman"/>
            <w:bCs/>
            <w:kern w:val="36"/>
          </w:rPr>
          <w:t>The Right to Be Forgotten is Taking Shape: CJEU Judgments in GC and Others (C-136/17) and Google v CNIL (C-507/17)</w:t>
        </w:r>
      </w:hyperlink>
    </w:p>
    <w:p w14:paraId="02FF414A" w14:textId="77777777" w:rsidR="003D557B" w:rsidRDefault="003D557B" w:rsidP="00F47905">
      <w:pPr>
        <w:rPr>
          <w:rFonts w:eastAsia="Times New Roman"/>
          <w:bCs/>
          <w:color w:val="2A2A2A"/>
          <w:kern w:val="36"/>
        </w:rPr>
      </w:pPr>
    </w:p>
    <w:p w14:paraId="782B4D44" w14:textId="41054A46" w:rsidR="00465474" w:rsidRPr="001A080D" w:rsidRDefault="00465474" w:rsidP="00F47905">
      <w:pPr>
        <w:rPr>
          <w:b/>
        </w:rPr>
      </w:pPr>
      <w:r w:rsidRPr="001A080D">
        <w:rPr>
          <w:b/>
        </w:rPr>
        <w:t>Week #4 Legal Tool</w:t>
      </w:r>
      <w:r w:rsidR="000F53D0">
        <w:rPr>
          <w:b/>
        </w:rPr>
        <w:t>s</w:t>
      </w:r>
      <w:r w:rsidRPr="001A080D">
        <w:rPr>
          <w:b/>
        </w:rPr>
        <w:t>—The Constitution</w:t>
      </w:r>
    </w:p>
    <w:p w14:paraId="33D59934" w14:textId="40564C63" w:rsidR="001C1DDF" w:rsidRDefault="001C1DDF" w:rsidP="001C1DDF">
      <w:pPr>
        <w:pStyle w:val="ListParagraph"/>
        <w:numPr>
          <w:ilvl w:val="0"/>
          <w:numId w:val="6"/>
        </w:numPr>
      </w:pPr>
      <w:r>
        <w:t>Textbook: pages 105-130</w:t>
      </w:r>
    </w:p>
    <w:p w14:paraId="40A3DB61" w14:textId="77777777" w:rsidR="009E0F8B" w:rsidRPr="009E0F8B" w:rsidRDefault="0092651E" w:rsidP="001C1DDF">
      <w:pPr>
        <w:pStyle w:val="ListParagraph"/>
        <w:numPr>
          <w:ilvl w:val="0"/>
          <w:numId w:val="6"/>
        </w:numPr>
      </w:pPr>
      <w:hyperlink r:id="rId23" w:history="1">
        <w:r w:rsidR="009E0F8B" w:rsidRPr="009E0F8B">
          <w:rPr>
            <w:rStyle w:val="Hyperlink"/>
            <w:i/>
          </w:rPr>
          <w:t>Loving v. Virginia, 388 U.S. 1 (1967)</w:t>
        </w:r>
      </w:hyperlink>
    </w:p>
    <w:p w14:paraId="789F769E" w14:textId="6923DD9F" w:rsidR="009E0F8B" w:rsidRDefault="0092651E" w:rsidP="001C1DDF">
      <w:pPr>
        <w:pStyle w:val="ListParagraph"/>
        <w:numPr>
          <w:ilvl w:val="0"/>
          <w:numId w:val="6"/>
        </w:numPr>
      </w:pPr>
      <w:hyperlink r:id="rId24" w:history="1">
        <w:proofErr w:type="spellStart"/>
        <w:r w:rsidR="009E0F8B" w:rsidRPr="009E0F8B">
          <w:rPr>
            <w:rStyle w:val="Hyperlink"/>
            <w:i/>
          </w:rPr>
          <w:t>Bartnicki</w:t>
        </w:r>
        <w:proofErr w:type="spellEnd"/>
        <w:r w:rsidR="009E0F8B" w:rsidRPr="009E0F8B">
          <w:rPr>
            <w:rStyle w:val="Hyperlink"/>
            <w:i/>
          </w:rPr>
          <w:t xml:space="preserve"> v. </w:t>
        </w:r>
        <w:proofErr w:type="spellStart"/>
        <w:r w:rsidR="009E0F8B" w:rsidRPr="009E0F8B">
          <w:rPr>
            <w:rStyle w:val="Hyperlink"/>
            <w:i/>
          </w:rPr>
          <w:t>Vopper</w:t>
        </w:r>
        <w:proofErr w:type="spellEnd"/>
        <w:r w:rsidR="009E0F8B" w:rsidRPr="009E0F8B">
          <w:rPr>
            <w:rStyle w:val="Hyperlink"/>
          </w:rPr>
          <w:t>, 532 U.S. 514 (2001)</w:t>
        </w:r>
      </w:hyperlink>
      <w:r w:rsidR="009E0F8B">
        <w:t xml:space="preserve"> (focus on Rehnquist’s dissent)</w:t>
      </w:r>
    </w:p>
    <w:p w14:paraId="31D32EE0" w14:textId="77777777" w:rsidR="009E0F8B" w:rsidRPr="009E0F8B" w:rsidRDefault="0092651E" w:rsidP="00AB5B53">
      <w:pPr>
        <w:pStyle w:val="ListParagraph"/>
        <w:numPr>
          <w:ilvl w:val="0"/>
          <w:numId w:val="6"/>
        </w:numPr>
      </w:pPr>
      <w:hyperlink r:id="rId25" w:history="1">
        <w:r w:rsidR="009E0F8B" w:rsidRPr="009E0F8B">
          <w:rPr>
            <w:rStyle w:val="Hyperlink"/>
            <w:i/>
          </w:rPr>
          <w:t>Lawrence v. Texas, 539 U.S. 558 (2003)</w:t>
        </w:r>
      </w:hyperlink>
    </w:p>
    <w:p w14:paraId="4DA6F001" w14:textId="0DBA2770" w:rsidR="00AB5B53" w:rsidRPr="009E0F8B" w:rsidRDefault="0092651E" w:rsidP="00AB5B53">
      <w:pPr>
        <w:pStyle w:val="ListParagraph"/>
        <w:numPr>
          <w:ilvl w:val="0"/>
          <w:numId w:val="6"/>
        </w:numPr>
      </w:pPr>
      <w:hyperlink r:id="rId26" w:history="1">
        <w:r w:rsidR="009E0F8B" w:rsidRPr="009E0F8B">
          <w:rPr>
            <w:rStyle w:val="Hyperlink"/>
            <w:i/>
          </w:rPr>
          <w:t>Carpenter v. U.S., 138 S. Ct. 2206 (2018)</w:t>
        </w:r>
      </w:hyperlink>
    </w:p>
    <w:p w14:paraId="47D962A2" w14:textId="77777777" w:rsidR="009E0F8B" w:rsidRDefault="009E0F8B" w:rsidP="009E0F8B"/>
    <w:p w14:paraId="320B5535" w14:textId="77777777" w:rsidR="009E0F8B" w:rsidRDefault="009E0F8B" w:rsidP="00AB5B53"/>
    <w:p w14:paraId="004BA3F1" w14:textId="098D04F5" w:rsidR="00AB5B53" w:rsidRPr="001A080D" w:rsidRDefault="00AB5B53" w:rsidP="00AB5B53">
      <w:pPr>
        <w:rPr>
          <w:b/>
        </w:rPr>
      </w:pPr>
      <w:r w:rsidRPr="001A080D">
        <w:rPr>
          <w:b/>
        </w:rPr>
        <w:t xml:space="preserve">Week #5 Legal Tools—Statutes and State Protection </w:t>
      </w:r>
    </w:p>
    <w:p w14:paraId="6F4A1ED0" w14:textId="7627FED1" w:rsidR="00AB5B53" w:rsidRDefault="00AB5B53" w:rsidP="00AB5B53">
      <w:pPr>
        <w:pStyle w:val="ListParagraph"/>
        <w:numPr>
          <w:ilvl w:val="0"/>
          <w:numId w:val="7"/>
        </w:numPr>
      </w:pPr>
      <w:r>
        <w:t>Textbook: pages 130-170</w:t>
      </w:r>
    </w:p>
    <w:p w14:paraId="36166DB4" w14:textId="77777777" w:rsidR="00AB5B53" w:rsidRDefault="0092651E" w:rsidP="00AB5B53">
      <w:pPr>
        <w:pStyle w:val="ListParagraph"/>
        <w:numPr>
          <w:ilvl w:val="0"/>
          <w:numId w:val="7"/>
        </w:numPr>
      </w:pPr>
      <w:hyperlink r:id="rId27" w:history="1">
        <w:r w:rsidR="00AB5B53" w:rsidRPr="00F1361E">
          <w:rPr>
            <w:rStyle w:val="Hyperlink"/>
          </w:rPr>
          <w:t>California’s Consumer Privacy Act (2018)</w:t>
        </w:r>
      </w:hyperlink>
    </w:p>
    <w:p w14:paraId="157B6F74" w14:textId="77777777" w:rsidR="00AB5B53" w:rsidRDefault="0092651E" w:rsidP="00AB5B53">
      <w:pPr>
        <w:pStyle w:val="ListParagraph"/>
        <w:numPr>
          <w:ilvl w:val="0"/>
          <w:numId w:val="7"/>
        </w:numPr>
      </w:pPr>
      <w:hyperlink r:id="rId28" w:anchor=":~:text=The%20California%20Consumer%20Privacy%20Act%20of%202018%20was%20approved%20by,effect%20on%20January%201%2C%202020.&amp;text=This%20prompted%20the%20California%20legislature,control%20of%20their%20personal%20information." w:history="1">
        <w:r w:rsidR="00AB5B53" w:rsidRPr="00F1361E">
          <w:rPr>
            <w:rStyle w:val="Hyperlink"/>
          </w:rPr>
          <w:t>ABA’s Explanation of California’s Consumer Privacy Act</w:t>
        </w:r>
      </w:hyperlink>
    </w:p>
    <w:p w14:paraId="3B6F7F8C" w14:textId="77777777" w:rsidR="00AB5B53" w:rsidRPr="00F1361E" w:rsidRDefault="0092651E" w:rsidP="00AB5B53">
      <w:pPr>
        <w:pStyle w:val="ListParagraph"/>
        <w:numPr>
          <w:ilvl w:val="0"/>
          <w:numId w:val="7"/>
        </w:numPr>
      </w:pPr>
      <w:hyperlink r:id="rId29" w:history="1">
        <w:r w:rsidR="00AB5B53" w:rsidRPr="00F1361E">
          <w:rPr>
            <w:rStyle w:val="Hyperlink"/>
            <w:i/>
          </w:rPr>
          <w:t>The Changing Wind of Data Privacy Law: A Comparative Study of the European Union’s General Data Protection Regulation and the 2018 California Consumer Privacy Act</w:t>
        </w:r>
        <w:r w:rsidR="00AB5B53" w:rsidRPr="00F1361E">
          <w:rPr>
            <w:rStyle w:val="Hyperlink"/>
          </w:rPr>
          <w:t xml:space="preserve">, Grace Park, </w:t>
        </w:r>
        <w:r w:rsidR="00AB5B53" w:rsidRPr="00F1361E">
          <w:rPr>
            <w:rStyle w:val="Hyperlink"/>
            <w:smallCaps/>
          </w:rPr>
          <w:t>10 UC Irvine L. Rev.</w:t>
        </w:r>
        <w:r w:rsidR="00AB5B53" w:rsidRPr="00F1361E">
          <w:rPr>
            <w:rStyle w:val="Hyperlink"/>
          </w:rPr>
          <w:t xml:space="preserve"> 1455 (2019-2020).</w:t>
        </w:r>
      </w:hyperlink>
    </w:p>
    <w:p w14:paraId="6C4F4464" w14:textId="77777777" w:rsidR="001A080D" w:rsidRPr="001A080D" w:rsidRDefault="001A080D" w:rsidP="001A080D">
      <w:pPr>
        <w:rPr>
          <w:color w:val="800000"/>
        </w:rPr>
      </w:pPr>
    </w:p>
    <w:p w14:paraId="47ED0D57" w14:textId="419EAD19" w:rsidR="00AB5B53" w:rsidRPr="001A080D" w:rsidRDefault="00AB5B53" w:rsidP="00AB5B53">
      <w:pPr>
        <w:rPr>
          <w:b/>
        </w:rPr>
      </w:pPr>
      <w:r w:rsidRPr="001A080D">
        <w:rPr>
          <w:b/>
        </w:rPr>
        <w:t xml:space="preserve">Week #6: Discussion on Torts </w:t>
      </w:r>
    </w:p>
    <w:p w14:paraId="7AB30A4A" w14:textId="1A55275F" w:rsidR="00AB5B53" w:rsidRDefault="00AB5B53" w:rsidP="00AB5B53">
      <w:pPr>
        <w:pStyle w:val="ListParagraph"/>
        <w:numPr>
          <w:ilvl w:val="0"/>
          <w:numId w:val="8"/>
        </w:numPr>
      </w:pPr>
      <w:r>
        <w:t>Textbook: pages 170-194</w:t>
      </w:r>
    </w:p>
    <w:p w14:paraId="49609C33" w14:textId="1D200168" w:rsidR="00AB5B53" w:rsidRDefault="00947512" w:rsidP="00AB5B53">
      <w:pPr>
        <w:pStyle w:val="ListParagraph"/>
        <w:numPr>
          <w:ilvl w:val="0"/>
          <w:numId w:val="8"/>
        </w:numPr>
      </w:pPr>
      <w:r>
        <w:rPr>
          <w:u w:val="single"/>
        </w:rPr>
        <w:t xml:space="preserve">Intrusion Upon Seclusion </w:t>
      </w:r>
    </w:p>
    <w:p w14:paraId="6FE2B970" w14:textId="0439FE8B" w:rsidR="00947512" w:rsidRDefault="00947512" w:rsidP="00947512">
      <w:pPr>
        <w:pStyle w:val="ListParagraph"/>
        <w:numPr>
          <w:ilvl w:val="1"/>
          <w:numId w:val="8"/>
        </w:numPr>
      </w:pPr>
      <w:r>
        <w:rPr>
          <w:i/>
        </w:rPr>
        <w:t>Plaxico v. Michael</w:t>
      </w:r>
      <w:r>
        <w:t>, 735 So. 2d 1036 (Miss. 1999)</w:t>
      </w:r>
    </w:p>
    <w:p w14:paraId="4C4FA0F2" w14:textId="5CC28674" w:rsidR="00E613FF" w:rsidRDefault="00E613FF" w:rsidP="00947512">
      <w:pPr>
        <w:pStyle w:val="ListParagraph"/>
        <w:numPr>
          <w:ilvl w:val="1"/>
          <w:numId w:val="8"/>
        </w:numPr>
      </w:pPr>
      <w:r>
        <w:rPr>
          <w:i/>
        </w:rPr>
        <w:t>Allstate Insurance v. Ginsberg</w:t>
      </w:r>
      <w:r>
        <w:t>, 2003 WL 22145227 (Fla. 2003)</w:t>
      </w:r>
    </w:p>
    <w:p w14:paraId="5A56BAF8" w14:textId="2DACEF14" w:rsidR="00E613FF" w:rsidRDefault="00E613FF" w:rsidP="00E613FF">
      <w:pPr>
        <w:pStyle w:val="ListParagraph"/>
        <w:numPr>
          <w:ilvl w:val="0"/>
          <w:numId w:val="8"/>
        </w:numPr>
      </w:pPr>
      <w:r>
        <w:rPr>
          <w:u w:val="single"/>
        </w:rPr>
        <w:t xml:space="preserve">Public Disclosure of Private Facts </w:t>
      </w:r>
    </w:p>
    <w:p w14:paraId="5E5C8B0F" w14:textId="043C86B6" w:rsidR="00E613FF" w:rsidRDefault="00E613FF" w:rsidP="00E613FF">
      <w:pPr>
        <w:pStyle w:val="ListParagraph"/>
        <w:numPr>
          <w:ilvl w:val="1"/>
          <w:numId w:val="8"/>
        </w:numPr>
      </w:pPr>
      <w:r>
        <w:rPr>
          <w:i/>
        </w:rPr>
        <w:t>Cason v. Basin</w:t>
      </w:r>
      <w:r>
        <w:t>, 20 So. 2d 243 (Fla. 1945)</w:t>
      </w:r>
    </w:p>
    <w:p w14:paraId="4F80334A" w14:textId="2108AC04" w:rsidR="00E613FF" w:rsidRDefault="00E613FF" w:rsidP="00E613FF">
      <w:pPr>
        <w:pStyle w:val="ListParagraph"/>
        <w:numPr>
          <w:ilvl w:val="0"/>
          <w:numId w:val="8"/>
        </w:numPr>
      </w:pPr>
      <w:r>
        <w:rPr>
          <w:u w:val="single"/>
        </w:rPr>
        <w:t xml:space="preserve">False Light </w:t>
      </w:r>
    </w:p>
    <w:p w14:paraId="64BBDC42" w14:textId="19E4EC91" w:rsidR="00E613FF" w:rsidRDefault="00E613FF" w:rsidP="00E613FF">
      <w:pPr>
        <w:pStyle w:val="ListParagraph"/>
        <w:numPr>
          <w:ilvl w:val="1"/>
          <w:numId w:val="8"/>
        </w:numPr>
      </w:pPr>
      <w:r>
        <w:rPr>
          <w:i/>
        </w:rPr>
        <w:t xml:space="preserve">Romaine v. </w:t>
      </w:r>
      <w:proofErr w:type="spellStart"/>
      <w:r>
        <w:rPr>
          <w:i/>
        </w:rPr>
        <w:t>Kallinge</w:t>
      </w:r>
      <w:proofErr w:type="spellEnd"/>
      <w:r>
        <w:t>, 537 A. 2d 284 (N.J. 1988)</w:t>
      </w:r>
    </w:p>
    <w:p w14:paraId="4325BD88" w14:textId="740D69D0" w:rsidR="00E613FF" w:rsidRDefault="00537D96" w:rsidP="00E613FF">
      <w:pPr>
        <w:pStyle w:val="ListParagraph"/>
        <w:numPr>
          <w:ilvl w:val="0"/>
          <w:numId w:val="8"/>
        </w:numPr>
      </w:pPr>
      <w:r>
        <w:rPr>
          <w:u w:val="single"/>
        </w:rPr>
        <w:t xml:space="preserve">Appropriation of Name or Likeness </w:t>
      </w:r>
    </w:p>
    <w:p w14:paraId="41A13D6F" w14:textId="1AA025C6" w:rsidR="00537D96" w:rsidRDefault="00537D96" w:rsidP="00537D96">
      <w:pPr>
        <w:pStyle w:val="ListParagraph"/>
        <w:numPr>
          <w:ilvl w:val="1"/>
          <w:numId w:val="8"/>
        </w:numPr>
      </w:pPr>
      <w:r>
        <w:rPr>
          <w:i/>
        </w:rPr>
        <w:t>Tyne v. Time Warner Entertainment</w:t>
      </w:r>
      <w:r>
        <w:t>, 336 F. 3d 1286 (11th Cir. 2003)</w:t>
      </w:r>
    </w:p>
    <w:p w14:paraId="0CD5D667" w14:textId="068FF98E" w:rsidR="00537D96" w:rsidRDefault="00537D96" w:rsidP="00537D96">
      <w:pPr>
        <w:pStyle w:val="ListParagraph"/>
        <w:numPr>
          <w:ilvl w:val="1"/>
          <w:numId w:val="8"/>
        </w:numPr>
      </w:pPr>
      <w:r>
        <w:rPr>
          <w:i/>
        </w:rPr>
        <w:t>Carson v. Here’s Johnny Portable Toilets, Inc.</w:t>
      </w:r>
      <w:r>
        <w:t>, 698 F. 2d 831 (6th Cir. 1983)</w:t>
      </w:r>
    </w:p>
    <w:p w14:paraId="327DF754" w14:textId="77777777" w:rsidR="00AB5B53" w:rsidRDefault="00AB5B53" w:rsidP="00AB5B53"/>
    <w:p w14:paraId="3A92FD25" w14:textId="727440A0" w:rsidR="00AB5B53" w:rsidRPr="00D779C8" w:rsidRDefault="00AB5B53" w:rsidP="00AB5B53">
      <w:pPr>
        <w:rPr>
          <w:b/>
        </w:rPr>
      </w:pPr>
      <w:r w:rsidRPr="00D779C8">
        <w:rPr>
          <w:b/>
        </w:rPr>
        <w:t>Week #7: Other Tools</w:t>
      </w:r>
    </w:p>
    <w:p w14:paraId="3406583F" w14:textId="203D401A" w:rsidR="00AB5B53" w:rsidRDefault="00AB5B53" w:rsidP="00AB5B53">
      <w:pPr>
        <w:pStyle w:val="ListParagraph"/>
        <w:numPr>
          <w:ilvl w:val="0"/>
          <w:numId w:val="9"/>
        </w:numPr>
      </w:pPr>
      <w:r>
        <w:t xml:space="preserve">Textbook 194-223 </w:t>
      </w:r>
    </w:p>
    <w:p w14:paraId="7E6C810F" w14:textId="77777777" w:rsidR="00CC064B" w:rsidRPr="00CC064B" w:rsidRDefault="0092651E" w:rsidP="00CC064B">
      <w:pPr>
        <w:pStyle w:val="ListParagraph"/>
        <w:numPr>
          <w:ilvl w:val="0"/>
          <w:numId w:val="9"/>
        </w:numPr>
        <w:rPr>
          <w:color w:val="800000"/>
        </w:rPr>
      </w:pPr>
      <w:hyperlink r:id="rId30" w:history="1">
        <w:r w:rsidR="00CC064B" w:rsidRPr="00CC064B">
          <w:rPr>
            <w:rStyle w:val="Hyperlink"/>
          </w:rPr>
          <w:t>Consumer Bill of Privacy Rights</w:t>
        </w:r>
      </w:hyperlink>
      <w:r w:rsidR="00CC064B">
        <w:t xml:space="preserve"> </w:t>
      </w:r>
    </w:p>
    <w:p w14:paraId="3200C86C" w14:textId="77777777" w:rsidR="00AB5B53" w:rsidRDefault="00AB5B53" w:rsidP="00AB5B53"/>
    <w:p w14:paraId="63159A12" w14:textId="63539F5B" w:rsidR="00AB5B53" w:rsidRPr="00D779C8" w:rsidRDefault="00AB5B53" w:rsidP="00AB5B53">
      <w:pPr>
        <w:rPr>
          <w:b/>
        </w:rPr>
      </w:pPr>
      <w:r w:rsidRPr="00D779C8">
        <w:rPr>
          <w:b/>
        </w:rPr>
        <w:t xml:space="preserve">Week #8: Why Tools are Failing and </w:t>
      </w:r>
      <w:proofErr w:type="gramStart"/>
      <w:r w:rsidRPr="00D779C8">
        <w:rPr>
          <w:b/>
        </w:rPr>
        <w:t>Worst Case</w:t>
      </w:r>
      <w:proofErr w:type="gramEnd"/>
      <w:r w:rsidRPr="00D779C8">
        <w:rPr>
          <w:b/>
        </w:rPr>
        <w:t xml:space="preserve"> Scenarios</w:t>
      </w:r>
    </w:p>
    <w:p w14:paraId="4EC47F47" w14:textId="5A4290A7" w:rsidR="00AB5B53" w:rsidRDefault="00AB5B53" w:rsidP="00AB5B53">
      <w:pPr>
        <w:pStyle w:val="ListParagraph"/>
        <w:numPr>
          <w:ilvl w:val="0"/>
          <w:numId w:val="10"/>
        </w:numPr>
      </w:pPr>
      <w:r>
        <w:lastRenderedPageBreak/>
        <w:t>Textbooks: pages 223-265</w:t>
      </w:r>
    </w:p>
    <w:p w14:paraId="3C0C963E" w14:textId="77777777" w:rsidR="00214A80" w:rsidRPr="00214A80" w:rsidRDefault="0092651E" w:rsidP="00AB5B53">
      <w:pPr>
        <w:pStyle w:val="ListParagraph"/>
        <w:numPr>
          <w:ilvl w:val="0"/>
          <w:numId w:val="10"/>
        </w:numPr>
      </w:pPr>
      <w:hyperlink r:id="rId31" w:history="1">
        <w:r w:rsidR="00214A80" w:rsidRPr="00214A80">
          <w:rPr>
            <w:rStyle w:val="Hyperlink"/>
            <w:i/>
          </w:rPr>
          <w:t>Waits v. Frito-Lay, 978 F. 2d 1093 (9th Cir. 1992)</w:t>
        </w:r>
      </w:hyperlink>
    </w:p>
    <w:p w14:paraId="012686E9" w14:textId="77777777" w:rsidR="00214A80" w:rsidRPr="00214A80" w:rsidRDefault="0092651E" w:rsidP="00AB5B53">
      <w:pPr>
        <w:pStyle w:val="ListParagraph"/>
        <w:numPr>
          <w:ilvl w:val="0"/>
          <w:numId w:val="10"/>
        </w:numPr>
      </w:pPr>
      <w:hyperlink r:id="rId32" w:history="1">
        <w:r w:rsidR="00214A80" w:rsidRPr="00214A80">
          <w:rPr>
            <w:rStyle w:val="Hyperlink"/>
            <w:i/>
          </w:rPr>
          <w:t>Grant v. Esquire, Inc., 367 F. Supp. 876 (S.D.N.Y. 1973)</w:t>
        </w:r>
      </w:hyperlink>
    </w:p>
    <w:p w14:paraId="46B43574" w14:textId="3E123F62" w:rsidR="00AB5B53" w:rsidRDefault="0092651E" w:rsidP="00AB5B53">
      <w:pPr>
        <w:pStyle w:val="ListParagraph"/>
        <w:numPr>
          <w:ilvl w:val="0"/>
          <w:numId w:val="10"/>
        </w:numPr>
      </w:pPr>
      <w:hyperlink r:id="rId33" w:history="1">
        <w:r w:rsidR="003213C9" w:rsidRPr="003213C9">
          <w:rPr>
            <w:rStyle w:val="Hyperlink"/>
          </w:rPr>
          <w:t>Facebook Faces Growing Pressure Over Data and Privacy Inquiries</w:t>
        </w:r>
      </w:hyperlink>
      <w:r w:rsidR="003213C9">
        <w:t xml:space="preserve"> </w:t>
      </w:r>
    </w:p>
    <w:p w14:paraId="659A7E09" w14:textId="77777777" w:rsidR="003213C9" w:rsidRPr="00613B10" w:rsidRDefault="0092651E" w:rsidP="00AB5B53">
      <w:pPr>
        <w:pStyle w:val="ListParagraph"/>
        <w:numPr>
          <w:ilvl w:val="0"/>
          <w:numId w:val="10"/>
        </w:numPr>
        <w:rPr>
          <w:rStyle w:val="Hyperlink"/>
          <w:color w:val="auto"/>
          <w:u w:val="none"/>
        </w:rPr>
      </w:pPr>
      <w:hyperlink r:id="rId34" w:history="1">
        <w:r w:rsidR="003213C9" w:rsidRPr="003213C9">
          <w:rPr>
            <w:rStyle w:val="Hyperlink"/>
          </w:rPr>
          <w:t>Mark Zuckerberg’s Testimony to Congress on Cambridge Analytica</w:t>
        </w:r>
      </w:hyperlink>
    </w:p>
    <w:p w14:paraId="7F782485" w14:textId="08489FF0" w:rsidR="00613B10" w:rsidRPr="00613B10" w:rsidRDefault="0092651E" w:rsidP="00AB5B53">
      <w:pPr>
        <w:pStyle w:val="ListParagraph"/>
        <w:numPr>
          <w:ilvl w:val="0"/>
          <w:numId w:val="10"/>
        </w:numPr>
        <w:rPr>
          <w:rStyle w:val="Hyperlink"/>
          <w:color w:val="auto"/>
          <w:u w:val="none"/>
        </w:rPr>
      </w:pPr>
      <w:hyperlink r:id="rId35" w:history="1">
        <w:r w:rsidR="00613B10" w:rsidRPr="00613B10">
          <w:rPr>
            <w:rStyle w:val="Hyperlink"/>
          </w:rPr>
          <w:t>Target Security: A Case Study of How Hackers Hit the Jackpot at the Expense of Customers</w:t>
        </w:r>
      </w:hyperlink>
    </w:p>
    <w:p w14:paraId="1369716B" w14:textId="3B5D8DA3" w:rsidR="00613B10" w:rsidRPr="000B08BE" w:rsidRDefault="0092651E" w:rsidP="00AB5B53">
      <w:pPr>
        <w:pStyle w:val="ListParagraph"/>
        <w:numPr>
          <w:ilvl w:val="0"/>
          <w:numId w:val="10"/>
        </w:numPr>
        <w:rPr>
          <w:rStyle w:val="Hyperlink"/>
          <w:color w:val="auto"/>
          <w:u w:val="none"/>
        </w:rPr>
      </w:pPr>
      <w:hyperlink r:id="rId36" w:history="1">
        <w:proofErr w:type="spellStart"/>
        <w:r w:rsidR="00613B10" w:rsidRPr="00613B10">
          <w:rPr>
            <w:rStyle w:val="Hyperlink"/>
            <w:i/>
          </w:rPr>
          <w:t>Patco</w:t>
        </w:r>
        <w:proofErr w:type="spellEnd"/>
        <w:r w:rsidR="00613B10" w:rsidRPr="00613B10">
          <w:rPr>
            <w:rStyle w:val="Hyperlink"/>
            <w:i/>
          </w:rPr>
          <w:t xml:space="preserve"> Constr. Co. Inc. v. People’s United Bank (1</w:t>
        </w:r>
        <w:proofErr w:type="gramStart"/>
        <w:r w:rsidR="00613B10" w:rsidRPr="00613B10">
          <w:rPr>
            <w:rStyle w:val="Hyperlink"/>
            <w:i/>
          </w:rPr>
          <w:t>st  Cir.</w:t>
        </w:r>
        <w:proofErr w:type="gramEnd"/>
        <w:r w:rsidR="00613B10" w:rsidRPr="00613B10">
          <w:rPr>
            <w:rStyle w:val="Hyperlink"/>
            <w:i/>
          </w:rPr>
          <w:t xml:space="preserve"> July 2012)</w:t>
        </w:r>
      </w:hyperlink>
    </w:p>
    <w:p w14:paraId="07CB0AD0" w14:textId="3709E542" w:rsidR="003213C9" w:rsidRPr="000B08BE" w:rsidRDefault="0092651E" w:rsidP="003213C9">
      <w:pPr>
        <w:pStyle w:val="ListParagraph"/>
        <w:numPr>
          <w:ilvl w:val="0"/>
          <w:numId w:val="10"/>
        </w:numPr>
        <w:rPr>
          <w:rStyle w:val="Hyperlink"/>
          <w:color w:val="auto"/>
          <w:u w:val="none"/>
        </w:rPr>
      </w:pPr>
      <w:hyperlink r:id="rId37" w:history="1">
        <w:r w:rsidR="000B08BE" w:rsidRPr="000B08BE">
          <w:rPr>
            <w:rStyle w:val="Hyperlink"/>
            <w:i/>
          </w:rPr>
          <w:t>Lone Star National Bank v. Heartland Payment Systems, Inc. (5th Cir. 2013)</w:t>
        </w:r>
      </w:hyperlink>
    </w:p>
    <w:p w14:paraId="7FE45A10" w14:textId="77777777" w:rsidR="003213C9" w:rsidRDefault="003213C9" w:rsidP="003213C9"/>
    <w:p w14:paraId="2EBADAFF" w14:textId="58A80288" w:rsidR="00AB5B53" w:rsidRPr="00D779C8" w:rsidRDefault="00AB5B53" w:rsidP="00AB5B53">
      <w:pPr>
        <w:rPr>
          <w:b/>
        </w:rPr>
      </w:pPr>
      <w:r w:rsidRPr="00D779C8">
        <w:rPr>
          <w:b/>
        </w:rPr>
        <w:t xml:space="preserve">Week #9: Strategies </w:t>
      </w:r>
    </w:p>
    <w:p w14:paraId="517034D7" w14:textId="5680828E" w:rsidR="00AB5B53" w:rsidRDefault="00AB5B53" w:rsidP="00AB5B53">
      <w:pPr>
        <w:pStyle w:val="ListParagraph"/>
        <w:numPr>
          <w:ilvl w:val="0"/>
          <w:numId w:val="11"/>
        </w:numPr>
      </w:pPr>
      <w:r>
        <w:t>Textbook: pages 269-301</w:t>
      </w:r>
    </w:p>
    <w:p w14:paraId="5BBE0ECB" w14:textId="41A2CE51" w:rsidR="006A71EE" w:rsidRDefault="0092651E" w:rsidP="00AB5B53">
      <w:pPr>
        <w:pStyle w:val="ListParagraph"/>
        <w:numPr>
          <w:ilvl w:val="0"/>
          <w:numId w:val="11"/>
        </w:numPr>
      </w:pPr>
      <w:hyperlink r:id="rId38" w:history="1">
        <w:r w:rsidR="006A71EE" w:rsidRPr="006A71EE">
          <w:rPr>
            <w:rStyle w:val="Hyperlink"/>
          </w:rPr>
          <w:t>Federal Privacy Law in Response to COVID-19 on the Rise: The COVID-19 Consumer Data Protection Act of 2020 vs. The Public Health Emergency Privacy Act</w:t>
        </w:r>
      </w:hyperlink>
    </w:p>
    <w:p w14:paraId="133B850E" w14:textId="36780821" w:rsidR="006A71EE" w:rsidRDefault="0092651E" w:rsidP="00AB5B53">
      <w:pPr>
        <w:pStyle w:val="ListParagraph"/>
        <w:numPr>
          <w:ilvl w:val="0"/>
          <w:numId w:val="11"/>
        </w:numPr>
      </w:pPr>
      <w:hyperlink r:id="rId39" w:history="1">
        <w:r w:rsidR="006A71EE" w:rsidRPr="006A71EE">
          <w:rPr>
            <w:rStyle w:val="Hyperlink"/>
          </w:rPr>
          <w:t>COVID-19 Consumer Data Protection Act of 2020</w:t>
        </w:r>
      </w:hyperlink>
    </w:p>
    <w:p w14:paraId="5A465039" w14:textId="35C0B632" w:rsidR="00AB5B53" w:rsidRPr="0060593C" w:rsidRDefault="0092651E" w:rsidP="00AB5B53">
      <w:pPr>
        <w:pStyle w:val="ListParagraph"/>
        <w:numPr>
          <w:ilvl w:val="0"/>
          <w:numId w:val="11"/>
        </w:numPr>
        <w:rPr>
          <w:rStyle w:val="Hyperlink"/>
          <w:color w:val="auto"/>
          <w:u w:val="none"/>
        </w:rPr>
      </w:pPr>
      <w:hyperlink r:id="rId40" w:history="1">
        <w:r w:rsidR="006A71EE" w:rsidRPr="006A71EE">
          <w:rPr>
            <w:rStyle w:val="Hyperlink"/>
          </w:rPr>
          <w:t>Public Health Emergency Privacy Act</w:t>
        </w:r>
      </w:hyperlink>
    </w:p>
    <w:p w14:paraId="07E9A814" w14:textId="487E961C" w:rsidR="006A71EE" w:rsidRPr="0060593C" w:rsidRDefault="0092651E" w:rsidP="00AB5B53">
      <w:pPr>
        <w:pStyle w:val="ListParagraph"/>
        <w:numPr>
          <w:ilvl w:val="0"/>
          <w:numId w:val="11"/>
        </w:numPr>
        <w:rPr>
          <w:rStyle w:val="Hyperlink"/>
          <w:color w:val="auto"/>
          <w:u w:val="none"/>
        </w:rPr>
      </w:pPr>
      <w:hyperlink r:id="rId41" w:history="1">
        <w:r w:rsidR="0060593C" w:rsidRPr="0060593C">
          <w:rPr>
            <w:rStyle w:val="Hyperlink"/>
          </w:rPr>
          <w:t>Lessons from COVID-19 for a New US Privacy Framework, Center for Information Policy Leadership</w:t>
        </w:r>
      </w:hyperlink>
      <w:r w:rsidR="0060593C" w:rsidRPr="0060593C">
        <w:rPr>
          <w:rStyle w:val="Hyperlink"/>
          <w:color w:val="auto"/>
          <w:u w:val="none"/>
        </w:rPr>
        <w:t xml:space="preserve"> </w:t>
      </w:r>
    </w:p>
    <w:p w14:paraId="0BE0D402" w14:textId="1EC9B793" w:rsidR="0060593C" w:rsidRDefault="0092651E" w:rsidP="0060593C">
      <w:pPr>
        <w:pStyle w:val="ListParagraph"/>
        <w:numPr>
          <w:ilvl w:val="0"/>
          <w:numId w:val="11"/>
        </w:numPr>
        <w:rPr>
          <w:rStyle w:val="Hyperlink"/>
          <w:color w:val="auto"/>
          <w:u w:val="none"/>
        </w:rPr>
      </w:pPr>
      <w:hyperlink r:id="rId42" w:history="1">
        <w:r w:rsidR="0060593C" w:rsidRPr="0060593C">
          <w:rPr>
            <w:rStyle w:val="Hyperlink"/>
          </w:rPr>
          <w:t>Coronavirus Demands a Privacy Law</w:t>
        </w:r>
      </w:hyperlink>
    </w:p>
    <w:p w14:paraId="0B947CAF" w14:textId="77777777" w:rsidR="002F68F8" w:rsidRDefault="0092651E" w:rsidP="00AB5B53">
      <w:pPr>
        <w:pStyle w:val="ListParagraph"/>
        <w:numPr>
          <w:ilvl w:val="0"/>
          <w:numId w:val="11"/>
        </w:numPr>
        <w:rPr>
          <w:rStyle w:val="Hyperlink"/>
          <w:color w:val="auto"/>
          <w:u w:val="none"/>
        </w:rPr>
      </w:pPr>
      <w:hyperlink r:id="rId43" w:history="1">
        <w:r w:rsidR="002F68F8" w:rsidRPr="002F68F8">
          <w:rPr>
            <w:rStyle w:val="Hyperlink"/>
          </w:rPr>
          <w:t>COVID-19: Digital Contact Tracing and Privacy Law</w:t>
        </w:r>
      </w:hyperlink>
    </w:p>
    <w:p w14:paraId="7DC993A1" w14:textId="77777777" w:rsidR="002F68F8" w:rsidRDefault="002F68F8" w:rsidP="002F68F8">
      <w:pPr>
        <w:pStyle w:val="ListParagraph"/>
        <w:rPr>
          <w:rStyle w:val="Hyperlink"/>
          <w:color w:val="auto"/>
          <w:u w:val="none"/>
        </w:rPr>
      </w:pPr>
    </w:p>
    <w:p w14:paraId="7BB20CAA" w14:textId="5A800EED" w:rsidR="00AB5B53" w:rsidRPr="002F68F8" w:rsidRDefault="00AB5B53" w:rsidP="002F68F8">
      <w:r w:rsidRPr="002F68F8">
        <w:rPr>
          <w:b/>
        </w:rPr>
        <w:t>Weeks #10-#14: Student Presentations</w:t>
      </w:r>
    </w:p>
    <w:p w14:paraId="2506C596" w14:textId="77777777" w:rsidR="00465474" w:rsidRPr="00465474" w:rsidRDefault="00465474" w:rsidP="00F47905"/>
    <w:sectPr w:rsidR="00465474" w:rsidRPr="00465474" w:rsidSect="00326330">
      <w:footerReference w:type="even" r:id="rId4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D87D7" w14:textId="77777777" w:rsidR="003A1F19" w:rsidRDefault="003A1F19" w:rsidP="00FE7026">
      <w:r>
        <w:separator/>
      </w:r>
    </w:p>
  </w:endnote>
  <w:endnote w:type="continuationSeparator" w:id="0">
    <w:p w14:paraId="217BEC95" w14:textId="77777777" w:rsidR="003A1F19" w:rsidRDefault="003A1F19" w:rsidP="00FE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23E81" w14:textId="77777777" w:rsidR="00274893" w:rsidRDefault="00274893" w:rsidP="002748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B2BDA5" w14:textId="77777777" w:rsidR="00274893" w:rsidRDefault="00274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7E02C" w14:textId="77777777" w:rsidR="00274893" w:rsidRDefault="00274893" w:rsidP="002748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060C">
      <w:rPr>
        <w:rStyle w:val="PageNumber"/>
        <w:noProof/>
      </w:rPr>
      <w:t>1</w:t>
    </w:r>
    <w:r>
      <w:rPr>
        <w:rStyle w:val="PageNumber"/>
      </w:rPr>
      <w:fldChar w:fldCharType="end"/>
    </w:r>
  </w:p>
  <w:p w14:paraId="69217163" w14:textId="77777777" w:rsidR="00274893" w:rsidRDefault="00274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AB7FB" w14:textId="77777777" w:rsidR="003A1F19" w:rsidRDefault="003A1F19" w:rsidP="00FE7026">
      <w:r>
        <w:separator/>
      </w:r>
    </w:p>
  </w:footnote>
  <w:footnote w:type="continuationSeparator" w:id="0">
    <w:p w14:paraId="79551F35" w14:textId="77777777" w:rsidR="003A1F19" w:rsidRDefault="003A1F19" w:rsidP="00FE7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1DFC"/>
    <w:multiLevelType w:val="hybridMultilevel"/>
    <w:tmpl w:val="02524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367E7"/>
    <w:multiLevelType w:val="hybridMultilevel"/>
    <w:tmpl w:val="B8C27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65157"/>
    <w:multiLevelType w:val="hybridMultilevel"/>
    <w:tmpl w:val="5696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5664E"/>
    <w:multiLevelType w:val="hybridMultilevel"/>
    <w:tmpl w:val="2452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54045"/>
    <w:multiLevelType w:val="hybridMultilevel"/>
    <w:tmpl w:val="C382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03EE6"/>
    <w:multiLevelType w:val="hybridMultilevel"/>
    <w:tmpl w:val="643CA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F"/>
    <w:multiLevelType w:val="hybridMultilevel"/>
    <w:tmpl w:val="8BB2B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20B32"/>
    <w:multiLevelType w:val="hybridMultilevel"/>
    <w:tmpl w:val="3CBA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B6821"/>
    <w:multiLevelType w:val="hybridMultilevel"/>
    <w:tmpl w:val="F9AE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750A0B"/>
    <w:multiLevelType w:val="hybridMultilevel"/>
    <w:tmpl w:val="0448A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DF6371"/>
    <w:multiLevelType w:val="hybridMultilevel"/>
    <w:tmpl w:val="1BA63018"/>
    <w:lvl w:ilvl="0" w:tplc="560A4FD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CA23C5"/>
    <w:multiLevelType w:val="hybridMultilevel"/>
    <w:tmpl w:val="DAA2F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622383"/>
    <w:multiLevelType w:val="hybridMultilevel"/>
    <w:tmpl w:val="252C5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6"/>
  </w:num>
  <w:num w:numId="5">
    <w:abstractNumId w:val="2"/>
  </w:num>
  <w:num w:numId="6">
    <w:abstractNumId w:val="7"/>
  </w:num>
  <w:num w:numId="7">
    <w:abstractNumId w:val="1"/>
  </w:num>
  <w:num w:numId="8">
    <w:abstractNumId w:val="12"/>
  </w:num>
  <w:num w:numId="9">
    <w:abstractNumId w:val="10"/>
  </w:num>
  <w:num w:numId="10">
    <w:abstractNumId w:val="4"/>
  </w:num>
  <w:num w:numId="11">
    <w:abstractNumId w:val="9"/>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ECC"/>
    <w:rsid w:val="000B08BE"/>
    <w:rsid w:val="000F53D0"/>
    <w:rsid w:val="001470BC"/>
    <w:rsid w:val="00153DD5"/>
    <w:rsid w:val="001907CC"/>
    <w:rsid w:val="001A080D"/>
    <w:rsid w:val="001B5819"/>
    <w:rsid w:val="001C1DDF"/>
    <w:rsid w:val="0020002C"/>
    <w:rsid w:val="00214A80"/>
    <w:rsid w:val="00274893"/>
    <w:rsid w:val="002F68F8"/>
    <w:rsid w:val="00312E62"/>
    <w:rsid w:val="003213C9"/>
    <w:rsid w:val="00326330"/>
    <w:rsid w:val="00351136"/>
    <w:rsid w:val="0035263C"/>
    <w:rsid w:val="00377C5E"/>
    <w:rsid w:val="003A1F19"/>
    <w:rsid w:val="003D557B"/>
    <w:rsid w:val="00423D88"/>
    <w:rsid w:val="00465474"/>
    <w:rsid w:val="004858C5"/>
    <w:rsid w:val="004D241B"/>
    <w:rsid w:val="004E13E7"/>
    <w:rsid w:val="00537D96"/>
    <w:rsid w:val="005524EF"/>
    <w:rsid w:val="0060593C"/>
    <w:rsid w:val="00613B10"/>
    <w:rsid w:val="006A71EE"/>
    <w:rsid w:val="0080060C"/>
    <w:rsid w:val="0080618E"/>
    <w:rsid w:val="009112BE"/>
    <w:rsid w:val="0092651E"/>
    <w:rsid w:val="00947512"/>
    <w:rsid w:val="009E0F8B"/>
    <w:rsid w:val="00A771FD"/>
    <w:rsid w:val="00AB5B53"/>
    <w:rsid w:val="00B54016"/>
    <w:rsid w:val="00B67162"/>
    <w:rsid w:val="00BC737C"/>
    <w:rsid w:val="00C0118C"/>
    <w:rsid w:val="00CC064B"/>
    <w:rsid w:val="00D779C8"/>
    <w:rsid w:val="00D928CC"/>
    <w:rsid w:val="00E613FF"/>
    <w:rsid w:val="00F03ECC"/>
    <w:rsid w:val="00F1361E"/>
    <w:rsid w:val="00F47905"/>
    <w:rsid w:val="00F77CDC"/>
    <w:rsid w:val="00FE6562"/>
    <w:rsid w:val="00FE7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2EE3DB"/>
  <w14:defaultImageDpi w14:val="300"/>
  <w15:docId w15:val="{E52B435C-61EB-4540-920E-DFB2AAF0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557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4EF"/>
    <w:pPr>
      <w:ind w:left="720"/>
      <w:contextualSpacing/>
    </w:pPr>
  </w:style>
  <w:style w:type="character" w:styleId="Hyperlink">
    <w:name w:val="Hyperlink"/>
    <w:basedOn w:val="DefaultParagraphFont"/>
    <w:uiPriority w:val="99"/>
    <w:unhideWhenUsed/>
    <w:rsid w:val="00BC737C"/>
    <w:rPr>
      <w:color w:val="0000FF" w:themeColor="hyperlink"/>
      <w:u w:val="single"/>
    </w:rPr>
  </w:style>
  <w:style w:type="character" w:styleId="FollowedHyperlink">
    <w:name w:val="FollowedHyperlink"/>
    <w:basedOn w:val="DefaultParagraphFont"/>
    <w:uiPriority w:val="99"/>
    <w:semiHidden/>
    <w:unhideWhenUsed/>
    <w:rsid w:val="00F77CDC"/>
    <w:rPr>
      <w:color w:val="800080" w:themeColor="followedHyperlink"/>
      <w:u w:val="single"/>
    </w:rPr>
  </w:style>
  <w:style w:type="character" w:customStyle="1" w:styleId="Heading1Char">
    <w:name w:val="Heading 1 Char"/>
    <w:basedOn w:val="DefaultParagraphFont"/>
    <w:link w:val="Heading1"/>
    <w:uiPriority w:val="9"/>
    <w:rsid w:val="003D557B"/>
    <w:rPr>
      <w:b/>
      <w:bCs/>
      <w:kern w:val="36"/>
      <w:sz w:val="48"/>
      <w:szCs w:val="48"/>
    </w:rPr>
  </w:style>
  <w:style w:type="character" w:styleId="Emphasis">
    <w:name w:val="Emphasis"/>
    <w:basedOn w:val="DefaultParagraphFont"/>
    <w:uiPriority w:val="20"/>
    <w:qFormat/>
    <w:rsid w:val="003D557B"/>
    <w:rPr>
      <w:i/>
      <w:iCs/>
    </w:rPr>
  </w:style>
  <w:style w:type="paragraph" w:styleId="BalloonText">
    <w:name w:val="Balloon Text"/>
    <w:basedOn w:val="Normal"/>
    <w:link w:val="BalloonTextChar"/>
    <w:uiPriority w:val="99"/>
    <w:semiHidden/>
    <w:unhideWhenUsed/>
    <w:rsid w:val="003526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63C"/>
    <w:rPr>
      <w:rFonts w:ascii="Lucida Grande" w:hAnsi="Lucida Grande" w:cs="Lucida Grande"/>
      <w:sz w:val="18"/>
      <w:szCs w:val="18"/>
    </w:rPr>
  </w:style>
  <w:style w:type="table" w:styleId="TableGrid">
    <w:name w:val="Table Grid"/>
    <w:basedOn w:val="TableNormal"/>
    <w:uiPriority w:val="59"/>
    <w:rsid w:val="00200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E7026"/>
    <w:pPr>
      <w:tabs>
        <w:tab w:val="center" w:pos="4320"/>
        <w:tab w:val="right" w:pos="8640"/>
      </w:tabs>
    </w:pPr>
  </w:style>
  <w:style w:type="character" w:customStyle="1" w:styleId="FooterChar">
    <w:name w:val="Footer Char"/>
    <w:basedOn w:val="DefaultParagraphFont"/>
    <w:link w:val="Footer"/>
    <w:uiPriority w:val="99"/>
    <w:rsid w:val="00FE7026"/>
  </w:style>
  <w:style w:type="character" w:styleId="PageNumber">
    <w:name w:val="page number"/>
    <w:basedOn w:val="DefaultParagraphFont"/>
    <w:uiPriority w:val="99"/>
    <w:semiHidden/>
    <w:unhideWhenUsed/>
    <w:rsid w:val="00FE7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730018">
      <w:bodyDiv w:val="1"/>
      <w:marLeft w:val="0"/>
      <w:marRight w:val="0"/>
      <w:marTop w:val="0"/>
      <w:marBottom w:val="0"/>
      <w:divBdr>
        <w:top w:val="none" w:sz="0" w:space="0" w:color="auto"/>
        <w:left w:val="none" w:sz="0" w:space="0" w:color="auto"/>
        <w:bottom w:val="none" w:sz="0" w:space="0" w:color="auto"/>
        <w:right w:val="none" w:sz="0" w:space="0" w:color="auto"/>
      </w:divBdr>
    </w:div>
    <w:div w:id="1879707331">
      <w:bodyDiv w:val="1"/>
      <w:marLeft w:val="0"/>
      <w:marRight w:val="0"/>
      <w:marTop w:val="0"/>
      <w:marBottom w:val="0"/>
      <w:divBdr>
        <w:top w:val="none" w:sz="0" w:space="0" w:color="auto"/>
        <w:left w:val="none" w:sz="0" w:space="0" w:color="auto"/>
        <w:bottom w:val="none" w:sz="0" w:space="0" w:color="auto"/>
        <w:right w:val="none" w:sz="0" w:space="0" w:color="auto"/>
      </w:divBdr>
    </w:div>
    <w:div w:id="21459253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ls@law.ufl.edu" TargetMode="External"/><Relationship Id="rId13" Type="http://schemas.openxmlformats.org/officeDocument/2006/relationships/hyperlink" Target="https://supreme.justia.com/cases/federal/us/277/438/" TargetMode="External"/><Relationship Id="rId18" Type="http://schemas.openxmlformats.org/officeDocument/2006/relationships/hyperlink" Target="https://gdpr-info.eu/" TargetMode="External"/><Relationship Id="rId26" Type="http://schemas.openxmlformats.org/officeDocument/2006/relationships/hyperlink" Target="https://www.supremecourt.gov/opinions/17pdf/16-402_h315.pdf" TargetMode="External"/><Relationship Id="rId39" Type="http://schemas.openxmlformats.org/officeDocument/2006/relationships/hyperlink" Target="https://www.commerce.senate.gov/services/files/A377AEEB-464E-4D5E-BFB8-11003149B6E0" TargetMode="External"/><Relationship Id="rId3" Type="http://schemas.openxmlformats.org/officeDocument/2006/relationships/styles" Target="styles.xml"/><Relationship Id="rId21" Type="http://schemas.openxmlformats.org/officeDocument/2006/relationships/hyperlink" Target="https://harvardlawreview.org/2014/12/google-spain-sl-v-agencia-espanola-de-proteccion-de-datos/" TargetMode="External"/><Relationship Id="rId34" Type="http://schemas.openxmlformats.org/officeDocument/2006/relationships/hyperlink" Target="https://www.politico.com/story/2018/04/09/transcript-mark-zuckerberg-testimony-to-congress-on-cambridge-analytica-509978" TargetMode="External"/><Relationship Id="rId42" Type="http://schemas.openxmlformats.org/officeDocument/2006/relationships/hyperlink" Target="https://www.wsj.com/articles/congress-needs-to-pass-a-coronavirus-privacy-law-11589410686"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roups.csail.mit.edu/mac/classes/6.805/articles/privacy/Privacy_brand_warr2.html" TargetMode="External"/><Relationship Id="rId17" Type="http://schemas.openxmlformats.org/officeDocument/2006/relationships/hyperlink" Target="https://www.palmbeachpost.com/article/20100316/NEWS/812034932" TargetMode="External"/><Relationship Id="rId25" Type="http://schemas.openxmlformats.org/officeDocument/2006/relationships/hyperlink" Target="https://supreme.justia.com/cases/federal/us/539/558/" TargetMode="External"/><Relationship Id="rId33" Type="http://schemas.openxmlformats.org/officeDocument/2006/relationships/hyperlink" Target="https://www.nytimes.com/2018/03/20/business/ftc-facebook-privacy-investigation.html" TargetMode="External"/><Relationship Id="rId38" Type="http://schemas.openxmlformats.org/officeDocument/2006/relationships/hyperlink" Target="https://www.jdsupra.com/legalnews/federal-privacy-law-in-response-to-26186/"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urtlistener.com/opinion/1613019/campus-communications-inc-v-earnhardt/" TargetMode="External"/><Relationship Id="rId20" Type="http://schemas.openxmlformats.org/officeDocument/2006/relationships/hyperlink" Target="https://www.judiciary.uk/wp-content/uploads/2019/09/bridges-swp-judgment-Final03-09-19-1.pdf" TargetMode="External"/><Relationship Id="rId29" Type="http://schemas.openxmlformats.org/officeDocument/2006/relationships/hyperlink" Target="https://heinonline-org.lp.hscl.ufl.edu/HOL/Page?public=true&amp;handle=hein.journals/ucirvlre10&amp;div=47&amp;start_page=1455&amp;collection=journals&amp;set_as_cursor=5&amp;men_tab=srchresults" TargetMode="External"/><Relationship Id="rId41" Type="http://schemas.openxmlformats.org/officeDocument/2006/relationships/hyperlink" Target="https://www.informationpolicycentre.com/cipl-blog/lessons-from-covid-19-for-a-new-us-privacy-framew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onavirus.ufhealth.org/screen-test-protect-2/frequently-asked-questions/covid-19-exposure-and-symptoms-who-do-i-call-if/" TargetMode="External"/><Relationship Id="rId24" Type="http://schemas.openxmlformats.org/officeDocument/2006/relationships/hyperlink" Target="https://supreme.justia.com/cases/federal/us/532/514/" TargetMode="External"/><Relationship Id="rId32" Type="http://schemas.openxmlformats.org/officeDocument/2006/relationships/hyperlink" Target="https://law.justia.com/cases/federal/district-courts/FSupp/367/876/1425479/" TargetMode="External"/><Relationship Id="rId37" Type="http://schemas.openxmlformats.org/officeDocument/2006/relationships/hyperlink" Target="https://caselaw.findlaw.com/us-5th-circuit/1643614.html" TargetMode="External"/><Relationship Id="rId40" Type="http://schemas.openxmlformats.org/officeDocument/2006/relationships/hyperlink" Target="https://epic.org/privacy/covid/Public-Health-Emergency-Privacy-Act.pdf"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upreme.justia.com/cases/federal/us/429/589/" TargetMode="External"/><Relationship Id="rId23" Type="http://schemas.openxmlformats.org/officeDocument/2006/relationships/hyperlink" Target="https://supreme.justia.com/cases/federal/us/388/1/" TargetMode="External"/><Relationship Id="rId28" Type="http://schemas.openxmlformats.org/officeDocument/2006/relationships/hyperlink" Target="https://www.americanbar.org/groups/business_law/publications/committee_newsletters/bcl/2019/201902/fa_9/" TargetMode="External"/><Relationship Id="rId36" Type="http://schemas.openxmlformats.org/officeDocument/2006/relationships/hyperlink" Target="https://www.wired.com/images_blogs/threatlevel/2012/11/Patco-Appellate-Decision.pdf" TargetMode="External"/><Relationship Id="rId10" Type="http://schemas.openxmlformats.org/officeDocument/2006/relationships/hyperlink" Target="https://www.cdc.gov/coronavirus/2019-ncov/symptoms-testing/symptoms.html" TargetMode="External"/><Relationship Id="rId19" Type="http://schemas.openxmlformats.org/officeDocument/2006/relationships/hyperlink" Target="https://www.npr.org/sections/alltechconsidered/2018/05/24/613983268/a-cheat-sheet-on-europe-s-sweeping-privacy-law" TargetMode="External"/><Relationship Id="rId31" Type="http://schemas.openxmlformats.org/officeDocument/2006/relationships/hyperlink" Target="https://casetext.com/case/waits-v-frito-lay-inc"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w.ufl.edu/student-affairs/current-students/forms-applications/exam-delays-accommodations-form" TargetMode="External"/><Relationship Id="rId14" Type="http://schemas.openxmlformats.org/officeDocument/2006/relationships/hyperlink" Target="https://supreme.justia.com/cases/federal/us/381/479/" TargetMode="External"/><Relationship Id="rId22" Type="http://schemas.openxmlformats.org/officeDocument/2006/relationships/hyperlink" Target="https://academic.oup.com/grurint/article/69/4/380/5732807" TargetMode="External"/><Relationship Id="rId27" Type="http://schemas.openxmlformats.org/officeDocument/2006/relationships/hyperlink" Target="http://leginfo.legislature.ca.gov/faces/codes_displayText.xhtml?division=3.&amp;part=4.&amp;lawCode=CIV&amp;title=1.81.5" TargetMode="External"/><Relationship Id="rId30" Type="http://schemas.openxmlformats.org/officeDocument/2006/relationships/hyperlink" Target="https://obamawhitehouse.archives.gov/sites/default/files/privacy-final.pdf" TargetMode="External"/><Relationship Id="rId35" Type="http://schemas.openxmlformats.org/officeDocument/2006/relationships/hyperlink" Target="https://papers.ssrn.com/sol3/papers.cfm?abstract_id=2801762" TargetMode="External"/><Relationship Id="rId43" Type="http://schemas.openxmlformats.org/officeDocument/2006/relationships/hyperlink" Target="https://crsreports.congress.gov/product/pdf/LSB/LSB10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E406412-E2D9-45AD-94FD-FD12C49CB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2248</Words>
  <Characters>12816</Characters>
  <Application>Microsoft Office Word</Application>
  <DocSecurity>4</DocSecurity>
  <Lines>106</Lines>
  <Paragraphs>30</Paragraphs>
  <ScaleCrop>false</ScaleCrop>
  <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Bradley</dc:creator>
  <cp:keywords/>
  <dc:description/>
  <cp:lastModifiedBy>McIlhenny, Ruth M.</cp:lastModifiedBy>
  <cp:revision>2</cp:revision>
  <dcterms:created xsi:type="dcterms:W3CDTF">2021-01-12T19:13:00Z</dcterms:created>
  <dcterms:modified xsi:type="dcterms:W3CDTF">2021-01-12T19:13:00Z</dcterms:modified>
</cp:coreProperties>
</file>