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9C28A" w14:textId="6E33188F" w:rsidR="004D1AB4" w:rsidRDefault="004D1AB4" w:rsidP="004D1AB4">
      <w:pPr>
        <w:autoSpaceDE w:val="0"/>
        <w:autoSpaceDN w:val="0"/>
        <w:adjustRightInd w:val="0"/>
        <w:jc w:val="center"/>
        <w:rPr>
          <w:rFonts w:ascii="TimesNewRomanPS-BoldMT" w:hAnsi="TimesNewRomanPS-BoldMT"/>
          <w:b/>
          <w:sz w:val="28"/>
        </w:rPr>
      </w:pPr>
      <w:r>
        <w:rPr>
          <w:rFonts w:ascii="TimesNewRomanPS-BoldMT" w:hAnsi="TimesNewRomanPS-BoldMT"/>
          <w:b/>
          <w:sz w:val="28"/>
        </w:rPr>
        <w:t xml:space="preserve">Syllabus for </w:t>
      </w:r>
      <w:r w:rsidR="00F63A15">
        <w:rPr>
          <w:rFonts w:ascii="TimesNewRomanPS-BoldMT" w:hAnsi="TimesNewRomanPS-BoldMT"/>
          <w:b/>
          <w:sz w:val="28"/>
        </w:rPr>
        <w:t>Securities Regulation</w:t>
      </w:r>
    </w:p>
    <w:p w14:paraId="7C6DC9D8" w14:textId="2298E679" w:rsidR="004D1AB4" w:rsidRDefault="009144DE" w:rsidP="004D1AB4">
      <w:pPr>
        <w:autoSpaceDE w:val="0"/>
        <w:autoSpaceDN w:val="0"/>
        <w:adjustRightInd w:val="0"/>
        <w:jc w:val="center"/>
        <w:rPr>
          <w:rFonts w:ascii="TimesNewRomanPS-BoldMT" w:hAnsi="TimesNewRomanPS-BoldMT"/>
          <w:b/>
          <w:sz w:val="28"/>
        </w:rPr>
      </w:pPr>
      <w:bookmarkStart w:id="0" w:name="_GoBack"/>
      <w:bookmarkEnd w:id="0"/>
      <w:r>
        <w:rPr>
          <w:rFonts w:ascii="TimesNewRomanPS-BoldMT" w:hAnsi="TimesNewRomanPS-BoldMT"/>
          <w:b/>
          <w:sz w:val="28"/>
        </w:rPr>
        <w:t>Spring 2019</w:t>
      </w:r>
    </w:p>
    <w:p w14:paraId="1AE5597C" w14:textId="77777777" w:rsidR="004D1AB4" w:rsidRPr="00226D65" w:rsidRDefault="004D1AB4" w:rsidP="004D1AB4">
      <w:pPr>
        <w:rPr>
          <w:rFonts w:ascii="TimesNewRomanPSMT" w:hAnsi="TimesNewRomanPSMT"/>
          <w:sz w:val="24"/>
          <w:szCs w:val="24"/>
        </w:rPr>
      </w:pPr>
    </w:p>
    <w:p w14:paraId="471894AA" w14:textId="77777777" w:rsidR="009144DE" w:rsidRPr="009144DE" w:rsidRDefault="009144DE" w:rsidP="009144DE">
      <w:pPr>
        <w:autoSpaceDE w:val="0"/>
        <w:autoSpaceDN w:val="0"/>
        <w:adjustRightInd w:val="0"/>
        <w:jc w:val="center"/>
        <w:rPr>
          <w:rFonts w:ascii="TimesNewRomanPSMT" w:eastAsia="Times" w:hAnsi="TimesNewRomanPSMT"/>
          <w:color w:val="auto"/>
          <w:sz w:val="24"/>
        </w:rPr>
      </w:pPr>
      <w:r w:rsidRPr="009144DE">
        <w:rPr>
          <w:rFonts w:ascii="TimesNewRomanPSMT" w:eastAsia="Times" w:hAnsi="TimesNewRomanPSMT"/>
          <w:color w:val="auto"/>
          <w:sz w:val="24"/>
        </w:rPr>
        <w:t xml:space="preserve">Professor Peter Molk, </w:t>
      </w:r>
      <w:hyperlink r:id="rId7" w:history="1">
        <w:r w:rsidRPr="009144DE">
          <w:rPr>
            <w:rFonts w:ascii="TimesNewRomanPSMT" w:eastAsia="Times" w:hAnsi="TimesNewRomanPSMT"/>
            <w:color w:val="0000FF"/>
            <w:sz w:val="24"/>
            <w:u w:val="single"/>
          </w:rPr>
          <w:t>pmolk@law.ufl.edu</w:t>
        </w:r>
      </w:hyperlink>
    </w:p>
    <w:p w14:paraId="150C0C96" w14:textId="0AAE2943" w:rsidR="009144DE" w:rsidRPr="009144DE" w:rsidRDefault="009144DE" w:rsidP="009144DE">
      <w:pPr>
        <w:autoSpaceDE w:val="0"/>
        <w:autoSpaceDN w:val="0"/>
        <w:adjustRightInd w:val="0"/>
        <w:jc w:val="center"/>
        <w:rPr>
          <w:rFonts w:ascii="TimesNewRomanPSMT" w:eastAsia="Times" w:hAnsi="TimesNewRomanPSMT"/>
          <w:color w:val="auto"/>
          <w:sz w:val="24"/>
        </w:rPr>
      </w:pPr>
      <w:r w:rsidRPr="009144DE">
        <w:rPr>
          <w:rFonts w:ascii="TimesNewRomanPSMT" w:eastAsia="Times" w:hAnsi="TimesNewRomanPSMT"/>
          <w:color w:val="auto"/>
          <w:sz w:val="24"/>
        </w:rPr>
        <w:t>Class: Monday/Tuesday/Wednesday</w:t>
      </w:r>
      <w:r>
        <w:rPr>
          <w:rFonts w:ascii="TimesNewRomanPSMT" w:eastAsia="Times" w:hAnsi="TimesNewRomanPSMT"/>
          <w:color w:val="auto"/>
          <w:sz w:val="24"/>
        </w:rPr>
        <w:t>, 9</w:t>
      </w:r>
      <w:r w:rsidRPr="009144DE">
        <w:rPr>
          <w:rFonts w:ascii="TimesNewRomanPSMT" w:eastAsia="Times" w:hAnsi="TimesNewRomanPSMT"/>
          <w:color w:val="auto"/>
          <w:sz w:val="24"/>
        </w:rPr>
        <w:t>:00-</w:t>
      </w:r>
      <w:r>
        <w:rPr>
          <w:rFonts w:ascii="TimesNewRomanPSMT" w:eastAsia="Times" w:hAnsi="TimesNewRomanPSMT"/>
          <w:color w:val="auto"/>
          <w:sz w:val="24"/>
        </w:rPr>
        <w:t>9</w:t>
      </w:r>
      <w:r w:rsidRPr="009144DE">
        <w:rPr>
          <w:rFonts w:ascii="TimesNewRomanPSMT" w:eastAsia="Times" w:hAnsi="TimesNewRomanPSMT"/>
          <w:color w:val="auto"/>
          <w:sz w:val="24"/>
        </w:rPr>
        <w:t>:50</w:t>
      </w:r>
    </w:p>
    <w:p w14:paraId="0A4B8D45" w14:textId="77777777" w:rsidR="009144DE" w:rsidRPr="009144DE" w:rsidRDefault="009144DE" w:rsidP="009144DE">
      <w:pPr>
        <w:autoSpaceDE w:val="0"/>
        <w:autoSpaceDN w:val="0"/>
        <w:adjustRightInd w:val="0"/>
        <w:jc w:val="center"/>
        <w:rPr>
          <w:rFonts w:ascii="TimesNewRomanPSMT" w:eastAsia="Times" w:hAnsi="TimesNewRomanPSMT"/>
          <w:color w:val="auto"/>
          <w:sz w:val="24"/>
        </w:rPr>
      </w:pPr>
      <w:r w:rsidRPr="009144DE">
        <w:rPr>
          <w:rFonts w:ascii="TimesNewRomanPSMT" w:eastAsia="Times" w:hAnsi="TimesNewRomanPSMT"/>
          <w:color w:val="auto"/>
          <w:sz w:val="24"/>
        </w:rPr>
        <w:t>Office Hours: Monday/Tuesday/Wednesday, 10:00-10:45</w:t>
      </w:r>
    </w:p>
    <w:p w14:paraId="4A1487F4" w14:textId="77777777" w:rsidR="004D1AB4" w:rsidRDefault="004D1AB4" w:rsidP="004D1AB4">
      <w:pPr>
        <w:rPr>
          <w:rFonts w:ascii="TimesNewRomanPSMT" w:hAnsi="TimesNewRomanPSMT"/>
        </w:rPr>
      </w:pPr>
    </w:p>
    <w:p w14:paraId="404F2EE9" w14:textId="77777777" w:rsidR="009144DE" w:rsidRPr="005421D7" w:rsidRDefault="009144DE" w:rsidP="009144DE">
      <w:pPr>
        <w:pStyle w:val="Heading1"/>
        <w:jc w:val="center"/>
        <w:rPr>
          <w:b w:val="0"/>
        </w:rPr>
      </w:pPr>
      <w:r w:rsidRPr="005421D7">
        <w:t>COURSE OBJECTIVES AND LEARNING OUTCOMES:</w:t>
      </w:r>
    </w:p>
    <w:p w14:paraId="38C76BF3" w14:textId="22CEF65F" w:rsidR="009144DE" w:rsidRDefault="009144DE" w:rsidP="009144DE">
      <w:pPr>
        <w:pStyle w:val="Heading1"/>
        <w:rPr>
          <w:b w:val="0"/>
        </w:rPr>
      </w:pPr>
      <w:r w:rsidRPr="005421D7">
        <w:rPr>
          <w:b w:val="0"/>
        </w:rPr>
        <w:t xml:space="preserve">This course will introduce you to fundamental principles of </w:t>
      </w:r>
      <w:r>
        <w:rPr>
          <w:b w:val="0"/>
        </w:rPr>
        <w:t>securities law and regulation</w:t>
      </w:r>
      <w:r w:rsidRPr="005421D7">
        <w:rPr>
          <w:b w:val="0"/>
        </w:rPr>
        <w:t xml:space="preserve">.  </w:t>
      </w:r>
      <w:r>
        <w:rPr>
          <w:b w:val="0"/>
        </w:rPr>
        <w:t xml:space="preserve">By the end of the course, you should be able to: </w:t>
      </w:r>
    </w:p>
    <w:p w14:paraId="558511CF" w14:textId="1E9848D1" w:rsidR="009144DE" w:rsidRDefault="009144DE" w:rsidP="009144DE">
      <w:pPr>
        <w:pStyle w:val="Heading1"/>
        <w:numPr>
          <w:ilvl w:val="0"/>
          <w:numId w:val="3"/>
        </w:numPr>
        <w:rPr>
          <w:b w:val="0"/>
        </w:rPr>
      </w:pPr>
      <w:r>
        <w:rPr>
          <w:b w:val="0"/>
        </w:rPr>
        <w:t>Describe the legal and economic foundations of securities law;</w:t>
      </w:r>
    </w:p>
    <w:p w14:paraId="6D090571" w14:textId="01B5BDB9" w:rsidR="009144DE" w:rsidRDefault="009144DE" w:rsidP="009144DE">
      <w:pPr>
        <w:pStyle w:val="Heading1"/>
        <w:numPr>
          <w:ilvl w:val="0"/>
          <w:numId w:val="3"/>
        </w:numPr>
        <w:rPr>
          <w:b w:val="0"/>
        </w:rPr>
      </w:pPr>
      <w:r>
        <w:rPr>
          <w:b w:val="0"/>
        </w:rPr>
        <w:t>Demonstrate an understanding of the scope of transactions and behavior covered by securities law;</w:t>
      </w:r>
    </w:p>
    <w:p w14:paraId="0E22B8B0" w14:textId="7EC85B60" w:rsidR="009144DE" w:rsidRDefault="009144DE" w:rsidP="009144DE">
      <w:pPr>
        <w:pStyle w:val="Heading1"/>
        <w:numPr>
          <w:ilvl w:val="0"/>
          <w:numId w:val="3"/>
        </w:numPr>
        <w:rPr>
          <w:b w:val="0"/>
        </w:rPr>
      </w:pPr>
      <w:r>
        <w:rPr>
          <w:b w:val="0"/>
        </w:rPr>
        <w:t>Explain the interplay between federal and state securities regulation;</w:t>
      </w:r>
    </w:p>
    <w:p w14:paraId="6513FC7F" w14:textId="611930AA" w:rsidR="009144DE" w:rsidRDefault="009144DE" w:rsidP="009144DE">
      <w:pPr>
        <w:pStyle w:val="Heading1"/>
        <w:numPr>
          <w:ilvl w:val="0"/>
          <w:numId w:val="3"/>
        </w:numPr>
        <w:rPr>
          <w:b w:val="0"/>
        </w:rPr>
      </w:pPr>
      <w:r>
        <w:rPr>
          <w:b w:val="0"/>
        </w:rPr>
        <w:t>Explain how policy goals have contributed to the development of securities law and related doctrines; and</w:t>
      </w:r>
    </w:p>
    <w:p w14:paraId="4ACA75B1" w14:textId="04ED1AC1" w:rsidR="009144DE" w:rsidRPr="005421D7" w:rsidRDefault="009144DE" w:rsidP="009144DE">
      <w:pPr>
        <w:pStyle w:val="Heading1"/>
        <w:numPr>
          <w:ilvl w:val="0"/>
          <w:numId w:val="3"/>
        </w:numPr>
      </w:pPr>
      <w:r>
        <w:rPr>
          <w:b w:val="0"/>
        </w:rPr>
        <w:t>Apply strategic and practical considerations throughout the entire process of filing and litigating a securities law dispute.</w:t>
      </w:r>
    </w:p>
    <w:p w14:paraId="1E16553E" w14:textId="77777777" w:rsidR="009144DE" w:rsidRDefault="009144DE" w:rsidP="00B43749">
      <w:pPr>
        <w:pStyle w:val="Heading1"/>
        <w:jc w:val="center"/>
      </w:pPr>
    </w:p>
    <w:p w14:paraId="59D0F4E1" w14:textId="77777777" w:rsidR="009144DE" w:rsidRDefault="009144DE" w:rsidP="00B43749">
      <w:pPr>
        <w:pStyle w:val="Heading1"/>
        <w:jc w:val="center"/>
      </w:pPr>
    </w:p>
    <w:p w14:paraId="297AFF63" w14:textId="77777777" w:rsidR="004D1AB4" w:rsidRPr="00997774" w:rsidRDefault="004D1AB4" w:rsidP="004D1AB4"/>
    <w:p w14:paraId="6EA450EE" w14:textId="77777777" w:rsidR="004D1AB4" w:rsidRPr="006C4D9E" w:rsidRDefault="004D1AB4" w:rsidP="004D1AB4">
      <w:pPr>
        <w:jc w:val="center"/>
        <w:rPr>
          <w:b/>
          <w:sz w:val="24"/>
          <w:szCs w:val="24"/>
        </w:rPr>
      </w:pPr>
      <w:r w:rsidRPr="006C4D9E">
        <w:rPr>
          <w:b/>
          <w:sz w:val="24"/>
          <w:szCs w:val="24"/>
        </w:rPr>
        <w:t>COURSE MATERIALS:</w:t>
      </w:r>
    </w:p>
    <w:p w14:paraId="30C19DBE" w14:textId="498E27C5" w:rsidR="00F63A15" w:rsidRPr="00226D65" w:rsidRDefault="004D1AB4" w:rsidP="00F63A15">
      <w:pPr>
        <w:rPr>
          <w:sz w:val="24"/>
          <w:szCs w:val="24"/>
        </w:rPr>
      </w:pPr>
      <w:r w:rsidRPr="00226D65">
        <w:rPr>
          <w:sz w:val="24"/>
          <w:szCs w:val="24"/>
        </w:rPr>
        <w:t xml:space="preserve">Our casebook is </w:t>
      </w:r>
      <w:r w:rsidR="00F63A15" w:rsidRPr="00226D65">
        <w:rPr>
          <w:sz w:val="24"/>
          <w:szCs w:val="24"/>
        </w:rPr>
        <w:t>CHOI &amp; PRITCHARD, SECURITIES REGULATION: CASES AND ANALYSIS</w:t>
      </w:r>
      <w:r w:rsidRPr="00226D65">
        <w:rPr>
          <w:sz w:val="24"/>
          <w:szCs w:val="24"/>
        </w:rPr>
        <w:t xml:space="preserve"> (</w:t>
      </w:r>
      <w:r w:rsidR="009144DE">
        <w:rPr>
          <w:sz w:val="24"/>
          <w:szCs w:val="24"/>
        </w:rPr>
        <w:t>4</w:t>
      </w:r>
      <w:r w:rsidR="009144DE" w:rsidRPr="009144DE">
        <w:rPr>
          <w:sz w:val="24"/>
          <w:szCs w:val="24"/>
          <w:vertAlign w:val="superscript"/>
        </w:rPr>
        <w:t>th</w:t>
      </w:r>
      <w:r w:rsidR="009144DE">
        <w:rPr>
          <w:sz w:val="24"/>
          <w:szCs w:val="24"/>
        </w:rPr>
        <w:t xml:space="preserve"> </w:t>
      </w:r>
      <w:r w:rsidR="00F63A15" w:rsidRPr="00226D65">
        <w:rPr>
          <w:sz w:val="24"/>
          <w:szCs w:val="24"/>
        </w:rPr>
        <w:t>ed. 201</w:t>
      </w:r>
      <w:r w:rsidR="009144DE">
        <w:rPr>
          <w:sz w:val="24"/>
          <w:szCs w:val="24"/>
        </w:rPr>
        <w:t>5</w:t>
      </w:r>
      <w:r w:rsidRPr="00226D65">
        <w:rPr>
          <w:sz w:val="24"/>
          <w:szCs w:val="24"/>
        </w:rPr>
        <w:t xml:space="preserve">).  </w:t>
      </w:r>
      <w:r w:rsidR="00F63A15" w:rsidRPr="00226D65">
        <w:rPr>
          <w:sz w:val="24"/>
          <w:szCs w:val="24"/>
        </w:rPr>
        <w:t xml:space="preserve">There is also a free supplement that updates portions of the casebook, as well as a statutory supplement.  The statutory supplement is available </w:t>
      </w:r>
      <w:r w:rsidR="00226D65" w:rsidRPr="00226D65">
        <w:rPr>
          <w:sz w:val="24"/>
          <w:szCs w:val="24"/>
        </w:rPr>
        <w:t>for purchase</w:t>
      </w:r>
      <w:r w:rsidR="00F63A15" w:rsidRPr="00226D65">
        <w:rPr>
          <w:sz w:val="24"/>
          <w:szCs w:val="24"/>
        </w:rPr>
        <w:t xml:space="preserve">, but you are not required to </w:t>
      </w:r>
      <w:r w:rsidR="00226D65" w:rsidRPr="00226D65">
        <w:rPr>
          <w:sz w:val="24"/>
          <w:szCs w:val="24"/>
        </w:rPr>
        <w:t>buy</w:t>
      </w:r>
      <w:r w:rsidR="00F63A15" w:rsidRPr="00226D65">
        <w:rPr>
          <w:sz w:val="24"/>
          <w:szCs w:val="24"/>
        </w:rPr>
        <w:t xml:space="preserve"> it, because all of the statutes and rules we will read are also available </w:t>
      </w:r>
      <w:r w:rsidR="00F63A15" w:rsidRPr="00226D65">
        <w:rPr>
          <w:sz w:val="24"/>
          <w:szCs w:val="24"/>
        </w:rPr>
        <w:lastRenderedPageBreak/>
        <w:t xml:space="preserve">for free online.  Perhaps the best source is the Securities Lawyer’s Deskbook: </w:t>
      </w:r>
      <w:hyperlink r:id="rId8" w:history="1">
        <w:r w:rsidR="00F63A15" w:rsidRPr="00226D65">
          <w:rPr>
            <w:rStyle w:val="Hyperlink"/>
            <w:sz w:val="24"/>
            <w:szCs w:val="24"/>
          </w:rPr>
          <w:t>https://lawblogs.uc.edu/sld/</w:t>
        </w:r>
      </w:hyperlink>
      <w:r w:rsidR="00F63A15" w:rsidRPr="00226D65">
        <w:rPr>
          <w:sz w:val="24"/>
          <w:szCs w:val="24"/>
        </w:rPr>
        <w:t xml:space="preserve">. The various forms we will study are available </w:t>
      </w:r>
      <w:r w:rsidR="00B52AC6" w:rsidRPr="00226D65">
        <w:rPr>
          <w:sz w:val="24"/>
          <w:szCs w:val="24"/>
        </w:rPr>
        <w:t>a</w:t>
      </w:r>
      <w:r w:rsidR="00F63A15" w:rsidRPr="00226D65">
        <w:rPr>
          <w:sz w:val="24"/>
          <w:szCs w:val="24"/>
        </w:rPr>
        <w:t xml:space="preserve">t the SEC’s website: </w:t>
      </w:r>
      <w:hyperlink r:id="rId9" w:history="1">
        <w:r w:rsidR="00226D65" w:rsidRPr="00226D65">
          <w:rPr>
            <w:rStyle w:val="Hyperlink"/>
            <w:sz w:val="24"/>
            <w:szCs w:val="24"/>
          </w:rPr>
          <w:t>http://www.sec.gov/forms</w:t>
        </w:r>
      </w:hyperlink>
      <w:r w:rsidR="00F63A15" w:rsidRPr="00226D65">
        <w:rPr>
          <w:sz w:val="24"/>
          <w:szCs w:val="24"/>
        </w:rPr>
        <w:t xml:space="preserve">. </w:t>
      </w:r>
    </w:p>
    <w:p w14:paraId="0ECD4F6D" w14:textId="1A8BA911" w:rsidR="004D1AB4" w:rsidRPr="00226D65" w:rsidRDefault="004D1AB4" w:rsidP="004D1AB4">
      <w:pPr>
        <w:rPr>
          <w:sz w:val="24"/>
          <w:szCs w:val="24"/>
        </w:rPr>
      </w:pPr>
    </w:p>
    <w:p w14:paraId="475AF53C" w14:textId="77777777" w:rsidR="009144DE" w:rsidRPr="005421D7" w:rsidRDefault="009144DE" w:rsidP="009144DE">
      <w:pPr>
        <w:ind w:left="720" w:hanging="720"/>
        <w:jc w:val="center"/>
        <w:rPr>
          <w:sz w:val="24"/>
          <w:szCs w:val="24"/>
        </w:rPr>
      </w:pPr>
      <w:r w:rsidRPr="005421D7">
        <w:rPr>
          <w:b/>
          <w:sz w:val="24"/>
          <w:szCs w:val="24"/>
        </w:rPr>
        <w:t>EXPECTATIONS:</w:t>
      </w:r>
    </w:p>
    <w:p w14:paraId="077EDC89" w14:textId="77777777" w:rsidR="009144DE" w:rsidRPr="005421D7" w:rsidRDefault="009144DE" w:rsidP="009144DE">
      <w:pPr>
        <w:rPr>
          <w:sz w:val="24"/>
          <w:szCs w:val="24"/>
        </w:rPr>
      </w:pPr>
      <w:r w:rsidRPr="005421D7">
        <w:rPr>
          <w:sz w:val="24"/>
          <w:szCs w:val="24"/>
        </w:rPr>
        <w:t>Class will start on time and end on time.  I expect you to attend every class and to arrive on time.</w:t>
      </w:r>
      <w:r>
        <w:rPr>
          <w:sz w:val="24"/>
          <w:szCs w:val="24"/>
        </w:rPr>
        <w:t xml:space="preserve">  Regular class attendance is required as a condition of receiving course credit.  If you miss more than </w:t>
      </w:r>
      <w:r>
        <w:rPr>
          <w:b/>
          <w:sz w:val="24"/>
          <w:szCs w:val="24"/>
        </w:rPr>
        <w:t xml:space="preserve">eight </w:t>
      </w:r>
      <w:r>
        <w:rPr>
          <w:sz w:val="24"/>
          <w:szCs w:val="24"/>
        </w:rPr>
        <w:t xml:space="preserve">classes, you will receive a failing grade for the course. </w:t>
      </w:r>
      <w:r w:rsidRPr="00E53E7C">
        <w:rPr>
          <w:sz w:val="24"/>
          <w:szCs w:val="24"/>
        </w:rPr>
        <w:t>Observance of religious holidays do</w:t>
      </w:r>
      <w:r>
        <w:rPr>
          <w:sz w:val="24"/>
          <w:szCs w:val="24"/>
        </w:rPr>
        <w:t>es</w:t>
      </w:r>
      <w:r w:rsidRPr="00E53E7C">
        <w:rPr>
          <w:sz w:val="24"/>
          <w:szCs w:val="24"/>
        </w:rPr>
        <w:t xml:space="preserve"> not count toward your absences. Please notify me in advance of such </w:t>
      </w:r>
      <w:r>
        <w:rPr>
          <w:sz w:val="24"/>
          <w:szCs w:val="24"/>
        </w:rPr>
        <w:t xml:space="preserve">religious </w:t>
      </w:r>
      <w:r w:rsidRPr="00E53E7C">
        <w:rPr>
          <w:sz w:val="24"/>
          <w:szCs w:val="24"/>
        </w:rPr>
        <w:t>absences by email.</w:t>
      </w:r>
      <w:r w:rsidRPr="005421D7">
        <w:rPr>
          <w:sz w:val="24"/>
          <w:szCs w:val="24"/>
        </w:rPr>
        <w:t xml:space="preserve"> If you are going to miss class</w:t>
      </w:r>
      <w:r>
        <w:rPr>
          <w:sz w:val="24"/>
          <w:szCs w:val="24"/>
        </w:rPr>
        <w:t xml:space="preserve"> for another reason</w:t>
      </w:r>
      <w:r w:rsidRPr="005421D7">
        <w:rPr>
          <w:sz w:val="24"/>
          <w:szCs w:val="24"/>
        </w:rPr>
        <w:t>, you do not need to notify me.</w:t>
      </w:r>
    </w:p>
    <w:p w14:paraId="28DF302A" w14:textId="77777777" w:rsidR="009144DE" w:rsidRDefault="009144DE" w:rsidP="009144DE">
      <w:r>
        <w:tab/>
      </w:r>
      <w:r>
        <w:tab/>
      </w:r>
    </w:p>
    <w:p w14:paraId="15477E2C" w14:textId="77777777" w:rsidR="009144DE" w:rsidRPr="005421D7" w:rsidRDefault="009144DE" w:rsidP="009144DE">
      <w:pPr>
        <w:pStyle w:val="Heading1"/>
        <w:jc w:val="center"/>
      </w:pPr>
      <w:r w:rsidRPr="005421D7">
        <w:t>ASSIGNMENTS:</w:t>
      </w:r>
    </w:p>
    <w:p w14:paraId="72C01953" w14:textId="61BD1C3E" w:rsidR="009144DE" w:rsidRPr="005421D7" w:rsidRDefault="009144DE" w:rsidP="009144DE">
      <w:pPr>
        <w:rPr>
          <w:sz w:val="24"/>
          <w:szCs w:val="24"/>
        </w:rPr>
      </w:pPr>
      <w:r>
        <w:rPr>
          <w:sz w:val="24"/>
          <w:szCs w:val="24"/>
        </w:rPr>
        <w:t>The</w:t>
      </w:r>
      <w:r w:rsidRPr="005421D7">
        <w:rPr>
          <w:sz w:val="24"/>
          <w:szCs w:val="24"/>
        </w:rPr>
        <w:t xml:space="preserve"> reading list is </w:t>
      </w:r>
      <w:r>
        <w:rPr>
          <w:sz w:val="24"/>
          <w:szCs w:val="24"/>
        </w:rPr>
        <w:t>attached at the end of the syllabus</w:t>
      </w:r>
      <w:r w:rsidRPr="005421D7">
        <w:rPr>
          <w:sz w:val="24"/>
          <w:szCs w:val="24"/>
        </w:rPr>
        <w:t>.</w:t>
      </w:r>
      <w:r>
        <w:rPr>
          <w:sz w:val="24"/>
          <w:szCs w:val="24"/>
        </w:rPr>
        <w:t xml:space="preserve">  It is subject to change from time to time.</w:t>
      </w:r>
      <w:r w:rsidRPr="005421D7">
        <w:rPr>
          <w:sz w:val="24"/>
          <w:szCs w:val="24"/>
        </w:rPr>
        <w:t xml:space="preserve">  The </w:t>
      </w:r>
      <w:r>
        <w:rPr>
          <w:sz w:val="24"/>
          <w:szCs w:val="24"/>
        </w:rPr>
        <w:t xml:space="preserve">particular </w:t>
      </w:r>
      <w:r w:rsidRPr="005421D7">
        <w:rPr>
          <w:sz w:val="24"/>
          <w:szCs w:val="24"/>
        </w:rPr>
        <w:t xml:space="preserve">readings for each corresponding class will be emailed ahead of time.  </w:t>
      </w:r>
    </w:p>
    <w:p w14:paraId="4E987FF6" w14:textId="77777777" w:rsidR="009144DE" w:rsidRDefault="009144DE" w:rsidP="009144DE">
      <w:pPr>
        <w:rPr>
          <w:sz w:val="24"/>
          <w:szCs w:val="24"/>
        </w:rPr>
      </w:pPr>
    </w:p>
    <w:p w14:paraId="4B71CF1E" w14:textId="77777777" w:rsidR="009144DE" w:rsidRDefault="009144DE" w:rsidP="009144DE">
      <w:pPr>
        <w:rPr>
          <w:sz w:val="24"/>
          <w:szCs w:val="24"/>
        </w:rPr>
      </w:pPr>
      <w:r w:rsidRPr="005421D7">
        <w:rPr>
          <w:sz w:val="24"/>
          <w:szCs w:val="24"/>
        </w:rPr>
        <w:t>You should expect to spend approximately two hours on out-of-class preparation for every hour of in-class instruction.</w:t>
      </w:r>
    </w:p>
    <w:p w14:paraId="68238810" w14:textId="77777777" w:rsidR="009144DE" w:rsidRDefault="009144DE" w:rsidP="009144DE">
      <w:pPr>
        <w:ind w:left="720" w:firstLine="720"/>
      </w:pPr>
    </w:p>
    <w:p w14:paraId="3627C9AB" w14:textId="77777777" w:rsidR="009144DE" w:rsidRPr="005421D7" w:rsidRDefault="009144DE" w:rsidP="009144DE">
      <w:pPr>
        <w:pStyle w:val="Heading1"/>
        <w:jc w:val="center"/>
        <w:rPr>
          <w:b w:val="0"/>
        </w:rPr>
      </w:pPr>
      <w:r w:rsidRPr="005421D7">
        <w:t>EXAM AND GRADE:</w:t>
      </w:r>
    </w:p>
    <w:p w14:paraId="2F7088A1" w14:textId="0CE8F731" w:rsidR="009144DE" w:rsidRPr="005421D7" w:rsidRDefault="009144DE" w:rsidP="009144DE">
      <w:pPr>
        <w:pStyle w:val="Heading1"/>
        <w:rPr>
          <w:b w:val="0"/>
        </w:rPr>
      </w:pPr>
      <w:r>
        <w:rPr>
          <w:b w:val="0"/>
        </w:rPr>
        <w:t xml:space="preserve">Your grade will be based primarily on your performance on a final exam.  </w:t>
      </w:r>
      <w:r w:rsidRPr="005421D7">
        <w:rPr>
          <w:b w:val="0"/>
        </w:rPr>
        <w:t xml:space="preserve">To assist in your exam, you may use any non-human resources you desire. The exam must be taken at the scheduled date and time except in a case of family or medical emergency or </w:t>
      </w:r>
      <w:r>
        <w:rPr>
          <w:b w:val="0"/>
        </w:rPr>
        <w:t xml:space="preserve">accommodation made </w:t>
      </w:r>
      <w:r w:rsidRPr="005421D7">
        <w:rPr>
          <w:b w:val="0"/>
        </w:rPr>
        <w:t xml:space="preserve">by the Office of Student Affairs.  </w:t>
      </w:r>
    </w:p>
    <w:p w14:paraId="0B36445C" w14:textId="77777777" w:rsidR="009144DE" w:rsidRDefault="009144DE" w:rsidP="009144DE">
      <w:pPr>
        <w:rPr>
          <w:sz w:val="24"/>
          <w:szCs w:val="24"/>
        </w:rPr>
      </w:pPr>
    </w:p>
    <w:p w14:paraId="3BE935EB" w14:textId="77777777" w:rsidR="009144DE" w:rsidRPr="005421D7" w:rsidRDefault="009144DE" w:rsidP="009144DE">
      <w:pPr>
        <w:rPr>
          <w:sz w:val="24"/>
          <w:szCs w:val="24"/>
        </w:rPr>
      </w:pPr>
      <w:r w:rsidRPr="005421D7">
        <w:rPr>
          <w:sz w:val="24"/>
          <w:szCs w:val="24"/>
        </w:rPr>
        <w:lastRenderedPageBreak/>
        <w:t>Participation and attendance will also be factored into your final grade and will count for no more than a one-step increase or decrease in your final grade, but such adjustments will be unusual except in the case of a history of late arrivals to class.</w:t>
      </w:r>
    </w:p>
    <w:p w14:paraId="7CC6508F" w14:textId="77777777" w:rsidR="009144DE" w:rsidRPr="005421D7" w:rsidRDefault="009144DE" w:rsidP="009144DE">
      <w:pPr>
        <w:rPr>
          <w:sz w:val="24"/>
          <w:szCs w:val="24"/>
        </w:rPr>
      </w:pPr>
    </w:p>
    <w:p w14:paraId="5F0D7622" w14:textId="77777777" w:rsidR="009144DE" w:rsidRPr="005421D7" w:rsidRDefault="009144DE" w:rsidP="009144DE">
      <w:pPr>
        <w:jc w:val="center"/>
        <w:rPr>
          <w:b/>
          <w:sz w:val="24"/>
          <w:szCs w:val="24"/>
        </w:rPr>
      </w:pPr>
      <w:r w:rsidRPr="005421D7">
        <w:rPr>
          <w:b/>
          <w:sz w:val="24"/>
          <w:szCs w:val="24"/>
        </w:rPr>
        <w:t>INFORMATION ON UF LAW GRADING POLICIES</w:t>
      </w:r>
    </w:p>
    <w:p w14:paraId="2279DDAE" w14:textId="77777777" w:rsidR="009144DE" w:rsidRPr="005421D7" w:rsidRDefault="009144DE" w:rsidP="009144DE">
      <w:pPr>
        <w:rPr>
          <w:sz w:val="24"/>
          <w:szCs w:val="24"/>
        </w:rPr>
      </w:pPr>
      <w:r w:rsidRPr="005421D7">
        <w:rPr>
          <w:sz w:val="24"/>
          <w:szCs w:val="24"/>
        </w:rPr>
        <w:t xml:space="preserve">The law school grading policy is available at: </w:t>
      </w:r>
      <w:hyperlink r:id="rId10" w:anchor="9" w:history="1">
        <w:r w:rsidRPr="005421D7">
          <w:rPr>
            <w:rStyle w:val="Hyperlink"/>
            <w:color w:val="auto"/>
            <w:sz w:val="24"/>
            <w:szCs w:val="24"/>
          </w:rPr>
          <w:t>http://www.law.ufl.edu/student-affairs/current-students/academic-policies#9</w:t>
        </w:r>
      </w:hyperlink>
      <w:r w:rsidRPr="005421D7">
        <w:rPr>
          <w:sz w:val="24"/>
          <w:szCs w:val="24"/>
        </w:rPr>
        <w:t>.  Students receive grade points according to the following scale:</w:t>
      </w:r>
    </w:p>
    <w:p w14:paraId="383A2232" w14:textId="77777777" w:rsidR="009144DE" w:rsidRPr="005421D7" w:rsidRDefault="009144DE" w:rsidP="009144D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170"/>
        <w:gridCol w:w="2150"/>
        <w:gridCol w:w="2170"/>
      </w:tblGrid>
      <w:tr w:rsidR="009144DE" w:rsidRPr="005421D7" w14:paraId="42EC48D5" w14:textId="77777777" w:rsidTr="006113FC">
        <w:tc>
          <w:tcPr>
            <w:tcW w:w="2214" w:type="dxa"/>
          </w:tcPr>
          <w:p w14:paraId="293EA4AB" w14:textId="77777777" w:rsidR="009144DE" w:rsidRPr="005421D7" w:rsidRDefault="009144DE" w:rsidP="006113FC">
            <w:pPr>
              <w:jc w:val="center"/>
              <w:rPr>
                <w:sz w:val="24"/>
                <w:szCs w:val="24"/>
              </w:rPr>
            </w:pPr>
            <w:r w:rsidRPr="005421D7">
              <w:rPr>
                <w:sz w:val="24"/>
                <w:szCs w:val="24"/>
              </w:rPr>
              <w:t>Letter Grade</w:t>
            </w:r>
          </w:p>
        </w:tc>
        <w:tc>
          <w:tcPr>
            <w:tcW w:w="2214" w:type="dxa"/>
          </w:tcPr>
          <w:p w14:paraId="633FF90E" w14:textId="77777777" w:rsidR="009144DE" w:rsidRPr="005421D7" w:rsidRDefault="009144DE" w:rsidP="006113FC">
            <w:pPr>
              <w:jc w:val="center"/>
              <w:rPr>
                <w:sz w:val="24"/>
                <w:szCs w:val="24"/>
              </w:rPr>
            </w:pPr>
            <w:r w:rsidRPr="005421D7">
              <w:rPr>
                <w:sz w:val="24"/>
                <w:szCs w:val="24"/>
              </w:rPr>
              <w:t>Point Equivalent</w:t>
            </w:r>
          </w:p>
        </w:tc>
        <w:tc>
          <w:tcPr>
            <w:tcW w:w="2214" w:type="dxa"/>
          </w:tcPr>
          <w:p w14:paraId="28426C1F" w14:textId="77777777" w:rsidR="009144DE" w:rsidRPr="005421D7" w:rsidRDefault="009144DE" w:rsidP="006113FC">
            <w:pPr>
              <w:jc w:val="center"/>
              <w:rPr>
                <w:sz w:val="24"/>
                <w:szCs w:val="24"/>
              </w:rPr>
            </w:pPr>
            <w:r w:rsidRPr="005421D7">
              <w:rPr>
                <w:sz w:val="24"/>
                <w:szCs w:val="24"/>
              </w:rPr>
              <w:t>Letter Grade</w:t>
            </w:r>
          </w:p>
        </w:tc>
        <w:tc>
          <w:tcPr>
            <w:tcW w:w="2214" w:type="dxa"/>
          </w:tcPr>
          <w:p w14:paraId="173AB988" w14:textId="77777777" w:rsidR="009144DE" w:rsidRPr="005421D7" w:rsidRDefault="009144DE" w:rsidP="006113FC">
            <w:pPr>
              <w:jc w:val="center"/>
              <w:rPr>
                <w:sz w:val="24"/>
                <w:szCs w:val="24"/>
              </w:rPr>
            </w:pPr>
            <w:r w:rsidRPr="005421D7">
              <w:rPr>
                <w:sz w:val="24"/>
                <w:szCs w:val="24"/>
              </w:rPr>
              <w:t>Point Equivalent</w:t>
            </w:r>
          </w:p>
        </w:tc>
      </w:tr>
      <w:tr w:rsidR="009144DE" w:rsidRPr="005421D7" w14:paraId="6AA9146E" w14:textId="77777777" w:rsidTr="006113FC">
        <w:tc>
          <w:tcPr>
            <w:tcW w:w="2214" w:type="dxa"/>
          </w:tcPr>
          <w:p w14:paraId="7DB2F695" w14:textId="77777777" w:rsidR="009144DE" w:rsidRPr="005421D7" w:rsidRDefault="009144DE" w:rsidP="006113FC">
            <w:pPr>
              <w:jc w:val="center"/>
              <w:rPr>
                <w:sz w:val="24"/>
                <w:szCs w:val="24"/>
              </w:rPr>
            </w:pPr>
            <w:r w:rsidRPr="005421D7">
              <w:rPr>
                <w:sz w:val="24"/>
                <w:szCs w:val="24"/>
              </w:rPr>
              <w:t>A</w:t>
            </w:r>
            <w:r w:rsidRPr="00C35FC7">
              <w:rPr>
                <w:color w:val="FFFFFF" w:themeColor="background1"/>
                <w:sz w:val="24"/>
                <w:szCs w:val="24"/>
              </w:rPr>
              <w:t>-</w:t>
            </w:r>
          </w:p>
        </w:tc>
        <w:tc>
          <w:tcPr>
            <w:tcW w:w="2214" w:type="dxa"/>
          </w:tcPr>
          <w:p w14:paraId="55AA9ED9" w14:textId="77777777" w:rsidR="009144DE" w:rsidRPr="005421D7" w:rsidRDefault="009144DE" w:rsidP="006113FC">
            <w:pPr>
              <w:jc w:val="center"/>
              <w:rPr>
                <w:sz w:val="24"/>
                <w:szCs w:val="24"/>
              </w:rPr>
            </w:pPr>
            <w:r w:rsidRPr="005421D7">
              <w:rPr>
                <w:sz w:val="24"/>
                <w:szCs w:val="24"/>
              </w:rPr>
              <w:t>4.0</w:t>
            </w:r>
          </w:p>
        </w:tc>
        <w:tc>
          <w:tcPr>
            <w:tcW w:w="2214" w:type="dxa"/>
          </w:tcPr>
          <w:p w14:paraId="0D9CDA41" w14:textId="77777777" w:rsidR="009144DE" w:rsidRPr="005421D7" w:rsidRDefault="009144DE" w:rsidP="006113FC">
            <w:pPr>
              <w:jc w:val="center"/>
              <w:rPr>
                <w:sz w:val="24"/>
                <w:szCs w:val="24"/>
              </w:rPr>
            </w:pPr>
            <w:r w:rsidRPr="005421D7">
              <w:rPr>
                <w:sz w:val="24"/>
                <w:szCs w:val="24"/>
              </w:rPr>
              <w:t>C</w:t>
            </w:r>
            <w:r w:rsidRPr="00C35FC7">
              <w:rPr>
                <w:color w:val="FFFFFF" w:themeColor="background1"/>
                <w:sz w:val="24"/>
                <w:szCs w:val="24"/>
              </w:rPr>
              <w:t>-</w:t>
            </w:r>
          </w:p>
        </w:tc>
        <w:tc>
          <w:tcPr>
            <w:tcW w:w="2214" w:type="dxa"/>
          </w:tcPr>
          <w:p w14:paraId="556DA6E9" w14:textId="77777777" w:rsidR="009144DE" w:rsidRPr="005421D7" w:rsidRDefault="009144DE" w:rsidP="006113FC">
            <w:pPr>
              <w:jc w:val="center"/>
              <w:rPr>
                <w:sz w:val="24"/>
                <w:szCs w:val="24"/>
              </w:rPr>
            </w:pPr>
            <w:r w:rsidRPr="005421D7">
              <w:rPr>
                <w:sz w:val="24"/>
                <w:szCs w:val="24"/>
              </w:rPr>
              <w:t>2</w:t>
            </w:r>
          </w:p>
        </w:tc>
      </w:tr>
      <w:tr w:rsidR="009144DE" w:rsidRPr="005421D7" w14:paraId="1A665743" w14:textId="77777777" w:rsidTr="006113FC">
        <w:tc>
          <w:tcPr>
            <w:tcW w:w="2214" w:type="dxa"/>
          </w:tcPr>
          <w:p w14:paraId="7381AD5A" w14:textId="77777777" w:rsidR="009144DE" w:rsidRPr="005421D7" w:rsidRDefault="009144DE" w:rsidP="006113FC">
            <w:pPr>
              <w:jc w:val="center"/>
              <w:rPr>
                <w:sz w:val="24"/>
                <w:szCs w:val="24"/>
              </w:rPr>
            </w:pPr>
            <w:r w:rsidRPr="005421D7">
              <w:rPr>
                <w:sz w:val="24"/>
                <w:szCs w:val="24"/>
              </w:rPr>
              <w:t>A-</w:t>
            </w:r>
          </w:p>
        </w:tc>
        <w:tc>
          <w:tcPr>
            <w:tcW w:w="2214" w:type="dxa"/>
          </w:tcPr>
          <w:p w14:paraId="50E45D64" w14:textId="77777777" w:rsidR="009144DE" w:rsidRPr="005421D7" w:rsidRDefault="009144DE" w:rsidP="006113FC">
            <w:pPr>
              <w:jc w:val="center"/>
              <w:rPr>
                <w:sz w:val="24"/>
                <w:szCs w:val="24"/>
              </w:rPr>
            </w:pPr>
            <w:r w:rsidRPr="005421D7">
              <w:rPr>
                <w:sz w:val="24"/>
                <w:szCs w:val="24"/>
              </w:rPr>
              <w:t>3.67</w:t>
            </w:r>
          </w:p>
        </w:tc>
        <w:tc>
          <w:tcPr>
            <w:tcW w:w="2214" w:type="dxa"/>
          </w:tcPr>
          <w:p w14:paraId="63DF9D5E" w14:textId="77777777" w:rsidR="009144DE" w:rsidRPr="005421D7" w:rsidRDefault="009144DE" w:rsidP="006113FC">
            <w:pPr>
              <w:jc w:val="center"/>
              <w:rPr>
                <w:sz w:val="24"/>
                <w:szCs w:val="24"/>
              </w:rPr>
            </w:pPr>
            <w:r w:rsidRPr="005421D7">
              <w:rPr>
                <w:sz w:val="24"/>
                <w:szCs w:val="24"/>
              </w:rPr>
              <w:t>C-</w:t>
            </w:r>
          </w:p>
        </w:tc>
        <w:tc>
          <w:tcPr>
            <w:tcW w:w="2214" w:type="dxa"/>
          </w:tcPr>
          <w:p w14:paraId="14A50966" w14:textId="77777777" w:rsidR="009144DE" w:rsidRPr="005421D7" w:rsidRDefault="009144DE" w:rsidP="006113FC">
            <w:pPr>
              <w:jc w:val="center"/>
              <w:rPr>
                <w:sz w:val="24"/>
                <w:szCs w:val="24"/>
              </w:rPr>
            </w:pPr>
            <w:r w:rsidRPr="005421D7">
              <w:rPr>
                <w:sz w:val="24"/>
                <w:szCs w:val="24"/>
              </w:rPr>
              <w:t>1.67</w:t>
            </w:r>
          </w:p>
        </w:tc>
      </w:tr>
      <w:tr w:rsidR="009144DE" w:rsidRPr="005421D7" w14:paraId="7C6E4AC6" w14:textId="77777777" w:rsidTr="006113FC">
        <w:tc>
          <w:tcPr>
            <w:tcW w:w="2214" w:type="dxa"/>
          </w:tcPr>
          <w:p w14:paraId="632E6A92" w14:textId="77777777" w:rsidR="009144DE" w:rsidRPr="005421D7" w:rsidRDefault="009144DE" w:rsidP="006113FC">
            <w:pPr>
              <w:jc w:val="center"/>
              <w:rPr>
                <w:sz w:val="24"/>
                <w:szCs w:val="24"/>
              </w:rPr>
            </w:pPr>
            <w:r w:rsidRPr="005421D7">
              <w:rPr>
                <w:sz w:val="24"/>
                <w:szCs w:val="24"/>
              </w:rPr>
              <w:t>B+</w:t>
            </w:r>
          </w:p>
        </w:tc>
        <w:tc>
          <w:tcPr>
            <w:tcW w:w="2214" w:type="dxa"/>
          </w:tcPr>
          <w:p w14:paraId="06BB5CF4" w14:textId="77777777" w:rsidR="009144DE" w:rsidRPr="005421D7" w:rsidRDefault="009144DE" w:rsidP="006113FC">
            <w:pPr>
              <w:jc w:val="center"/>
              <w:rPr>
                <w:sz w:val="24"/>
                <w:szCs w:val="24"/>
              </w:rPr>
            </w:pPr>
            <w:r w:rsidRPr="005421D7">
              <w:rPr>
                <w:sz w:val="24"/>
                <w:szCs w:val="24"/>
              </w:rPr>
              <w:t>3.33</w:t>
            </w:r>
          </w:p>
        </w:tc>
        <w:tc>
          <w:tcPr>
            <w:tcW w:w="2214" w:type="dxa"/>
          </w:tcPr>
          <w:p w14:paraId="5CE99E0F" w14:textId="77777777" w:rsidR="009144DE" w:rsidRPr="005421D7" w:rsidRDefault="009144DE" w:rsidP="006113FC">
            <w:pPr>
              <w:jc w:val="center"/>
              <w:rPr>
                <w:sz w:val="24"/>
                <w:szCs w:val="24"/>
              </w:rPr>
            </w:pPr>
            <w:r w:rsidRPr="005421D7">
              <w:rPr>
                <w:sz w:val="24"/>
                <w:szCs w:val="24"/>
              </w:rPr>
              <w:t>D+</w:t>
            </w:r>
          </w:p>
        </w:tc>
        <w:tc>
          <w:tcPr>
            <w:tcW w:w="2214" w:type="dxa"/>
          </w:tcPr>
          <w:p w14:paraId="09617FBE" w14:textId="77777777" w:rsidR="009144DE" w:rsidRPr="005421D7" w:rsidRDefault="009144DE" w:rsidP="006113FC">
            <w:pPr>
              <w:jc w:val="center"/>
              <w:rPr>
                <w:sz w:val="24"/>
                <w:szCs w:val="24"/>
              </w:rPr>
            </w:pPr>
            <w:r w:rsidRPr="005421D7">
              <w:rPr>
                <w:sz w:val="24"/>
                <w:szCs w:val="24"/>
              </w:rPr>
              <w:t>1.33</w:t>
            </w:r>
          </w:p>
        </w:tc>
      </w:tr>
      <w:tr w:rsidR="009144DE" w:rsidRPr="005421D7" w14:paraId="4CFF679A" w14:textId="77777777" w:rsidTr="006113FC">
        <w:tc>
          <w:tcPr>
            <w:tcW w:w="2214" w:type="dxa"/>
          </w:tcPr>
          <w:p w14:paraId="2E379B52" w14:textId="77777777" w:rsidR="009144DE" w:rsidRPr="005421D7" w:rsidRDefault="009144DE" w:rsidP="006113FC">
            <w:pPr>
              <w:jc w:val="center"/>
              <w:rPr>
                <w:sz w:val="24"/>
                <w:szCs w:val="24"/>
              </w:rPr>
            </w:pPr>
            <w:r w:rsidRPr="005421D7">
              <w:rPr>
                <w:sz w:val="24"/>
                <w:szCs w:val="24"/>
              </w:rPr>
              <w:t>B</w:t>
            </w:r>
            <w:r w:rsidRPr="00C35FC7">
              <w:rPr>
                <w:color w:val="FFFFFF" w:themeColor="background1"/>
                <w:sz w:val="24"/>
                <w:szCs w:val="24"/>
              </w:rPr>
              <w:t>-</w:t>
            </w:r>
          </w:p>
        </w:tc>
        <w:tc>
          <w:tcPr>
            <w:tcW w:w="2214" w:type="dxa"/>
          </w:tcPr>
          <w:p w14:paraId="264E6957" w14:textId="77777777" w:rsidR="009144DE" w:rsidRPr="005421D7" w:rsidRDefault="009144DE" w:rsidP="006113FC">
            <w:pPr>
              <w:jc w:val="center"/>
              <w:rPr>
                <w:sz w:val="24"/>
                <w:szCs w:val="24"/>
              </w:rPr>
            </w:pPr>
            <w:r w:rsidRPr="005421D7">
              <w:rPr>
                <w:sz w:val="24"/>
                <w:szCs w:val="24"/>
              </w:rPr>
              <w:t>3.0</w:t>
            </w:r>
          </w:p>
        </w:tc>
        <w:tc>
          <w:tcPr>
            <w:tcW w:w="2214" w:type="dxa"/>
          </w:tcPr>
          <w:p w14:paraId="292BEC33" w14:textId="77777777" w:rsidR="009144DE" w:rsidRPr="005421D7" w:rsidRDefault="009144DE" w:rsidP="006113FC">
            <w:pPr>
              <w:jc w:val="center"/>
              <w:rPr>
                <w:sz w:val="24"/>
                <w:szCs w:val="24"/>
              </w:rPr>
            </w:pPr>
            <w:r w:rsidRPr="005421D7">
              <w:rPr>
                <w:sz w:val="24"/>
                <w:szCs w:val="24"/>
              </w:rPr>
              <w:t>D</w:t>
            </w:r>
            <w:r w:rsidRPr="00C35FC7">
              <w:rPr>
                <w:color w:val="FFFFFF" w:themeColor="background1"/>
                <w:sz w:val="24"/>
                <w:szCs w:val="24"/>
              </w:rPr>
              <w:t>-</w:t>
            </w:r>
          </w:p>
        </w:tc>
        <w:tc>
          <w:tcPr>
            <w:tcW w:w="2214" w:type="dxa"/>
          </w:tcPr>
          <w:p w14:paraId="15111FD8" w14:textId="77777777" w:rsidR="009144DE" w:rsidRPr="005421D7" w:rsidRDefault="009144DE" w:rsidP="006113FC">
            <w:pPr>
              <w:jc w:val="center"/>
              <w:rPr>
                <w:sz w:val="24"/>
                <w:szCs w:val="24"/>
              </w:rPr>
            </w:pPr>
            <w:r w:rsidRPr="005421D7">
              <w:rPr>
                <w:sz w:val="24"/>
                <w:szCs w:val="24"/>
              </w:rPr>
              <w:t>1.0</w:t>
            </w:r>
          </w:p>
        </w:tc>
      </w:tr>
      <w:tr w:rsidR="009144DE" w:rsidRPr="005421D7" w14:paraId="1E9F3888" w14:textId="77777777" w:rsidTr="006113FC">
        <w:tc>
          <w:tcPr>
            <w:tcW w:w="2214" w:type="dxa"/>
          </w:tcPr>
          <w:p w14:paraId="7D365961" w14:textId="77777777" w:rsidR="009144DE" w:rsidRPr="005421D7" w:rsidRDefault="009144DE" w:rsidP="006113FC">
            <w:pPr>
              <w:jc w:val="center"/>
              <w:rPr>
                <w:sz w:val="24"/>
                <w:szCs w:val="24"/>
              </w:rPr>
            </w:pPr>
            <w:r w:rsidRPr="005421D7">
              <w:rPr>
                <w:sz w:val="24"/>
                <w:szCs w:val="24"/>
              </w:rPr>
              <w:t>B-</w:t>
            </w:r>
          </w:p>
        </w:tc>
        <w:tc>
          <w:tcPr>
            <w:tcW w:w="2214" w:type="dxa"/>
          </w:tcPr>
          <w:p w14:paraId="290FE7A9" w14:textId="77777777" w:rsidR="009144DE" w:rsidRPr="005421D7" w:rsidRDefault="009144DE" w:rsidP="006113FC">
            <w:pPr>
              <w:jc w:val="center"/>
              <w:rPr>
                <w:sz w:val="24"/>
                <w:szCs w:val="24"/>
              </w:rPr>
            </w:pPr>
            <w:r w:rsidRPr="005421D7">
              <w:rPr>
                <w:sz w:val="24"/>
                <w:szCs w:val="24"/>
              </w:rPr>
              <w:t>2.67</w:t>
            </w:r>
          </w:p>
        </w:tc>
        <w:tc>
          <w:tcPr>
            <w:tcW w:w="2214" w:type="dxa"/>
          </w:tcPr>
          <w:p w14:paraId="6236F6F7" w14:textId="77777777" w:rsidR="009144DE" w:rsidRPr="005421D7" w:rsidRDefault="009144DE" w:rsidP="006113FC">
            <w:pPr>
              <w:jc w:val="center"/>
              <w:rPr>
                <w:sz w:val="24"/>
                <w:szCs w:val="24"/>
              </w:rPr>
            </w:pPr>
            <w:r w:rsidRPr="005421D7">
              <w:rPr>
                <w:sz w:val="24"/>
                <w:szCs w:val="24"/>
              </w:rPr>
              <w:t>D-</w:t>
            </w:r>
          </w:p>
        </w:tc>
        <w:tc>
          <w:tcPr>
            <w:tcW w:w="2214" w:type="dxa"/>
          </w:tcPr>
          <w:p w14:paraId="71AD40E3" w14:textId="77777777" w:rsidR="009144DE" w:rsidRPr="005421D7" w:rsidRDefault="009144DE" w:rsidP="006113FC">
            <w:pPr>
              <w:jc w:val="center"/>
              <w:rPr>
                <w:sz w:val="24"/>
                <w:szCs w:val="24"/>
              </w:rPr>
            </w:pPr>
            <w:r w:rsidRPr="005421D7">
              <w:rPr>
                <w:sz w:val="24"/>
                <w:szCs w:val="24"/>
              </w:rPr>
              <w:t>0.67</w:t>
            </w:r>
          </w:p>
        </w:tc>
      </w:tr>
      <w:tr w:rsidR="009144DE" w:rsidRPr="005421D7" w14:paraId="7A609BD6" w14:textId="77777777" w:rsidTr="006113FC">
        <w:tc>
          <w:tcPr>
            <w:tcW w:w="2214" w:type="dxa"/>
          </w:tcPr>
          <w:p w14:paraId="5D487AD1" w14:textId="77777777" w:rsidR="009144DE" w:rsidRPr="005421D7" w:rsidRDefault="009144DE" w:rsidP="006113FC">
            <w:pPr>
              <w:jc w:val="center"/>
              <w:rPr>
                <w:sz w:val="24"/>
                <w:szCs w:val="24"/>
              </w:rPr>
            </w:pPr>
            <w:r w:rsidRPr="005421D7">
              <w:rPr>
                <w:sz w:val="24"/>
                <w:szCs w:val="24"/>
              </w:rPr>
              <w:t>C+</w:t>
            </w:r>
          </w:p>
        </w:tc>
        <w:tc>
          <w:tcPr>
            <w:tcW w:w="2214" w:type="dxa"/>
          </w:tcPr>
          <w:p w14:paraId="409C93B8" w14:textId="77777777" w:rsidR="009144DE" w:rsidRPr="005421D7" w:rsidRDefault="009144DE" w:rsidP="006113FC">
            <w:pPr>
              <w:jc w:val="center"/>
              <w:rPr>
                <w:sz w:val="24"/>
                <w:szCs w:val="24"/>
              </w:rPr>
            </w:pPr>
            <w:r w:rsidRPr="005421D7">
              <w:rPr>
                <w:sz w:val="24"/>
                <w:szCs w:val="24"/>
              </w:rPr>
              <w:t>2.33</w:t>
            </w:r>
          </w:p>
        </w:tc>
        <w:tc>
          <w:tcPr>
            <w:tcW w:w="2214" w:type="dxa"/>
          </w:tcPr>
          <w:p w14:paraId="51DBD3FB" w14:textId="77777777" w:rsidR="009144DE" w:rsidRPr="005421D7" w:rsidRDefault="009144DE" w:rsidP="006113FC">
            <w:pPr>
              <w:jc w:val="center"/>
              <w:rPr>
                <w:sz w:val="24"/>
                <w:szCs w:val="24"/>
              </w:rPr>
            </w:pPr>
            <w:r w:rsidRPr="005421D7">
              <w:rPr>
                <w:sz w:val="24"/>
                <w:szCs w:val="24"/>
              </w:rPr>
              <w:t>E</w:t>
            </w:r>
            <w:r w:rsidRPr="00C35FC7">
              <w:rPr>
                <w:color w:val="FFFFFF" w:themeColor="background1"/>
                <w:sz w:val="24"/>
                <w:szCs w:val="24"/>
              </w:rPr>
              <w:t>-</w:t>
            </w:r>
          </w:p>
        </w:tc>
        <w:tc>
          <w:tcPr>
            <w:tcW w:w="2214" w:type="dxa"/>
          </w:tcPr>
          <w:p w14:paraId="796031BA" w14:textId="77777777" w:rsidR="009144DE" w:rsidRPr="005421D7" w:rsidRDefault="009144DE" w:rsidP="006113FC">
            <w:pPr>
              <w:jc w:val="center"/>
              <w:rPr>
                <w:sz w:val="24"/>
                <w:szCs w:val="24"/>
              </w:rPr>
            </w:pPr>
            <w:r w:rsidRPr="005421D7">
              <w:rPr>
                <w:sz w:val="24"/>
                <w:szCs w:val="24"/>
              </w:rPr>
              <w:t>0</w:t>
            </w:r>
          </w:p>
        </w:tc>
      </w:tr>
    </w:tbl>
    <w:p w14:paraId="674756E7" w14:textId="77777777" w:rsidR="009144DE" w:rsidRPr="005421D7" w:rsidRDefault="009144DE" w:rsidP="009144DE">
      <w:pPr>
        <w:rPr>
          <w:sz w:val="24"/>
          <w:szCs w:val="24"/>
        </w:rPr>
      </w:pPr>
    </w:p>
    <w:p w14:paraId="36DDC6FE" w14:textId="77777777" w:rsidR="009144DE" w:rsidRPr="005421D7" w:rsidRDefault="009144DE" w:rsidP="009144DE">
      <w:pPr>
        <w:jc w:val="center"/>
        <w:rPr>
          <w:b/>
          <w:sz w:val="24"/>
          <w:szCs w:val="24"/>
        </w:rPr>
      </w:pPr>
      <w:r w:rsidRPr="005421D7">
        <w:rPr>
          <w:b/>
          <w:sz w:val="24"/>
          <w:szCs w:val="24"/>
        </w:rPr>
        <w:t>STUDENT ACCOMODATIONS</w:t>
      </w:r>
    </w:p>
    <w:p w14:paraId="7527C767" w14:textId="77777777" w:rsidR="009144DE" w:rsidRPr="005421D7" w:rsidRDefault="009144DE" w:rsidP="009144DE">
      <w:pPr>
        <w:rPr>
          <w:sz w:val="24"/>
          <w:szCs w:val="24"/>
        </w:rPr>
      </w:pPr>
      <w:r w:rsidRPr="005421D7">
        <w:rPr>
          <w:sz w:val="24"/>
          <w:szCs w:val="24"/>
        </w:rPr>
        <w:t>Students requesting accommodation for disabilities must first register with the Disability Resource Center  (</w:t>
      </w:r>
      <w:hyperlink r:id="rId11" w:history="1">
        <w:r w:rsidRPr="00CE6ACA">
          <w:rPr>
            <w:rStyle w:val="Hyperlink"/>
            <w:sz w:val="24"/>
            <w:szCs w:val="24"/>
          </w:rPr>
          <w:t>http://www.dso.ufl.edu/drc/</w:t>
        </w:r>
      </w:hyperlink>
      <w:r w:rsidRPr="005421D7">
        <w:rPr>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2199F0D" w14:textId="77777777" w:rsidR="009144DE" w:rsidRPr="005421D7" w:rsidRDefault="009144DE" w:rsidP="009144DE">
      <w:pPr>
        <w:rPr>
          <w:sz w:val="24"/>
          <w:szCs w:val="24"/>
        </w:rPr>
      </w:pPr>
    </w:p>
    <w:p w14:paraId="7BF76719" w14:textId="77777777" w:rsidR="009144DE" w:rsidRPr="005421D7" w:rsidRDefault="009144DE" w:rsidP="009144DE">
      <w:pPr>
        <w:jc w:val="center"/>
        <w:rPr>
          <w:b/>
          <w:sz w:val="24"/>
          <w:szCs w:val="24"/>
        </w:rPr>
      </w:pPr>
      <w:r w:rsidRPr="005421D7">
        <w:rPr>
          <w:b/>
          <w:sz w:val="24"/>
          <w:szCs w:val="24"/>
        </w:rPr>
        <w:t>ACADEMIC HONESTY</w:t>
      </w:r>
    </w:p>
    <w:p w14:paraId="5D3B1ED2" w14:textId="77777777" w:rsidR="009144DE" w:rsidRPr="005421D7" w:rsidRDefault="009144DE" w:rsidP="009144DE">
      <w:pPr>
        <w:rPr>
          <w:sz w:val="24"/>
          <w:szCs w:val="24"/>
        </w:rPr>
      </w:pPr>
      <w:r w:rsidRPr="005421D7">
        <w:rPr>
          <w:sz w:val="24"/>
          <w:szCs w:val="24"/>
        </w:rPr>
        <w:t>Academic honesty and integrity are fundamental values of the University community. Students should be sure that they understand the UF Student Honor Code at</w:t>
      </w:r>
      <w:r>
        <w:rPr>
          <w:sz w:val="24"/>
          <w:szCs w:val="24"/>
        </w:rPr>
        <w:t xml:space="preserve"> </w:t>
      </w:r>
      <w:hyperlink r:id="rId12" w:history="1">
        <w:r w:rsidRPr="00CE6ACA">
          <w:rPr>
            <w:rStyle w:val="Hyperlink"/>
            <w:sz w:val="24"/>
            <w:szCs w:val="24"/>
          </w:rPr>
          <w:t>http://www.dso.ufl.edu/students.php</w:t>
        </w:r>
      </w:hyperlink>
      <w:r w:rsidRPr="005421D7">
        <w:rPr>
          <w:sz w:val="24"/>
          <w:szCs w:val="24"/>
        </w:rPr>
        <w:t>.</w:t>
      </w:r>
    </w:p>
    <w:p w14:paraId="401A3821" w14:textId="77777777" w:rsidR="009144DE" w:rsidRDefault="009144DE" w:rsidP="009144DE">
      <w:pPr>
        <w:rPr>
          <w:sz w:val="24"/>
          <w:szCs w:val="24"/>
        </w:rPr>
      </w:pPr>
    </w:p>
    <w:p w14:paraId="48E81BA9" w14:textId="77777777" w:rsidR="009144DE" w:rsidRPr="004E33C4" w:rsidRDefault="009144DE" w:rsidP="009144DE">
      <w:pPr>
        <w:jc w:val="center"/>
        <w:rPr>
          <w:b/>
          <w:sz w:val="24"/>
          <w:szCs w:val="24"/>
        </w:rPr>
      </w:pPr>
      <w:r w:rsidRPr="004E33C4">
        <w:rPr>
          <w:b/>
          <w:sz w:val="24"/>
          <w:szCs w:val="24"/>
        </w:rPr>
        <w:lastRenderedPageBreak/>
        <w:t>STUDENT COURSE EVALUATIONS</w:t>
      </w:r>
    </w:p>
    <w:p w14:paraId="0B79FBCA" w14:textId="77777777" w:rsidR="009144DE" w:rsidRPr="004E33C4" w:rsidRDefault="009144DE" w:rsidP="009144DE">
      <w:pPr>
        <w:rPr>
          <w:sz w:val="24"/>
          <w:szCs w:val="24"/>
        </w:rPr>
      </w:pPr>
      <w:r w:rsidRPr="004E33C4">
        <w:rPr>
          <w:sz w:val="24"/>
          <w:szCs w:val="24"/>
        </w:rPr>
        <w:t xml:space="preserve">Students can provide feedback on the quality of instruction in this course by completing online evaluations at </w:t>
      </w:r>
      <w:hyperlink r:id="rId13" w:history="1">
        <w:r w:rsidRPr="00CE6ACA">
          <w:rPr>
            <w:rStyle w:val="Hyperlink"/>
            <w:sz w:val="24"/>
            <w:szCs w:val="24"/>
          </w:rPr>
          <w:t>https://evaluations.ufl.edu</w:t>
        </w:r>
      </w:hyperlink>
      <w:r w:rsidRPr="004E33C4">
        <w:rPr>
          <w:sz w:val="24"/>
          <w:szCs w:val="24"/>
        </w:rPr>
        <w:t xml:space="preserve">. Evaluations are typically open during the last two or three weeks of the semester, but students will receive notice of the specific times when they are open. Summary results of these assessments are available to students at </w:t>
      </w:r>
      <w:hyperlink r:id="rId14" w:history="1">
        <w:r w:rsidRPr="00CE6ACA">
          <w:rPr>
            <w:rStyle w:val="Hyperlink"/>
            <w:sz w:val="24"/>
            <w:szCs w:val="24"/>
          </w:rPr>
          <w:t>https://evaluations.ufl.edu/results/</w:t>
        </w:r>
      </w:hyperlink>
      <w:r w:rsidRPr="004E33C4">
        <w:rPr>
          <w:sz w:val="24"/>
          <w:szCs w:val="24"/>
        </w:rPr>
        <w:t xml:space="preserve">. </w:t>
      </w:r>
    </w:p>
    <w:p w14:paraId="14CC7144" w14:textId="77777777" w:rsidR="00B43749" w:rsidRPr="00D37595" w:rsidRDefault="00B43749" w:rsidP="00226D65">
      <w:pPr>
        <w:rPr>
          <w:sz w:val="24"/>
          <w:szCs w:val="24"/>
        </w:rPr>
      </w:pPr>
    </w:p>
    <w:p w14:paraId="3EAEC833" w14:textId="14DEB97D" w:rsidR="00511046" w:rsidRDefault="00511046">
      <w:pPr>
        <w:rPr>
          <w:rFonts w:eastAsia="Times New Roman"/>
          <w:b/>
          <w:color w:val="auto"/>
          <w:sz w:val="24"/>
          <w:szCs w:val="24"/>
        </w:rPr>
      </w:pPr>
      <w:r>
        <w:br w:type="page"/>
      </w:r>
    </w:p>
    <w:p w14:paraId="0A2D98CB" w14:textId="6D333056" w:rsidR="00B43749" w:rsidRPr="00B43749" w:rsidRDefault="00B43749" w:rsidP="00511046">
      <w:pPr>
        <w:rPr>
          <w:rFonts w:eastAsia="Cambria"/>
          <w:b/>
          <w:color w:val="000000"/>
          <w:sz w:val="24"/>
          <w:szCs w:val="24"/>
        </w:rPr>
      </w:pPr>
      <w:r w:rsidRPr="00B43749">
        <w:rPr>
          <w:rFonts w:eastAsia="Cambria"/>
          <w:b/>
          <w:color w:val="000000"/>
          <w:sz w:val="24"/>
          <w:szCs w:val="24"/>
        </w:rPr>
        <w:lastRenderedPageBreak/>
        <w:t>READING LIST</w:t>
      </w:r>
    </w:p>
    <w:p w14:paraId="124B48C4" w14:textId="77777777" w:rsidR="00B43749" w:rsidRPr="00B43749" w:rsidRDefault="00B43749" w:rsidP="00511046">
      <w:pPr>
        <w:rPr>
          <w:rFonts w:eastAsia="Cambria"/>
          <w:color w:val="000000"/>
          <w:sz w:val="24"/>
          <w:szCs w:val="24"/>
        </w:rPr>
      </w:pPr>
    </w:p>
    <w:p w14:paraId="38A952EB" w14:textId="4772897F" w:rsidR="00BD2421" w:rsidRPr="00B43749" w:rsidRDefault="00BD2421" w:rsidP="00511046">
      <w:pPr>
        <w:rPr>
          <w:rFonts w:eastAsia="Cambria"/>
          <w:color w:val="000000"/>
          <w:sz w:val="24"/>
          <w:szCs w:val="24"/>
        </w:rPr>
      </w:pPr>
      <w:r w:rsidRPr="00B43749">
        <w:rPr>
          <w:rFonts w:eastAsia="Cambria"/>
          <w:color w:val="000000"/>
          <w:sz w:val="24"/>
          <w:szCs w:val="24"/>
        </w:rPr>
        <w:t>Bare numbers refer to the casebook.  SA and SEA refer to the Securities Act and Securities Exchange Act, respectively.</w:t>
      </w:r>
    </w:p>
    <w:p w14:paraId="52DEC88D" w14:textId="77777777" w:rsidR="00BD2421" w:rsidRPr="00B43749" w:rsidRDefault="00BD2421" w:rsidP="00511046">
      <w:pPr>
        <w:rPr>
          <w:rFonts w:eastAsia="Cambria"/>
          <w:b/>
          <w:color w:val="000000"/>
          <w:sz w:val="24"/>
          <w:szCs w:val="24"/>
          <w:u w:val="single"/>
        </w:rPr>
      </w:pPr>
    </w:p>
    <w:p w14:paraId="677F4BBD" w14:textId="77777777" w:rsidR="00B12246" w:rsidRPr="00B43749" w:rsidRDefault="00B12246" w:rsidP="00B12246">
      <w:pPr>
        <w:rPr>
          <w:rFonts w:eastAsia="Cambria"/>
          <w:b/>
          <w:color w:val="000000"/>
          <w:sz w:val="24"/>
          <w:szCs w:val="24"/>
          <w:u w:val="single"/>
        </w:rPr>
      </w:pPr>
      <w:r w:rsidRPr="00B43749">
        <w:rPr>
          <w:rFonts w:eastAsia="Cambria"/>
          <w:b/>
          <w:color w:val="000000"/>
          <w:sz w:val="24"/>
          <w:szCs w:val="24"/>
          <w:u w:val="single"/>
        </w:rPr>
        <w:t>Introduction</w:t>
      </w:r>
    </w:p>
    <w:p w14:paraId="19897DEF" w14:textId="77777777" w:rsidR="00B12246" w:rsidRPr="00B43749" w:rsidRDefault="00B12246" w:rsidP="00B12246">
      <w:pPr>
        <w:rPr>
          <w:rFonts w:eastAsia="Cambria"/>
          <w:color w:val="000000"/>
          <w:sz w:val="24"/>
          <w:szCs w:val="24"/>
        </w:rPr>
      </w:pPr>
      <w:r w:rsidRPr="00B43749">
        <w:rPr>
          <w:rFonts w:eastAsia="Cambria"/>
          <w:color w:val="000000"/>
          <w:sz w:val="24"/>
          <w:szCs w:val="24"/>
        </w:rPr>
        <w:tab/>
        <w:t>1-2</w:t>
      </w:r>
    </w:p>
    <w:p w14:paraId="4AB0FF5B" w14:textId="12232523" w:rsidR="00B12246" w:rsidRPr="00B43749" w:rsidRDefault="00B12246" w:rsidP="00B12246">
      <w:pPr>
        <w:rPr>
          <w:rFonts w:eastAsia="Cambria"/>
          <w:color w:val="000000"/>
          <w:sz w:val="24"/>
          <w:szCs w:val="24"/>
        </w:rPr>
      </w:pPr>
      <w:r w:rsidRPr="00B43749">
        <w:rPr>
          <w:rFonts w:eastAsia="Cambria"/>
          <w:color w:val="000000"/>
          <w:sz w:val="24"/>
          <w:szCs w:val="24"/>
        </w:rPr>
        <w:tab/>
      </w:r>
      <w:r w:rsidR="0019590D">
        <w:rPr>
          <w:rFonts w:eastAsia="Cambria"/>
          <w:color w:val="000000"/>
          <w:sz w:val="24"/>
          <w:szCs w:val="24"/>
        </w:rPr>
        <w:t>2-8</w:t>
      </w:r>
      <w:r w:rsidRPr="00B43749">
        <w:rPr>
          <w:rFonts w:eastAsia="Cambria"/>
          <w:color w:val="000000"/>
          <w:sz w:val="24"/>
          <w:szCs w:val="24"/>
        </w:rPr>
        <w:t xml:space="preserve"> (for those requiring background on basic investment instruments) </w:t>
      </w:r>
    </w:p>
    <w:p w14:paraId="525486F9" w14:textId="5C3CEAB1" w:rsidR="00B12246" w:rsidRPr="00B43749" w:rsidRDefault="0019590D" w:rsidP="0019590D">
      <w:pPr>
        <w:rPr>
          <w:rFonts w:eastAsia="Cambria"/>
          <w:color w:val="000000"/>
          <w:sz w:val="24"/>
          <w:szCs w:val="24"/>
        </w:rPr>
      </w:pPr>
      <w:r>
        <w:rPr>
          <w:rFonts w:eastAsia="Cambria"/>
          <w:color w:val="000000"/>
          <w:sz w:val="24"/>
          <w:szCs w:val="24"/>
        </w:rPr>
        <w:tab/>
        <w:t>8</w:t>
      </w:r>
      <w:r w:rsidR="00B12246" w:rsidRPr="00B43749">
        <w:rPr>
          <w:rFonts w:eastAsia="Cambria"/>
          <w:color w:val="000000"/>
          <w:sz w:val="24"/>
          <w:szCs w:val="24"/>
        </w:rPr>
        <w:t>-</w:t>
      </w:r>
      <w:r>
        <w:rPr>
          <w:rFonts w:eastAsia="Cambria"/>
          <w:color w:val="000000"/>
          <w:sz w:val="24"/>
          <w:szCs w:val="24"/>
        </w:rPr>
        <w:t>43</w:t>
      </w:r>
    </w:p>
    <w:p w14:paraId="0FCADC7F" w14:textId="14161DCA" w:rsidR="00B12246" w:rsidRPr="00B43749" w:rsidRDefault="0019590D" w:rsidP="00B12246">
      <w:pPr>
        <w:rPr>
          <w:rFonts w:eastAsia="Cambria"/>
          <w:color w:val="000000"/>
          <w:sz w:val="24"/>
          <w:szCs w:val="24"/>
        </w:rPr>
      </w:pPr>
      <w:r>
        <w:rPr>
          <w:rFonts w:eastAsia="Cambria"/>
          <w:color w:val="000000"/>
          <w:sz w:val="24"/>
          <w:szCs w:val="24"/>
        </w:rPr>
        <w:tab/>
        <w:t>Skim 43-45</w:t>
      </w:r>
    </w:p>
    <w:p w14:paraId="7479A609" w14:textId="77777777" w:rsidR="00B12246" w:rsidRPr="00B43749" w:rsidRDefault="00B12246" w:rsidP="00B12246">
      <w:pPr>
        <w:rPr>
          <w:rFonts w:eastAsia="Cambria"/>
          <w:color w:val="000000"/>
          <w:sz w:val="24"/>
          <w:szCs w:val="24"/>
        </w:rPr>
      </w:pPr>
    </w:p>
    <w:p w14:paraId="79E3A66B" w14:textId="77777777" w:rsidR="00B12246" w:rsidRPr="00B43749" w:rsidRDefault="00B12246" w:rsidP="00B12246">
      <w:pPr>
        <w:rPr>
          <w:rFonts w:eastAsia="Cambria"/>
          <w:b/>
          <w:color w:val="000000"/>
          <w:sz w:val="24"/>
          <w:szCs w:val="24"/>
          <w:u w:val="single"/>
        </w:rPr>
      </w:pPr>
      <w:r w:rsidRPr="00B43749">
        <w:rPr>
          <w:rFonts w:eastAsia="Cambria"/>
          <w:b/>
          <w:color w:val="000000"/>
          <w:sz w:val="24"/>
          <w:szCs w:val="24"/>
          <w:u w:val="single"/>
        </w:rPr>
        <w:t>Materiality</w:t>
      </w:r>
    </w:p>
    <w:p w14:paraId="2D746084" w14:textId="46E1298E" w:rsidR="00B12246" w:rsidRPr="00B43749" w:rsidRDefault="0019590D" w:rsidP="00B12246">
      <w:pPr>
        <w:rPr>
          <w:rFonts w:eastAsia="Cambria"/>
          <w:color w:val="000000"/>
          <w:sz w:val="24"/>
          <w:szCs w:val="24"/>
        </w:rPr>
      </w:pPr>
      <w:r>
        <w:rPr>
          <w:rFonts w:eastAsia="Cambria"/>
          <w:color w:val="000000"/>
          <w:sz w:val="24"/>
          <w:szCs w:val="24"/>
        </w:rPr>
        <w:tab/>
        <w:t>47-58</w:t>
      </w:r>
    </w:p>
    <w:p w14:paraId="64A7755A" w14:textId="66B475AD" w:rsidR="00B12246" w:rsidRPr="00B43749" w:rsidRDefault="0019590D" w:rsidP="00B12246">
      <w:pPr>
        <w:rPr>
          <w:rFonts w:eastAsia="Cambria"/>
          <w:color w:val="000000"/>
          <w:sz w:val="24"/>
          <w:szCs w:val="24"/>
        </w:rPr>
      </w:pPr>
      <w:r>
        <w:rPr>
          <w:rFonts w:eastAsia="Cambria"/>
          <w:color w:val="000000"/>
          <w:sz w:val="24"/>
          <w:szCs w:val="24"/>
        </w:rPr>
        <w:tab/>
        <w:t>63</w:t>
      </w:r>
      <w:r w:rsidR="00B12246" w:rsidRPr="00B43749">
        <w:rPr>
          <w:rFonts w:eastAsia="Cambria"/>
          <w:color w:val="000000"/>
          <w:sz w:val="24"/>
          <w:szCs w:val="24"/>
        </w:rPr>
        <w:t xml:space="preserve"> (begin after </w:t>
      </w:r>
      <w:r>
        <w:rPr>
          <w:rFonts w:eastAsia="Cambria"/>
          <w:color w:val="000000"/>
          <w:sz w:val="24"/>
          <w:szCs w:val="24"/>
        </w:rPr>
        <w:t>hypothetical)-69</w:t>
      </w:r>
    </w:p>
    <w:p w14:paraId="074DEFE4" w14:textId="77777777" w:rsidR="00B12246" w:rsidRPr="00B43749" w:rsidRDefault="00B12246" w:rsidP="00B12246">
      <w:pPr>
        <w:rPr>
          <w:rFonts w:eastAsia="Cambria"/>
          <w:color w:val="000000"/>
          <w:sz w:val="24"/>
          <w:szCs w:val="24"/>
        </w:rPr>
      </w:pPr>
    </w:p>
    <w:p w14:paraId="53F8AA69" w14:textId="77777777" w:rsidR="00B12246" w:rsidRPr="00B43749" w:rsidRDefault="00B12246" w:rsidP="00B12246">
      <w:pPr>
        <w:rPr>
          <w:rFonts w:eastAsia="Cambria"/>
          <w:b/>
          <w:color w:val="000000"/>
          <w:sz w:val="24"/>
          <w:szCs w:val="24"/>
          <w:u w:val="single"/>
        </w:rPr>
      </w:pPr>
      <w:r w:rsidRPr="00B43749">
        <w:rPr>
          <w:rFonts w:eastAsia="Cambria"/>
          <w:b/>
          <w:color w:val="000000"/>
          <w:sz w:val="24"/>
          <w:szCs w:val="24"/>
          <w:u w:val="single"/>
        </w:rPr>
        <w:t>Definition of a Security</w:t>
      </w:r>
    </w:p>
    <w:p w14:paraId="05AE5AE9" w14:textId="637AEBCA" w:rsidR="00B12246" w:rsidRPr="00B43749" w:rsidRDefault="0019590D" w:rsidP="00B12246">
      <w:pPr>
        <w:rPr>
          <w:rFonts w:eastAsia="Cambria"/>
          <w:color w:val="000000"/>
          <w:sz w:val="24"/>
          <w:szCs w:val="24"/>
        </w:rPr>
      </w:pPr>
      <w:r>
        <w:rPr>
          <w:rFonts w:eastAsia="Cambria"/>
          <w:color w:val="000000"/>
          <w:sz w:val="24"/>
          <w:szCs w:val="24"/>
        </w:rPr>
        <w:tab/>
        <w:t>95</w:t>
      </w:r>
      <w:r w:rsidR="00B12246" w:rsidRPr="00B43749">
        <w:rPr>
          <w:rFonts w:eastAsia="Cambria"/>
          <w:color w:val="000000"/>
          <w:sz w:val="24"/>
          <w:szCs w:val="24"/>
        </w:rPr>
        <w:t>-</w:t>
      </w:r>
      <w:r>
        <w:rPr>
          <w:rFonts w:eastAsia="Cambria"/>
          <w:color w:val="000000"/>
          <w:sz w:val="24"/>
          <w:szCs w:val="24"/>
        </w:rPr>
        <w:t>98</w:t>
      </w:r>
    </w:p>
    <w:p w14:paraId="0CE24B2E" w14:textId="77777777" w:rsidR="00B12246" w:rsidRPr="00B43749" w:rsidRDefault="00B12246" w:rsidP="00B12246">
      <w:pPr>
        <w:rPr>
          <w:rFonts w:eastAsia="Cambria"/>
          <w:color w:val="000000"/>
          <w:sz w:val="24"/>
          <w:szCs w:val="24"/>
        </w:rPr>
      </w:pPr>
      <w:r w:rsidRPr="00B43749">
        <w:rPr>
          <w:rFonts w:eastAsia="Cambria"/>
          <w:color w:val="000000"/>
          <w:sz w:val="24"/>
          <w:szCs w:val="24"/>
        </w:rPr>
        <w:tab/>
        <w:t>SA § 2(a)(1); SEA § 3(a)(10) (note these are substantively the same)</w:t>
      </w:r>
    </w:p>
    <w:p w14:paraId="606ACF78" w14:textId="576E07F2" w:rsidR="00B12246" w:rsidRPr="00B43749" w:rsidRDefault="0019590D" w:rsidP="00B12246">
      <w:pPr>
        <w:rPr>
          <w:rFonts w:eastAsia="Cambria"/>
          <w:color w:val="000000"/>
          <w:sz w:val="24"/>
          <w:szCs w:val="24"/>
        </w:rPr>
      </w:pPr>
      <w:r>
        <w:rPr>
          <w:rFonts w:eastAsia="Cambria"/>
          <w:color w:val="000000"/>
          <w:sz w:val="24"/>
          <w:szCs w:val="24"/>
        </w:rPr>
        <w:tab/>
        <w:t>98-122</w:t>
      </w:r>
    </w:p>
    <w:p w14:paraId="7CA60B6D" w14:textId="77777777" w:rsidR="00B12246" w:rsidRPr="00B43749" w:rsidRDefault="00B12246" w:rsidP="00B12246">
      <w:pPr>
        <w:rPr>
          <w:rFonts w:eastAsia="Cambria"/>
          <w:color w:val="000000"/>
          <w:sz w:val="24"/>
          <w:szCs w:val="24"/>
        </w:rPr>
      </w:pPr>
    </w:p>
    <w:p w14:paraId="091156D4" w14:textId="77777777" w:rsidR="00B12246" w:rsidRPr="00B43749" w:rsidRDefault="00B12246" w:rsidP="00B12246">
      <w:pPr>
        <w:rPr>
          <w:rFonts w:eastAsia="Cambria"/>
          <w:b/>
          <w:color w:val="000000"/>
          <w:sz w:val="24"/>
          <w:szCs w:val="24"/>
          <w:u w:val="single"/>
        </w:rPr>
      </w:pPr>
      <w:r w:rsidRPr="00B43749">
        <w:rPr>
          <w:rFonts w:eastAsia="Cambria"/>
          <w:b/>
          <w:color w:val="000000"/>
          <w:sz w:val="24"/>
          <w:szCs w:val="24"/>
          <w:u w:val="single"/>
        </w:rPr>
        <w:t>Disclosure</w:t>
      </w:r>
    </w:p>
    <w:p w14:paraId="793CAACD" w14:textId="2E492804" w:rsidR="00B12246" w:rsidRPr="00B43749" w:rsidRDefault="003112CC" w:rsidP="00B12246">
      <w:pPr>
        <w:rPr>
          <w:rFonts w:eastAsia="Cambria"/>
          <w:color w:val="000000"/>
          <w:sz w:val="24"/>
          <w:szCs w:val="24"/>
        </w:rPr>
      </w:pPr>
      <w:r>
        <w:rPr>
          <w:rFonts w:eastAsia="Cambria"/>
          <w:color w:val="000000"/>
          <w:sz w:val="24"/>
          <w:szCs w:val="24"/>
        </w:rPr>
        <w:tab/>
        <w:t>161-173</w:t>
      </w:r>
    </w:p>
    <w:p w14:paraId="724E1C2B" w14:textId="43B99BEF" w:rsidR="00B12246" w:rsidRPr="00B43749" w:rsidRDefault="00B12246" w:rsidP="003112CC">
      <w:pPr>
        <w:ind w:left="720" w:hanging="720"/>
        <w:rPr>
          <w:rFonts w:eastAsia="Cambria"/>
          <w:color w:val="000000"/>
          <w:sz w:val="24"/>
          <w:szCs w:val="24"/>
        </w:rPr>
      </w:pPr>
      <w:r w:rsidRPr="00B43749">
        <w:rPr>
          <w:rFonts w:eastAsia="Cambria"/>
          <w:color w:val="000000"/>
          <w:sz w:val="24"/>
          <w:szCs w:val="24"/>
        </w:rPr>
        <w:tab/>
        <w:t xml:space="preserve">Pull up </w:t>
      </w:r>
      <w:r w:rsidR="003112CC">
        <w:rPr>
          <w:rFonts w:eastAsia="Cambria"/>
          <w:color w:val="000000"/>
          <w:sz w:val="24"/>
          <w:szCs w:val="24"/>
        </w:rPr>
        <w:t>your favorite</w:t>
      </w:r>
      <w:r w:rsidRPr="00B43749">
        <w:rPr>
          <w:rFonts w:eastAsia="Cambria"/>
          <w:color w:val="000000"/>
          <w:sz w:val="24"/>
          <w:szCs w:val="24"/>
        </w:rPr>
        <w:t xml:space="preserve"> company on EDGAR, </w:t>
      </w:r>
      <w:r w:rsidR="003112CC">
        <w:rPr>
          <w:rFonts w:eastAsia="Cambria"/>
          <w:color w:val="000000"/>
          <w:sz w:val="24"/>
          <w:szCs w:val="24"/>
        </w:rPr>
        <w:t xml:space="preserve">find its most recent </w:t>
      </w:r>
      <w:r w:rsidRPr="00B43749">
        <w:rPr>
          <w:rFonts w:eastAsia="Cambria"/>
          <w:color w:val="000000"/>
          <w:sz w:val="24"/>
          <w:szCs w:val="24"/>
        </w:rPr>
        <w:t xml:space="preserve">8-K, </w:t>
      </w:r>
      <w:r w:rsidR="003112CC">
        <w:rPr>
          <w:rFonts w:eastAsia="Cambria"/>
          <w:color w:val="000000"/>
          <w:sz w:val="24"/>
          <w:szCs w:val="24"/>
        </w:rPr>
        <w:t>and figure out why that 8-K was required to be filed.</w:t>
      </w:r>
    </w:p>
    <w:p w14:paraId="399B93C9" w14:textId="20FAF63E" w:rsidR="00B12246" w:rsidRPr="00B43749" w:rsidRDefault="00B12246" w:rsidP="00B12246">
      <w:pPr>
        <w:rPr>
          <w:rFonts w:eastAsia="Cambria"/>
          <w:color w:val="000000"/>
          <w:sz w:val="24"/>
          <w:szCs w:val="24"/>
        </w:rPr>
      </w:pPr>
      <w:r w:rsidRPr="00B43749">
        <w:rPr>
          <w:rFonts w:eastAsia="Cambria"/>
          <w:color w:val="000000"/>
          <w:sz w:val="24"/>
          <w:szCs w:val="24"/>
        </w:rPr>
        <w:tab/>
      </w:r>
      <w:r w:rsidR="003112CC">
        <w:rPr>
          <w:rFonts w:eastAsia="Cambria"/>
          <w:color w:val="000000"/>
          <w:sz w:val="24"/>
          <w:szCs w:val="24"/>
        </w:rPr>
        <w:t>176-179</w:t>
      </w:r>
    </w:p>
    <w:p w14:paraId="20814ABB" w14:textId="702A3258" w:rsidR="00B12246" w:rsidRPr="00B43749" w:rsidRDefault="00B12246" w:rsidP="00B12246">
      <w:pPr>
        <w:rPr>
          <w:rFonts w:eastAsia="Cambria"/>
          <w:color w:val="000000"/>
          <w:sz w:val="24"/>
          <w:szCs w:val="24"/>
        </w:rPr>
      </w:pPr>
      <w:r w:rsidRPr="00B43749">
        <w:rPr>
          <w:rFonts w:eastAsia="Cambria"/>
          <w:color w:val="000000"/>
          <w:sz w:val="24"/>
          <w:szCs w:val="24"/>
        </w:rPr>
        <w:tab/>
      </w:r>
      <w:r w:rsidR="003112CC">
        <w:rPr>
          <w:rFonts w:eastAsia="Cambria"/>
          <w:color w:val="000000"/>
          <w:sz w:val="24"/>
          <w:szCs w:val="24"/>
        </w:rPr>
        <w:t>188-189</w:t>
      </w:r>
    </w:p>
    <w:p w14:paraId="1B1CB111" w14:textId="6773AEA9" w:rsidR="00B12246" w:rsidRPr="00B43749" w:rsidRDefault="00B12246" w:rsidP="00B12246">
      <w:pPr>
        <w:rPr>
          <w:rFonts w:eastAsia="Cambria"/>
          <w:color w:val="000000"/>
          <w:sz w:val="24"/>
          <w:szCs w:val="24"/>
        </w:rPr>
      </w:pPr>
      <w:r w:rsidRPr="00B43749">
        <w:rPr>
          <w:rFonts w:eastAsia="Cambria"/>
          <w:color w:val="000000"/>
          <w:sz w:val="24"/>
          <w:szCs w:val="24"/>
        </w:rPr>
        <w:tab/>
      </w:r>
      <w:r w:rsidR="003112CC">
        <w:rPr>
          <w:rFonts w:eastAsia="Cambria"/>
          <w:color w:val="000000"/>
          <w:sz w:val="24"/>
          <w:szCs w:val="24"/>
        </w:rPr>
        <w:t>19</w:t>
      </w:r>
      <w:r w:rsidRPr="00B43749">
        <w:rPr>
          <w:rFonts w:eastAsia="Cambria"/>
          <w:color w:val="000000"/>
          <w:sz w:val="24"/>
          <w:szCs w:val="24"/>
        </w:rPr>
        <w:t xml:space="preserve">6 </w:t>
      </w:r>
      <w:r w:rsidR="003112CC">
        <w:rPr>
          <w:rFonts w:eastAsia="Cambria"/>
          <w:color w:val="000000"/>
          <w:sz w:val="24"/>
          <w:szCs w:val="24"/>
        </w:rPr>
        <w:t>(</w:t>
      </w:r>
      <w:r w:rsidRPr="00B43749">
        <w:rPr>
          <w:rFonts w:eastAsia="Cambria"/>
          <w:color w:val="000000"/>
          <w:sz w:val="24"/>
          <w:szCs w:val="24"/>
        </w:rPr>
        <w:t>Hypo 5</w:t>
      </w:r>
      <w:r w:rsidR="003112CC">
        <w:rPr>
          <w:rFonts w:eastAsia="Cambria"/>
          <w:color w:val="000000"/>
          <w:sz w:val="24"/>
          <w:szCs w:val="24"/>
        </w:rPr>
        <w:t>)</w:t>
      </w:r>
    </w:p>
    <w:p w14:paraId="36C19771" w14:textId="77777777" w:rsidR="00B12246" w:rsidRPr="00B43749" w:rsidRDefault="00B12246" w:rsidP="00B12246">
      <w:pPr>
        <w:rPr>
          <w:rFonts w:eastAsia="Cambria"/>
          <w:color w:val="000000"/>
          <w:sz w:val="24"/>
          <w:szCs w:val="24"/>
        </w:rPr>
      </w:pPr>
      <w:r w:rsidRPr="00B43749">
        <w:rPr>
          <w:rFonts w:eastAsia="Cambria"/>
          <w:color w:val="000000"/>
          <w:sz w:val="24"/>
          <w:szCs w:val="24"/>
        </w:rPr>
        <w:tab/>
      </w:r>
    </w:p>
    <w:p w14:paraId="3BDBA1B8" w14:textId="77777777" w:rsidR="00B12246" w:rsidRPr="00B43749" w:rsidRDefault="00B12246" w:rsidP="00B12246">
      <w:pPr>
        <w:rPr>
          <w:rFonts w:eastAsia="Cambria"/>
          <w:b/>
          <w:color w:val="000000"/>
          <w:sz w:val="24"/>
          <w:szCs w:val="24"/>
          <w:u w:val="single"/>
        </w:rPr>
      </w:pPr>
      <w:r w:rsidRPr="00B43749">
        <w:rPr>
          <w:rFonts w:eastAsia="Cambria"/>
          <w:b/>
          <w:color w:val="000000"/>
          <w:sz w:val="24"/>
          <w:szCs w:val="24"/>
          <w:u w:val="single"/>
        </w:rPr>
        <w:t>10b-5</w:t>
      </w:r>
    </w:p>
    <w:p w14:paraId="73D7D73F" w14:textId="768DF106" w:rsidR="00B12246" w:rsidRPr="00B43749" w:rsidRDefault="00B12246" w:rsidP="00B12246">
      <w:pPr>
        <w:rPr>
          <w:rFonts w:eastAsia="Cambria"/>
          <w:color w:val="000000"/>
          <w:sz w:val="24"/>
          <w:szCs w:val="24"/>
        </w:rPr>
      </w:pPr>
      <w:r w:rsidRPr="00B43749">
        <w:rPr>
          <w:rFonts w:eastAsia="Cambria"/>
          <w:color w:val="000000"/>
          <w:sz w:val="24"/>
          <w:szCs w:val="24"/>
        </w:rPr>
        <w:lastRenderedPageBreak/>
        <w:tab/>
      </w:r>
      <w:r w:rsidR="00591BBC">
        <w:rPr>
          <w:rFonts w:eastAsia="Cambria"/>
          <w:color w:val="000000"/>
          <w:sz w:val="24"/>
          <w:szCs w:val="24"/>
        </w:rPr>
        <w:t>197-211</w:t>
      </w:r>
    </w:p>
    <w:p w14:paraId="3A699010" w14:textId="30291BE8" w:rsidR="00B12246" w:rsidRPr="00B43749" w:rsidRDefault="00B12246" w:rsidP="00B12246">
      <w:pPr>
        <w:rPr>
          <w:rFonts w:eastAsia="Cambria"/>
          <w:color w:val="000000"/>
          <w:sz w:val="24"/>
          <w:szCs w:val="24"/>
        </w:rPr>
      </w:pPr>
      <w:r w:rsidRPr="00B43749">
        <w:rPr>
          <w:rFonts w:eastAsia="Cambria"/>
          <w:color w:val="000000"/>
          <w:sz w:val="24"/>
          <w:szCs w:val="24"/>
        </w:rPr>
        <w:tab/>
        <w:t>2</w:t>
      </w:r>
      <w:r w:rsidR="00591BBC">
        <w:rPr>
          <w:rFonts w:eastAsia="Cambria"/>
          <w:color w:val="000000"/>
          <w:sz w:val="24"/>
          <w:szCs w:val="24"/>
        </w:rPr>
        <w:t>27</w:t>
      </w:r>
      <w:r w:rsidRPr="00B43749">
        <w:rPr>
          <w:rFonts w:eastAsia="Cambria"/>
          <w:color w:val="000000"/>
          <w:sz w:val="24"/>
          <w:szCs w:val="24"/>
        </w:rPr>
        <w:t>-2</w:t>
      </w:r>
      <w:r w:rsidR="00591BBC">
        <w:rPr>
          <w:rFonts w:eastAsia="Cambria"/>
          <w:color w:val="000000"/>
          <w:sz w:val="24"/>
          <w:szCs w:val="24"/>
        </w:rPr>
        <w:t>39</w:t>
      </w:r>
    </w:p>
    <w:p w14:paraId="7EC8792B" w14:textId="2ED2560C" w:rsidR="00B12246" w:rsidRPr="00B43749" w:rsidRDefault="00B12246" w:rsidP="00B12246">
      <w:pPr>
        <w:rPr>
          <w:rFonts w:eastAsia="Cambria"/>
          <w:color w:val="000000"/>
          <w:sz w:val="24"/>
          <w:szCs w:val="24"/>
        </w:rPr>
      </w:pPr>
      <w:r w:rsidRPr="00B43749">
        <w:rPr>
          <w:rFonts w:eastAsia="Cambria"/>
          <w:color w:val="000000"/>
          <w:sz w:val="24"/>
          <w:szCs w:val="24"/>
        </w:rPr>
        <w:tab/>
        <w:t>2</w:t>
      </w:r>
      <w:r w:rsidR="00591BBC">
        <w:rPr>
          <w:rFonts w:eastAsia="Cambria"/>
          <w:color w:val="000000"/>
          <w:sz w:val="24"/>
          <w:szCs w:val="24"/>
        </w:rPr>
        <w:t>46</w:t>
      </w:r>
      <w:r w:rsidRPr="00B43749">
        <w:rPr>
          <w:rFonts w:eastAsia="Cambria"/>
          <w:color w:val="000000"/>
          <w:sz w:val="24"/>
          <w:szCs w:val="24"/>
        </w:rPr>
        <w:t>-2</w:t>
      </w:r>
      <w:r w:rsidR="00591BBC">
        <w:rPr>
          <w:rFonts w:eastAsia="Cambria"/>
          <w:color w:val="000000"/>
          <w:sz w:val="24"/>
          <w:szCs w:val="24"/>
        </w:rPr>
        <w:t>50</w:t>
      </w:r>
    </w:p>
    <w:p w14:paraId="6BDD7223" w14:textId="77777777" w:rsidR="00B12246" w:rsidRPr="00B43749" w:rsidRDefault="00B12246" w:rsidP="00B12246">
      <w:pPr>
        <w:ind w:firstLine="720"/>
        <w:rPr>
          <w:rFonts w:eastAsia="Cambria"/>
          <w:color w:val="000000"/>
          <w:sz w:val="24"/>
          <w:szCs w:val="24"/>
        </w:rPr>
      </w:pPr>
      <w:r w:rsidRPr="00B43749">
        <w:rPr>
          <w:rFonts w:eastAsia="Cambria"/>
          <w:color w:val="000000"/>
          <w:sz w:val="24"/>
          <w:szCs w:val="24"/>
        </w:rPr>
        <w:t>SEA § 21D(b)(1), (b)(2), (b)(3)(A), (b)(3)(B)</w:t>
      </w:r>
    </w:p>
    <w:p w14:paraId="29708AF3" w14:textId="464FB21F" w:rsidR="00B12246" w:rsidRPr="00B43749" w:rsidRDefault="00591BBC" w:rsidP="00B12246">
      <w:pPr>
        <w:rPr>
          <w:rFonts w:eastAsia="Cambria"/>
          <w:color w:val="000000"/>
          <w:sz w:val="24"/>
          <w:szCs w:val="24"/>
        </w:rPr>
      </w:pPr>
      <w:r>
        <w:rPr>
          <w:rFonts w:eastAsia="Cambria"/>
          <w:color w:val="000000"/>
          <w:sz w:val="24"/>
          <w:szCs w:val="24"/>
        </w:rPr>
        <w:tab/>
        <w:t>251-257</w:t>
      </w:r>
    </w:p>
    <w:p w14:paraId="5850B0D6" w14:textId="5DDA5DB9" w:rsidR="007062DA" w:rsidRDefault="007062DA" w:rsidP="00B12246">
      <w:pPr>
        <w:rPr>
          <w:rFonts w:eastAsia="Cambria"/>
          <w:color w:val="000000"/>
          <w:sz w:val="24"/>
          <w:szCs w:val="24"/>
        </w:rPr>
      </w:pPr>
      <w:r>
        <w:rPr>
          <w:rFonts w:eastAsia="Cambria"/>
          <w:color w:val="000000"/>
          <w:sz w:val="24"/>
          <w:szCs w:val="24"/>
        </w:rPr>
        <w:tab/>
        <w:t>Excerpt from Basic v. Levinson</w:t>
      </w:r>
    </w:p>
    <w:p w14:paraId="5D8F44D9" w14:textId="5A54D767" w:rsidR="00B12246" w:rsidRPr="00B43749" w:rsidRDefault="009144DE" w:rsidP="007062DA">
      <w:pPr>
        <w:ind w:firstLine="720"/>
        <w:rPr>
          <w:rFonts w:eastAsia="Cambria"/>
          <w:color w:val="000000"/>
          <w:sz w:val="24"/>
          <w:szCs w:val="24"/>
        </w:rPr>
      </w:pPr>
      <w:r>
        <w:rPr>
          <w:rFonts w:eastAsia="Cambria"/>
          <w:color w:val="000000"/>
          <w:sz w:val="24"/>
          <w:szCs w:val="24"/>
        </w:rPr>
        <w:t>284-305</w:t>
      </w:r>
    </w:p>
    <w:p w14:paraId="5C5117FD" w14:textId="444B37D4" w:rsidR="00B12246" w:rsidRPr="00B43749" w:rsidRDefault="00B12246" w:rsidP="00B12246">
      <w:pPr>
        <w:rPr>
          <w:rFonts w:eastAsia="Cambria"/>
          <w:color w:val="000000"/>
          <w:sz w:val="24"/>
          <w:szCs w:val="24"/>
        </w:rPr>
      </w:pPr>
      <w:r w:rsidRPr="00B43749">
        <w:rPr>
          <w:rFonts w:eastAsia="Cambria"/>
          <w:color w:val="000000"/>
          <w:sz w:val="24"/>
          <w:szCs w:val="24"/>
        </w:rPr>
        <w:tab/>
      </w:r>
      <w:r w:rsidR="005D2CDA">
        <w:rPr>
          <w:rFonts w:eastAsia="Cambria"/>
          <w:color w:val="000000"/>
          <w:sz w:val="24"/>
          <w:szCs w:val="24"/>
        </w:rPr>
        <w:t>311-313 (ignore face-to-face damages)</w:t>
      </w:r>
    </w:p>
    <w:p w14:paraId="2E1238FA" w14:textId="77777777" w:rsidR="00B12246" w:rsidRPr="00B43749" w:rsidRDefault="00B12246" w:rsidP="00B12246">
      <w:pPr>
        <w:rPr>
          <w:rFonts w:eastAsia="Cambria"/>
          <w:color w:val="000000"/>
          <w:sz w:val="24"/>
          <w:szCs w:val="24"/>
        </w:rPr>
      </w:pPr>
    </w:p>
    <w:p w14:paraId="0C209029" w14:textId="77777777" w:rsidR="00B12246" w:rsidRPr="00B43749" w:rsidRDefault="00B12246" w:rsidP="00B12246">
      <w:pPr>
        <w:rPr>
          <w:rFonts w:eastAsia="Cambria"/>
          <w:b/>
          <w:color w:val="000000"/>
          <w:sz w:val="24"/>
          <w:szCs w:val="24"/>
          <w:u w:val="single"/>
        </w:rPr>
      </w:pPr>
      <w:r w:rsidRPr="00B43749">
        <w:rPr>
          <w:rFonts w:eastAsia="Cambria"/>
          <w:b/>
          <w:color w:val="000000"/>
          <w:sz w:val="24"/>
          <w:szCs w:val="24"/>
          <w:u w:val="single"/>
        </w:rPr>
        <w:t>Insider Trading</w:t>
      </w:r>
    </w:p>
    <w:p w14:paraId="5847375B" w14:textId="1EBD3E37" w:rsidR="00B12246" w:rsidRPr="00B43749" w:rsidRDefault="00B12246" w:rsidP="00B12246">
      <w:pPr>
        <w:rPr>
          <w:rFonts w:eastAsia="Cambria"/>
          <w:color w:val="000000"/>
          <w:sz w:val="24"/>
          <w:szCs w:val="24"/>
        </w:rPr>
      </w:pPr>
      <w:r w:rsidRPr="00B43749">
        <w:rPr>
          <w:rFonts w:eastAsia="Cambria"/>
          <w:color w:val="000000"/>
          <w:sz w:val="24"/>
          <w:szCs w:val="24"/>
        </w:rPr>
        <w:tab/>
      </w:r>
      <w:r w:rsidR="00D50B23">
        <w:rPr>
          <w:rFonts w:eastAsia="Cambria"/>
          <w:color w:val="000000"/>
          <w:sz w:val="24"/>
          <w:szCs w:val="24"/>
        </w:rPr>
        <w:t>329-331</w:t>
      </w:r>
    </w:p>
    <w:p w14:paraId="2D08E511" w14:textId="77777777" w:rsidR="00D50B23" w:rsidRDefault="00B12246" w:rsidP="00B12246">
      <w:pPr>
        <w:rPr>
          <w:rFonts w:eastAsia="Cambria"/>
          <w:color w:val="000000"/>
          <w:sz w:val="24"/>
          <w:szCs w:val="24"/>
        </w:rPr>
      </w:pPr>
      <w:r w:rsidRPr="00B43749">
        <w:rPr>
          <w:rFonts w:eastAsia="Cambria"/>
          <w:color w:val="000000"/>
          <w:sz w:val="24"/>
          <w:szCs w:val="24"/>
        </w:rPr>
        <w:tab/>
        <w:t>3</w:t>
      </w:r>
      <w:r w:rsidR="00D50B23">
        <w:rPr>
          <w:rFonts w:eastAsia="Cambria"/>
          <w:color w:val="000000"/>
          <w:sz w:val="24"/>
          <w:szCs w:val="24"/>
        </w:rPr>
        <w:t>36-351</w:t>
      </w:r>
    </w:p>
    <w:p w14:paraId="4F651C98" w14:textId="724ECAC1" w:rsidR="00B12246" w:rsidRPr="00B43749" w:rsidRDefault="00D50B23" w:rsidP="00D50B23">
      <w:pPr>
        <w:ind w:firstLine="720"/>
        <w:rPr>
          <w:rFonts w:eastAsia="Cambria"/>
          <w:color w:val="000000"/>
          <w:sz w:val="24"/>
          <w:szCs w:val="24"/>
        </w:rPr>
      </w:pPr>
      <w:r>
        <w:rPr>
          <w:rFonts w:eastAsia="Cambria"/>
          <w:color w:val="000000"/>
          <w:sz w:val="24"/>
          <w:szCs w:val="24"/>
        </w:rPr>
        <w:t xml:space="preserve">362-371 (skim discussion Rule 14e-3 on pp. </w:t>
      </w:r>
      <w:r w:rsidR="00B12246" w:rsidRPr="00B43749">
        <w:rPr>
          <w:rFonts w:eastAsia="Cambria"/>
          <w:color w:val="000000"/>
          <w:sz w:val="24"/>
          <w:szCs w:val="24"/>
        </w:rPr>
        <w:t>368</w:t>
      </w:r>
      <w:r>
        <w:rPr>
          <w:rFonts w:eastAsia="Cambria"/>
          <w:color w:val="000000"/>
          <w:sz w:val="24"/>
          <w:szCs w:val="24"/>
        </w:rPr>
        <w:t>-371</w:t>
      </w:r>
      <w:r w:rsidR="00B12246" w:rsidRPr="00B43749">
        <w:rPr>
          <w:rFonts w:eastAsia="Cambria"/>
          <w:color w:val="000000"/>
          <w:sz w:val="24"/>
          <w:szCs w:val="24"/>
        </w:rPr>
        <w:t>)</w:t>
      </w:r>
    </w:p>
    <w:p w14:paraId="7506E602" w14:textId="77777777" w:rsidR="00B12246" w:rsidRPr="00B43749" w:rsidRDefault="00B12246" w:rsidP="00B12246">
      <w:pPr>
        <w:rPr>
          <w:rFonts w:eastAsia="Cambria"/>
          <w:color w:val="000000"/>
          <w:sz w:val="24"/>
          <w:szCs w:val="24"/>
        </w:rPr>
      </w:pPr>
      <w:r w:rsidRPr="00B43749">
        <w:rPr>
          <w:rFonts w:eastAsia="Cambria"/>
          <w:color w:val="000000"/>
          <w:sz w:val="24"/>
          <w:szCs w:val="24"/>
        </w:rPr>
        <w:tab/>
        <w:t>SEA Rule 10b5-2 (the stand-alone rule Rule 10b5-2, not a subpart of Rule 10b-5)</w:t>
      </w:r>
    </w:p>
    <w:p w14:paraId="24B2BF0F" w14:textId="1F5FFE7F" w:rsidR="00B12246" w:rsidRPr="00B43749" w:rsidRDefault="00D50B23" w:rsidP="00B12246">
      <w:pPr>
        <w:rPr>
          <w:rFonts w:eastAsia="Cambria"/>
          <w:color w:val="000000"/>
          <w:sz w:val="24"/>
          <w:szCs w:val="24"/>
        </w:rPr>
      </w:pPr>
      <w:r>
        <w:rPr>
          <w:rFonts w:eastAsia="Cambria"/>
          <w:color w:val="000000"/>
          <w:sz w:val="24"/>
          <w:szCs w:val="24"/>
        </w:rPr>
        <w:tab/>
        <w:t>378-387</w:t>
      </w:r>
    </w:p>
    <w:p w14:paraId="78585E50" w14:textId="77777777" w:rsidR="00B12246" w:rsidRPr="00B43749" w:rsidRDefault="00B12246" w:rsidP="00B12246">
      <w:pPr>
        <w:rPr>
          <w:rFonts w:eastAsia="Cambria"/>
          <w:color w:val="000000"/>
          <w:sz w:val="24"/>
          <w:szCs w:val="24"/>
        </w:rPr>
      </w:pPr>
    </w:p>
    <w:p w14:paraId="71272848" w14:textId="77777777" w:rsidR="00B12246" w:rsidRPr="00B43749" w:rsidRDefault="00B12246" w:rsidP="00B12246">
      <w:pPr>
        <w:rPr>
          <w:rFonts w:eastAsia="Cambria"/>
          <w:color w:val="000000"/>
          <w:sz w:val="24"/>
          <w:szCs w:val="24"/>
        </w:rPr>
      </w:pPr>
    </w:p>
    <w:p w14:paraId="064150DD" w14:textId="77777777" w:rsidR="00B12246" w:rsidRPr="00B43749" w:rsidRDefault="00B12246" w:rsidP="00B12246">
      <w:pPr>
        <w:rPr>
          <w:rFonts w:eastAsia="Cambria"/>
          <w:b/>
          <w:color w:val="000000"/>
          <w:sz w:val="24"/>
          <w:szCs w:val="24"/>
          <w:u w:val="single"/>
        </w:rPr>
      </w:pPr>
      <w:r w:rsidRPr="00B43749">
        <w:rPr>
          <w:rFonts w:eastAsia="Cambria"/>
          <w:b/>
          <w:color w:val="000000"/>
          <w:sz w:val="24"/>
          <w:szCs w:val="24"/>
          <w:u w:val="single"/>
        </w:rPr>
        <w:t>Public Offerings</w:t>
      </w:r>
    </w:p>
    <w:p w14:paraId="47DF1BEE" w14:textId="5174D1BE" w:rsidR="00D06E77" w:rsidRDefault="00D06E77" w:rsidP="00B12246">
      <w:pPr>
        <w:rPr>
          <w:rFonts w:eastAsia="Cambria"/>
          <w:color w:val="000000"/>
          <w:sz w:val="24"/>
          <w:szCs w:val="24"/>
        </w:rPr>
      </w:pPr>
      <w:r>
        <w:rPr>
          <w:rFonts w:eastAsia="Cambria"/>
          <w:color w:val="000000"/>
          <w:sz w:val="24"/>
          <w:szCs w:val="24"/>
        </w:rPr>
        <w:tab/>
        <w:t>393-401</w:t>
      </w:r>
      <w:r w:rsidR="00B12246" w:rsidRPr="00B43749">
        <w:rPr>
          <w:rFonts w:eastAsia="Cambria"/>
          <w:color w:val="000000"/>
          <w:sz w:val="24"/>
          <w:szCs w:val="24"/>
        </w:rPr>
        <w:tab/>
      </w:r>
    </w:p>
    <w:p w14:paraId="1A12BD2B" w14:textId="5931316C" w:rsidR="00B12246" w:rsidRPr="00B43749" w:rsidRDefault="00B12246" w:rsidP="00B12246">
      <w:pPr>
        <w:ind w:firstLine="720"/>
        <w:rPr>
          <w:rFonts w:eastAsia="Cambria"/>
          <w:color w:val="000000"/>
          <w:sz w:val="24"/>
          <w:szCs w:val="24"/>
        </w:rPr>
      </w:pPr>
      <w:r w:rsidRPr="00B43749">
        <w:rPr>
          <w:rFonts w:eastAsia="Cambria"/>
          <w:i/>
          <w:color w:val="000000"/>
          <w:sz w:val="24"/>
          <w:szCs w:val="24"/>
        </w:rPr>
        <w:t>Where Banks Really Make Money on IPOs</w:t>
      </w:r>
      <w:r w:rsidRPr="00B43749">
        <w:rPr>
          <w:rFonts w:eastAsia="Cambria"/>
          <w:color w:val="000000"/>
          <w:sz w:val="24"/>
          <w:szCs w:val="24"/>
        </w:rPr>
        <w:t xml:space="preserve">, </w:t>
      </w:r>
      <w:r w:rsidR="00D06E77">
        <w:rPr>
          <w:rFonts w:eastAsia="Cambria"/>
          <w:color w:val="000000"/>
          <w:sz w:val="24"/>
          <w:szCs w:val="24"/>
        </w:rPr>
        <w:t>available on course webpage</w:t>
      </w:r>
      <w:r w:rsidRPr="00B43749">
        <w:rPr>
          <w:rFonts w:eastAsia="Cambria"/>
          <w:color w:val="000000"/>
          <w:sz w:val="24"/>
          <w:szCs w:val="24"/>
        </w:rPr>
        <w:t>.</w:t>
      </w:r>
    </w:p>
    <w:p w14:paraId="3EC642EC" w14:textId="1CE8B559" w:rsidR="00D06E77" w:rsidRDefault="00D06E77" w:rsidP="00B12246">
      <w:pPr>
        <w:ind w:firstLine="720"/>
        <w:rPr>
          <w:rFonts w:eastAsia="Cambria"/>
          <w:color w:val="000000"/>
          <w:sz w:val="24"/>
          <w:szCs w:val="24"/>
        </w:rPr>
      </w:pPr>
      <w:r>
        <w:rPr>
          <w:rFonts w:eastAsia="Cambria"/>
          <w:color w:val="000000"/>
          <w:sz w:val="24"/>
          <w:szCs w:val="24"/>
        </w:rPr>
        <w:t>401-405</w:t>
      </w:r>
    </w:p>
    <w:p w14:paraId="1C070CA2" w14:textId="683F487E" w:rsidR="00B12246" w:rsidRPr="00B43749" w:rsidRDefault="00B12246" w:rsidP="00B12246">
      <w:pPr>
        <w:ind w:left="720" w:hanging="720"/>
        <w:rPr>
          <w:rFonts w:eastAsia="Cambria"/>
          <w:color w:val="000000"/>
          <w:sz w:val="24"/>
          <w:szCs w:val="24"/>
        </w:rPr>
      </w:pPr>
      <w:r w:rsidRPr="00B43749">
        <w:rPr>
          <w:rFonts w:eastAsia="Cambria"/>
          <w:color w:val="000000"/>
          <w:sz w:val="24"/>
          <w:szCs w:val="24"/>
        </w:rPr>
        <w:tab/>
      </w:r>
      <w:r w:rsidR="00D06E77">
        <w:rPr>
          <w:rFonts w:eastAsia="Cambria"/>
          <w:color w:val="000000"/>
          <w:sz w:val="24"/>
          <w:szCs w:val="24"/>
        </w:rPr>
        <w:t xml:space="preserve">Spend five minutes looking at </w:t>
      </w:r>
      <w:r w:rsidRPr="00B43749">
        <w:rPr>
          <w:rFonts w:eastAsia="Cambria"/>
          <w:color w:val="000000"/>
          <w:sz w:val="24"/>
          <w:szCs w:val="24"/>
        </w:rPr>
        <w:t>Facebook S-1,</w:t>
      </w:r>
      <w:r w:rsidR="00D06E77">
        <w:rPr>
          <w:rFonts w:eastAsia="Cambria"/>
          <w:color w:val="000000"/>
          <w:sz w:val="24"/>
          <w:szCs w:val="24"/>
        </w:rPr>
        <w:t xml:space="preserve"> available on course webpage.</w:t>
      </w:r>
      <w:r w:rsidRPr="00B43749">
        <w:rPr>
          <w:rFonts w:eastAsia="Cambria"/>
          <w:color w:val="000000"/>
          <w:sz w:val="24"/>
          <w:szCs w:val="24"/>
        </w:rPr>
        <w:t xml:space="preserve"> </w:t>
      </w:r>
    </w:p>
    <w:p w14:paraId="7B1E6C53" w14:textId="10026855" w:rsidR="00D06E77" w:rsidRDefault="00D06E77" w:rsidP="00D06E77">
      <w:pPr>
        <w:tabs>
          <w:tab w:val="left" w:pos="720"/>
          <w:tab w:val="left" w:pos="1440"/>
          <w:tab w:val="left" w:pos="1830"/>
        </w:tabs>
        <w:rPr>
          <w:rFonts w:eastAsia="Cambria"/>
          <w:color w:val="000000"/>
          <w:sz w:val="24"/>
          <w:szCs w:val="24"/>
        </w:rPr>
      </w:pPr>
      <w:r>
        <w:rPr>
          <w:rFonts w:eastAsia="Cambria"/>
          <w:color w:val="000000"/>
          <w:sz w:val="24"/>
          <w:szCs w:val="24"/>
        </w:rPr>
        <w:tab/>
        <w:t>406-428</w:t>
      </w:r>
      <w:r w:rsidR="00B12246" w:rsidRPr="00B43749">
        <w:rPr>
          <w:rFonts w:eastAsia="Cambria"/>
          <w:color w:val="000000"/>
          <w:sz w:val="24"/>
          <w:szCs w:val="24"/>
        </w:rPr>
        <w:tab/>
      </w:r>
      <w:r>
        <w:rPr>
          <w:rFonts w:eastAsia="Cambria"/>
          <w:color w:val="000000"/>
          <w:sz w:val="24"/>
          <w:szCs w:val="24"/>
        </w:rPr>
        <w:tab/>
      </w:r>
    </w:p>
    <w:p w14:paraId="2466E941" w14:textId="6AEEDD1B" w:rsidR="00B12246" w:rsidRPr="00B43749" w:rsidRDefault="00B12246" w:rsidP="00B12246">
      <w:pPr>
        <w:rPr>
          <w:rFonts w:eastAsia="Cambria"/>
          <w:color w:val="000000"/>
          <w:sz w:val="24"/>
          <w:szCs w:val="24"/>
        </w:rPr>
      </w:pPr>
      <w:r w:rsidRPr="00B43749">
        <w:rPr>
          <w:rFonts w:eastAsia="Cambria"/>
          <w:color w:val="000000"/>
          <w:sz w:val="24"/>
          <w:szCs w:val="24"/>
        </w:rPr>
        <w:tab/>
        <w:t>42</w:t>
      </w:r>
      <w:r w:rsidR="00D06E77">
        <w:rPr>
          <w:rFonts w:eastAsia="Cambria"/>
          <w:color w:val="000000"/>
          <w:sz w:val="24"/>
          <w:szCs w:val="24"/>
        </w:rPr>
        <w:t>8-435 (this likely won’t make much sense until we discuss it in class)</w:t>
      </w:r>
    </w:p>
    <w:p w14:paraId="64F0E929" w14:textId="77777777" w:rsidR="006C19F8" w:rsidRDefault="00D06E77" w:rsidP="00B12246">
      <w:pPr>
        <w:rPr>
          <w:rFonts w:eastAsia="Cambria"/>
          <w:color w:val="000000"/>
          <w:sz w:val="24"/>
          <w:szCs w:val="24"/>
        </w:rPr>
      </w:pPr>
      <w:r>
        <w:rPr>
          <w:rFonts w:eastAsia="Cambria"/>
          <w:color w:val="000000"/>
          <w:sz w:val="24"/>
          <w:szCs w:val="24"/>
        </w:rPr>
        <w:tab/>
        <w:t>435</w:t>
      </w:r>
      <w:r w:rsidR="00B12246" w:rsidRPr="00B43749">
        <w:rPr>
          <w:rFonts w:eastAsia="Cambria"/>
          <w:color w:val="000000"/>
          <w:sz w:val="24"/>
          <w:szCs w:val="24"/>
        </w:rPr>
        <w:t>-</w:t>
      </w:r>
      <w:r w:rsidR="006C19F8">
        <w:rPr>
          <w:rFonts w:eastAsia="Cambria"/>
          <w:color w:val="000000"/>
          <w:sz w:val="24"/>
          <w:szCs w:val="24"/>
        </w:rPr>
        <w:t>437</w:t>
      </w:r>
    </w:p>
    <w:p w14:paraId="295E3193" w14:textId="36E6955C" w:rsidR="00D06E77" w:rsidRDefault="006C19F8" w:rsidP="006C19F8">
      <w:pPr>
        <w:ind w:firstLine="720"/>
        <w:rPr>
          <w:rFonts w:eastAsia="Cambria"/>
          <w:color w:val="000000"/>
          <w:sz w:val="24"/>
          <w:szCs w:val="24"/>
        </w:rPr>
      </w:pPr>
      <w:r>
        <w:rPr>
          <w:rFonts w:eastAsia="Cambria"/>
          <w:color w:val="000000"/>
          <w:sz w:val="24"/>
          <w:szCs w:val="24"/>
        </w:rPr>
        <w:lastRenderedPageBreak/>
        <w:t>441-</w:t>
      </w:r>
      <w:r w:rsidR="00D06E77">
        <w:rPr>
          <w:rFonts w:eastAsia="Cambria"/>
          <w:color w:val="000000"/>
          <w:sz w:val="24"/>
          <w:szCs w:val="24"/>
        </w:rPr>
        <w:t>453</w:t>
      </w:r>
    </w:p>
    <w:p w14:paraId="1C1E6BAE" w14:textId="1CC30F66" w:rsidR="00CD4FCA" w:rsidRDefault="00CD4FCA" w:rsidP="00B12246">
      <w:pPr>
        <w:rPr>
          <w:rFonts w:eastAsia="Cambria"/>
          <w:color w:val="000000"/>
          <w:sz w:val="24"/>
          <w:szCs w:val="24"/>
        </w:rPr>
      </w:pPr>
      <w:r>
        <w:rPr>
          <w:rFonts w:eastAsia="Cambria"/>
          <w:color w:val="000000"/>
          <w:sz w:val="24"/>
          <w:szCs w:val="24"/>
        </w:rPr>
        <w:tab/>
        <w:t>458-466</w:t>
      </w:r>
    </w:p>
    <w:p w14:paraId="2D143EED" w14:textId="77777777" w:rsidR="00B12246" w:rsidRPr="00B43749" w:rsidRDefault="00B12246" w:rsidP="00B12246">
      <w:pPr>
        <w:rPr>
          <w:rFonts w:eastAsia="Cambria"/>
          <w:color w:val="000000"/>
          <w:sz w:val="24"/>
          <w:szCs w:val="24"/>
        </w:rPr>
      </w:pPr>
    </w:p>
    <w:p w14:paraId="7CBECD4E" w14:textId="77777777" w:rsidR="00B12246" w:rsidRPr="00B43749" w:rsidRDefault="00B12246" w:rsidP="00B12246">
      <w:pPr>
        <w:rPr>
          <w:rFonts w:eastAsia="Cambria"/>
          <w:b/>
          <w:color w:val="000000"/>
          <w:sz w:val="24"/>
          <w:szCs w:val="24"/>
          <w:u w:val="single"/>
        </w:rPr>
      </w:pPr>
      <w:r w:rsidRPr="00B43749">
        <w:rPr>
          <w:rFonts w:eastAsia="Cambria"/>
          <w:b/>
          <w:color w:val="000000"/>
          <w:sz w:val="24"/>
          <w:szCs w:val="24"/>
          <w:u w:val="single"/>
        </w:rPr>
        <w:t>’33 Act Liability</w:t>
      </w:r>
    </w:p>
    <w:p w14:paraId="4E0A6174" w14:textId="6D30858C" w:rsidR="004E57DF" w:rsidRDefault="00B12246" w:rsidP="00B12246">
      <w:pPr>
        <w:rPr>
          <w:rFonts w:eastAsia="Cambria"/>
          <w:color w:val="000000"/>
          <w:sz w:val="24"/>
          <w:szCs w:val="24"/>
        </w:rPr>
      </w:pPr>
      <w:r w:rsidRPr="00B43749">
        <w:rPr>
          <w:rFonts w:eastAsia="Cambria"/>
          <w:color w:val="000000"/>
          <w:sz w:val="24"/>
          <w:szCs w:val="24"/>
        </w:rPr>
        <w:tab/>
        <w:t>467-4</w:t>
      </w:r>
      <w:r w:rsidR="004E57DF">
        <w:rPr>
          <w:rFonts w:eastAsia="Cambria"/>
          <w:color w:val="000000"/>
          <w:sz w:val="24"/>
          <w:szCs w:val="24"/>
        </w:rPr>
        <w:t>78</w:t>
      </w:r>
    </w:p>
    <w:p w14:paraId="3ED726EB" w14:textId="1BD677E6" w:rsidR="00B12246" w:rsidRDefault="004E57DF" w:rsidP="00B12246">
      <w:pPr>
        <w:rPr>
          <w:rFonts w:eastAsia="Cambria"/>
          <w:color w:val="000000"/>
          <w:sz w:val="24"/>
          <w:szCs w:val="24"/>
        </w:rPr>
      </w:pPr>
      <w:r>
        <w:rPr>
          <w:rFonts w:eastAsia="Cambria"/>
          <w:color w:val="000000"/>
          <w:sz w:val="24"/>
          <w:szCs w:val="24"/>
        </w:rPr>
        <w:tab/>
        <w:t>490-501</w:t>
      </w:r>
    </w:p>
    <w:p w14:paraId="0DC26D4D" w14:textId="4F51AF37" w:rsidR="004E57DF" w:rsidRDefault="004E57DF" w:rsidP="00B12246">
      <w:pPr>
        <w:rPr>
          <w:rFonts w:eastAsia="Cambria"/>
          <w:color w:val="000000"/>
          <w:sz w:val="24"/>
          <w:szCs w:val="24"/>
        </w:rPr>
      </w:pPr>
      <w:r>
        <w:rPr>
          <w:rFonts w:eastAsia="Cambria"/>
          <w:color w:val="000000"/>
          <w:sz w:val="24"/>
          <w:szCs w:val="24"/>
        </w:rPr>
        <w:tab/>
        <w:t>514 (“Measuring §11 Damages” only)</w:t>
      </w:r>
    </w:p>
    <w:p w14:paraId="5EFCC954" w14:textId="4D9B4815" w:rsidR="00B12246" w:rsidRPr="00B43749" w:rsidRDefault="004E57DF" w:rsidP="004E57DF">
      <w:pPr>
        <w:ind w:firstLine="720"/>
        <w:rPr>
          <w:rFonts w:eastAsia="Cambria"/>
          <w:color w:val="000000"/>
          <w:sz w:val="24"/>
          <w:szCs w:val="24"/>
        </w:rPr>
      </w:pPr>
      <w:r>
        <w:rPr>
          <w:rFonts w:eastAsia="Cambria"/>
          <w:color w:val="000000"/>
          <w:sz w:val="24"/>
          <w:szCs w:val="24"/>
        </w:rPr>
        <w:t>518</w:t>
      </w:r>
      <w:r w:rsidR="00B12246" w:rsidRPr="00B43749">
        <w:rPr>
          <w:rFonts w:eastAsia="Cambria"/>
          <w:color w:val="000000"/>
          <w:sz w:val="24"/>
          <w:szCs w:val="24"/>
        </w:rPr>
        <w:t xml:space="preserve"> (Hypothetical 5</w:t>
      </w:r>
      <w:r>
        <w:rPr>
          <w:rFonts w:eastAsia="Cambria"/>
          <w:color w:val="000000"/>
          <w:sz w:val="24"/>
          <w:szCs w:val="24"/>
        </w:rPr>
        <w:t xml:space="preserve"> only</w:t>
      </w:r>
      <w:r w:rsidR="00B12246" w:rsidRPr="00B43749">
        <w:rPr>
          <w:rFonts w:eastAsia="Cambria"/>
          <w:color w:val="000000"/>
          <w:sz w:val="24"/>
          <w:szCs w:val="24"/>
        </w:rPr>
        <w:t>)</w:t>
      </w:r>
    </w:p>
    <w:p w14:paraId="1E401136" w14:textId="74CE62E8" w:rsidR="004E57DF" w:rsidRDefault="004E57DF" w:rsidP="00B12246">
      <w:pPr>
        <w:rPr>
          <w:rFonts w:eastAsia="Cambria"/>
          <w:color w:val="000000"/>
          <w:sz w:val="24"/>
          <w:szCs w:val="24"/>
        </w:rPr>
      </w:pPr>
      <w:r>
        <w:rPr>
          <w:rFonts w:eastAsia="Cambria"/>
          <w:color w:val="000000"/>
          <w:sz w:val="24"/>
          <w:szCs w:val="24"/>
        </w:rPr>
        <w:tab/>
        <w:t>522-531</w:t>
      </w:r>
      <w:r w:rsidR="00B12246" w:rsidRPr="00B43749">
        <w:rPr>
          <w:rFonts w:eastAsia="Cambria"/>
          <w:color w:val="000000"/>
          <w:sz w:val="24"/>
          <w:szCs w:val="24"/>
        </w:rPr>
        <w:tab/>
      </w:r>
    </w:p>
    <w:p w14:paraId="2CB55D96" w14:textId="05EB21A7" w:rsidR="004E57DF" w:rsidRDefault="004E57DF" w:rsidP="00B12246">
      <w:pPr>
        <w:rPr>
          <w:rFonts w:eastAsia="Cambria"/>
          <w:color w:val="000000"/>
          <w:sz w:val="24"/>
          <w:szCs w:val="24"/>
        </w:rPr>
      </w:pPr>
      <w:r>
        <w:rPr>
          <w:rFonts w:eastAsia="Cambria"/>
          <w:color w:val="000000"/>
          <w:sz w:val="24"/>
          <w:szCs w:val="24"/>
        </w:rPr>
        <w:tab/>
        <w:t>541-547</w:t>
      </w:r>
    </w:p>
    <w:p w14:paraId="7DF64C72" w14:textId="77777777" w:rsidR="00B12246" w:rsidRPr="00B43749" w:rsidRDefault="00B12246" w:rsidP="00B12246">
      <w:pPr>
        <w:rPr>
          <w:rFonts w:eastAsia="Cambria"/>
          <w:color w:val="000000"/>
          <w:sz w:val="24"/>
          <w:szCs w:val="24"/>
        </w:rPr>
      </w:pPr>
    </w:p>
    <w:p w14:paraId="6CDF9C09" w14:textId="77777777" w:rsidR="00B12246" w:rsidRPr="00B43749" w:rsidRDefault="00B12246" w:rsidP="00B12246">
      <w:pPr>
        <w:rPr>
          <w:rFonts w:eastAsia="Cambria"/>
          <w:b/>
          <w:color w:val="000000"/>
          <w:sz w:val="24"/>
          <w:szCs w:val="24"/>
          <w:u w:val="single"/>
        </w:rPr>
      </w:pPr>
      <w:r w:rsidRPr="00B43749">
        <w:rPr>
          <w:rFonts w:eastAsia="Cambria"/>
          <w:b/>
          <w:color w:val="000000"/>
          <w:sz w:val="24"/>
          <w:szCs w:val="24"/>
          <w:u w:val="single"/>
        </w:rPr>
        <w:t>Exempt Offerings</w:t>
      </w:r>
    </w:p>
    <w:p w14:paraId="7548C12D" w14:textId="77777777" w:rsidR="000173C8" w:rsidRDefault="000173C8" w:rsidP="00B12246">
      <w:pPr>
        <w:rPr>
          <w:rFonts w:eastAsia="Cambria"/>
          <w:color w:val="000000"/>
          <w:sz w:val="24"/>
          <w:szCs w:val="24"/>
        </w:rPr>
      </w:pPr>
      <w:r>
        <w:rPr>
          <w:rFonts w:eastAsia="Cambria"/>
          <w:color w:val="000000"/>
          <w:sz w:val="24"/>
          <w:szCs w:val="24"/>
        </w:rPr>
        <w:tab/>
        <w:t>549-559</w:t>
      </w:r>
    </w:p>
    <w:p w14:paraId="2BD5CE1D" w14:textId="77777777" w:rsidR="000173C8" w:rsidRDefault="000173C8" w:rsidP="00B12246">
      <w:pPr>
        <w:rPr>
          <w:rFonts w:eastAsia="Cambria"/>
          <w:color w:val="000000"/>
          <w:sz w:val="24"/>
          <w:szCs w:val="24"/>
        </w:rPr>
      </w:pPr>
      <w:r>
        <w:rPr>
          <w:rFonts w:eastAsia="Cambria"/>
          <w:color w:val="000000"/>
          <w:sz w:val="24"/>
          <w:szCs w:val="24"/>
        </w:rPr>
        <w:tab/>
        <w:t>Casebook supplement, pages 6-11</w:t>
      </w:r>
    </w:p>
    <w:p w14:paraId="68206419" w14:textId="77777777" w:rsidR="000173C8" w:rsidRDefault="000173C8" w:rsidP="000173C8">
      <w:pPr>
        <w:ind w:firstLine="720"/>
        <w:rPr>
          <w:rFonts w:eastAsia="Cambria"/>
          <w:color w:val="000000"/>
          <w:sz w:val="24"/>
          <w:szCs w:val="24"/>
        </w:rPr>
      </w:pPr>
      <w:r>
        <w:rPr>
          <w:rFonts w:eastAsia="Cambria"/>
          <w:color w:val="000000"/>
          <w:sz w:val="24"/>
          <w:szCs w:val="24"/>
        </w:rPr>
        <w:t xml:space="preserve">Casebook supplement, pages 15-21 (up to “Disqualification”) </w:t>
      </w:r>
    </w:p>
    <w:p w14:paraId="51518B89" w14:textId="3DACF709" w:rsidR="000173C8" w:rsidRDefault="000173C8" w:rsidP="000173C8">
      <w:pPr>
        <w:ind w:left="720"/>
        <w:rPr>
          <w:rFonts w:eastAsia="Cambria"/>
          <w:color w:val="000000"/>
          <w:sz w:val="24"/>
          <w:szCs w:val="24"/>
        </w:rPr>
      </w:pPr>
      <w:r>
        <w:rPr>
          <w:rFonts w:eastAsia="Cambria"/>
          <w:color w:val="000000"/>
          <w:sz w:val="24"/>
          <w:szCs w:val="24"/>
        </w:rPr>
        <w:t>Casebook supplement, pages 23 (start at “Other Aspects of Reg D”)-25 (stop before “The Private Placement Process”)</w:t>
      </w:r>
    </w:p>
    <w:p w14:paraId="2AFF417A" w14:textId="05E9FB1C" w:rsidR="000173C8" w:rsidRDefault="000173C8" w:rsidP="000173C8">
      <w:pPr>
        <w:ind w:firstLine="720"/>
        <w:rPr>
          <w:rFonts w:eastAsia="Cambria"/>
          <w:color w:val="000000"/>
          <w:sz w:val="24"/>
          <w:szCs w:val="24"/>
        </w:rPr>
      </w:pPr>
      <w:r>
        <w:rPr>
          <w:rFonts w:eastAsia="Cambria"/>
          <w:color w:val="000000"/>
          <w:sz w:val="24"/>
          <w:szCs w:val="24"/>
        </w:rPr>
        <w:t>Casebook supplement, pages 27-35</w:t>
      </w:r>
    </w:p>
    <w:p w14:paraId="5450413F" w14:textId="77777777" w:rsidR="000173C8" w:rsidRDefault="000173C8" w:rsidP="000173C8">
      <w:pPr>
        <w:ind w:firstLine="720"/>
        <w:rPr>
          <w:rFonts w:eastAsia="Cambria"/>
          <w:color w:val="000000"/>
          <w:sz w:val="24"/>
          <w:szCs w:val="24"/>
        </w:rPr>
      </w:pPr>
      <w:r>
        <w:rPr>
          <w:rFonts w:eastAsia="Cambria"/>
          <w:color w:val="000000"/>
          <w:sz w:val="24"/>
          <w:szCs w:val="24"/>
        </w:rPr>
        <w:t>Casebook supplement, pages 27-35</w:t>
      </w:r>
    </w:p>
    <w:p w14:paraId="353A655A" w14:textId="63036E49" w:rsidR="000173C8" w:rsidRDefault="000173C8" w:rsidP="000173C8">
      <w:pPr>
        <w:ind w:firstLine="720"/>
        <w:rPr>
          <w:rFonts w:eastAsia="Cambria"/>
          <w:color w:val="000000"/>
          <w:sz w:val="24"/>
          <w:szCs w:val="24"/>
        </w:rPr>
      </w:pPr>
      <w:r>
        <w:rPr>
          <w:rFonts w:eastAsia="Cambria"/>
          <w:color w:val="000000"/>
          <w:sz w:val="24"/>
          <w:szCs w:val="24"/>
        </w:rPr>
        <w:t>Casebook supplement, pages 36-38</w:t>
      </w:r>
    </w:p>
    <w:p w14:paraId="563A31B5" w14:textId="2DBF8329" w:rsidR="000173C8" w:rsidRDefault="000173C8" w:rsidP="000173C8">
      <w:pPr>
        <w:ind w:firstLine="720"/>
        <w:rPr>
          <w:rFonts w:eastAsia="Cambria"/>
          <w:color w:val="000000"/>
          <w:sz w:val="24"/>
          <w:szCs w:val="24"/>
        </w:rPr>
      </w:pPr>
      <w:r>
        <w:rPr>
          <w:rFonts w:eastAsia="Cambria"/>
          <w:color w:val="000000"/>
          <w:sz w:val="24"/>
          <w:szCs w:val="24"/>
        </w:rPr>
        <w:t>Casebook supplement, pages 41-47</w:t>
      </w:r>
    </w:p>
    <w:p w14:paraId="183326C4" w14:textId="77777777" w:rsidR="00B12246" w:rsidRPr="00B43749" w:rsidRDefault="00B12246" w:rsidP="00B12246">
      <w:pPr>
        <w:rPr>
          <w:rFonts w:eastAsia="Cambria"/>
          <w:color w:val="000000"/>
          <w:sz w:val="24"/>
          <w:szCs w:val="24"/>
        </w:rPr>
      </w:pPr>
    </w:p>
    <w:p w14:paraId="7D62F701" w14:textId="77777777" w:rsidR="00B12246" w:rsidRPr="00B43749" w:rsidRDefault="00B12246" w:rsidP="00B12246">
      <w:pPr>
        <w:rPr>
          <w:rFonts w:eastAsia="Cambria"/>
          <w:b/>
          <w:color w:val="000000"/>
          <w:sz w:val="24"/>
          <w:szCs w:val="24"/>
          <w:u w:val="single"/>
        </w:rPr>
      </w:pPr>
      <w:r w:rsidRPr="00B43749">
        <w:rPr>
          <w:rFonts w:eastAsia="Cambria"/>
          <w:b/>
          <w:color w:val="000000"/>
          <w:sz w:val="24"/>
          <w:szCs w:val="24"/>
          <w:u w:val="single"/>
        </w:rPr>
        <w:t>Secondary Market Transactions</w:t>
      </w:r>
    </w:p>
    <w:p w14:paraId="52F672C6" w14:textId="4C9DDB60" w:rsidR="00663998" w:rsidRDefault="00B12246" w:rsidP="00B12246">
      <w:pPr>
        <w:rPr>
          <w:rFonts w:eastAsia="Cambria"/>
          <w:color w:val="000000"/>
          <w:sz w:val="24"/>
          <w:szCs w:val="24"/>
        </w:rPr>
      </w:pPr>
      <w:r w:rsidRPr="00B43749">
        <w:rPr>
          <w:rFonts w:eastAsia="Cambria"/>
          <w:color w:val="000000"/>
          <w:sz w:val="24"/>
          <w:szCs w:val="24"/>
        </w:rPr>
        <w:tab/>
      </w:r>
      <w:r w:rsidR="00663998">
        <w:rPr>
          <w:rFonts w:eastAsia="Cambria"/>
          <w:color w:val="000000"/>
          <w:sz w:val="24"/>
          <w:szCs w:val="24"/>
        </w:rPr>
        <w:t>641-649</w:t>
      </w:r>
    </w:p>
    <w:p w14:paraId="6C0175E0" w14:textId="0C5AC7DF" w:rsidR="00663998" w:rsidRDefault="00663998" w:rsidP="00B12246">
      <w:pPr>
        <w:rPr>
          <w:rFonts w:eastAsia="Cambria"/>
          <w:color w:val="000000"/>
          <w:sz w:val="24"/>
          <w:szCs w:val="24"/>
        </w:rPr>
      </w:pPr>
      <w:r>
        <w:rPr>
          <w:rFonts w:eastAsia="Cambria"/>
          <w:color w:val="000000"/>
          <w:sz w:val="24"/>
          <w:szCs w:val="24"/>
        </w:rPr>
        <w:tab/>
        <w:t>652-654 (“Control Persons’ Resales”)</w:t>
      </w:r>
    </w:p>
    <w:p w14:paraId="36E2EB6D" w14:textId="7B5AC119" w:rsidR="00B12246" w:rsidRDefault="00663998" w:rsidP="00B12246">
      <w:pPr>
        <w:ind w:firstLine="720"/>
        <w:rPr>
          <w:rFonts w:eastAsia="Cambria"/>
          <w:color w:val="000000"/>
          <w:sz w:val="24"/>
          <w:szCs w:val="24"/>
        </w:rPr>
      </w:pPr>
      <w:r>
        <w:rPr>
          <w:rFonts w:eastAsia="Cambria"/>
          <w:color w:val="000000"/>
          <w:sz w:val="24"/>
          <w:szCs w:val="24"/>
        </w:rPr>
        <w:t xml:space="preserve">655-657 and </w:t>
      </w:r>
      <w:r w:rsidR="00B12246" w:rsidRPr="00B43749">
        <w:rPr>
          <w:rFonts w:eastAsia="Cambria"/>
          <w:color w:val="000000"/>
          <w:sz w:val="24"/>
          <w:szCs w:val="24"/>
        </w:rPr>
        <w:t>SA § 4(a)(7)</w:t>
      </w:r>
    </w:p>
    <w:p w14:paraId="63AED145" w14:textId="364FB1AB" w:rsidR="00692DDC" w:rsidRDefault="00692DDC" w:rsidP="00B12246">
      <w:pPr>
        <w:ind w:firstLine="720"/>
        <w:rPr>
          <w:rFonts w:eastAsia="Cambria"/>
          <w:color w:val="000000"/>
          <w:sz w:val="24"/>
          <w:szCs w:val="24"/>
        </w:rPr>
      </w:pPr>
      <w:r>
        <w:rPr>
          <w:rFonts w:eastAsia="Cambria"/>
          <w:color w:val="000000"/>
          <w:sz w:val="24"/>
          <w:szCs w:val="24"/>
        </w:rPr>
        <w:t>658-669</w:t>
      </w:r>
    </w:p>
    <w:p w14:paraId="3A33A036" w14:textId="77777777" w:rsidR="00B12246" w:rsidRPr="00B43749" w:rsidRDefault="00B12246" w:rsidP="00B12246">
      <w:pPr>
        <w:ind w:firstLine="720"/>
        <w:rPr>
          <w:rStyle w:val="Hyperlink"/>
          <w:rFonts w:eastAsia="Cambria"/>
          <w:sz w:val="24"/>
          <w:szCs w:val="24"/>
        </w:rPr>
      </w:pPr>
      <w:r w:rsidRPr="00B43749">
        <w:rPr>
          <w:rFonts w:eastAsia="Cambria"/>
          <w:color w:val="000000"/>
          <w:sz w:val="24"/>
          <w:szCs w:val="24"/>
        </w:rPr>
        <w:t xml:space="preserve">SEC summary of Rule 144, </w:t>
      </w:r>
      <w:hyperlink r:id="rId15" w:history="1">
        <w:r w:rsidRPr="00B43749">
          <w:rPr>
            <w:rStyle w:val="Hyperlink"/>
            <w:rFonts w:eastAsia="Cambria"/>
            <w:sz w:val="24"/>
            <w:szCs w:val="24"/>
          </w:rPr>
          <w:t>http://www.sec.gov/investor/pubs/rule144.htm</w:t>
        </w:r>
      </w:hyperlink>
    </w:p>
    <w:p w14:paraId="684F71B0" w14:textId="67CF1BA9" w:rsidR="00692DDC" w:rsidRDefault="00692DDC" w:rsidP="00B12246">
      <w:pPr>
        <w:ind w:firstLine="720"/>
        <w:rPr>
          <w:rFonts w:eastAsia="Cambria"/>
          <w:color w:val="000000"/>
          <w:sz w:val="24"/>
          <w:szCs w:val="24"/>
        </w:rPr>
      </w:pPr>
      <w:r>
        <w:rPr>
          <w:rFonts w:eastAsia="Cambria"/>
          <w:color w:val="000000"/>
          <w:sz w:val="24"/>
          <w:szCs w:val="24"/>
        </w:rPr>
        <w:lastRenderedPageBreak/>
        <w:t>669-676</w:t>
      </w:r>
    </w:p>
    <w:p w14:paraId="3BA198C4" w14:textId="77777777" w:rsidR="00B12246" w:rsidRPr="00B43749" w:rsidRDefault="00B12246" w:rsidP="00B12246">
      <w:pPr>
        <w:rPr>
          <w:rFonts w:eastAsia="Cambria"/>
          <w:b/>
          <w:color w:val="000000"/>
          <w:sz w:val="24"/>
          <w:szCs w:val="24"/>
          <w:u w:val="single"/>
        </w:rPr>
      </w:pPr>
    </w:p>
    <w:p w14:paraId="416E619B" w14:textId="77777777" w:rsidR="00B12246" w:rsidRPr="00B43749" w:rsidRDefault="00B12246" w:rsidP="00B12246">
      <w:pPr>
        <w:rPr>
          <w:rFonts w:eastAsia="Cambria"/>
          <w:color w:val="000000"/>
          <w:sz w:val="24"/>
          <w:szCs w:val="24"/>
          <w:u w:val="single"/>
        </w:rPr>
      </w:pPr>
      <w:r w:rsidRPr="00B43749">
        <w:rPr>
          <w:rFonts w:eastAsia="Cambria"/>
          <w:b/>
          <w:color w:val="000000"/>
          <w:sz w:val="24"/>
          <w:szCs w:val="24"/>
          <w:u w:val="single"/>
        </w:rPr>
        <w:t>Current Topics in Securities Regulation</w:t>
      </w:r>
    </w:p>
    <w:p w14:paraId="42A35F4F" w14:textId="16C8C3BB" w:rsidR="00B12246" w:rsidRPr="00B43749" w:rsidRDefault="00B12246" w:rsidP="000173C8">
      <w:pPr>
        <w:ind w:left="720" w:hanging="720"/>
        <w:rPr>
          <w:rFonts w:eastAsia="Cambria"/>
          <w:color w:val="000000"/>
          <w:sz w:val="24"/>
          <w:szCs w:val="24"/>
        </w:rPr>
      </w:pPr>
      <w:r w:rsidRPr="00B43749">
        <w:rPr>
          <w:rFonts w:eastAsia="Cambria"/>
          <w:color w:val="000000"/>
          <w:sz w:val="24"/>
          <w:szCs w:val="24"/>
        </w:rPr>
        <w:tab/>
      </w:r>
      <w:r w:rsidR="0019590D">
        <w:rPr>
          <w:rFonts w:eastAsia="Cambria"/>
          <w:color w:val="000000"/>
          <w:sz w:val="24"/>
          <w:szCs w:val="24"/>
        </w:rPr>
        <w:t xml:space="preserve">Initial coin offerings, </w:t>
      </w:r>
      <w:r w:rsidR="000173C8">
        <w:rPr>
          <w:rFonts w:eastAsia="Cambria"/>
          <w:color w:val="000000"/>
          <w:sz w:val="24"/>
          <w:szCs w:val="24"/>
        </w:rPr>
        <w:t xml:space="preserve">more </w:t>
      </w:r>
      <w:r w:rsidR="0019590D">
        <w:rPr>
          <w:rFonts w:eastAsia="Cambria"/>
          <w:color w:val="000000"/>
          <w:sz w:val="24"/>
          <w:szCs w:val="24"/>
        </w:rPr>
        <w:t>c</w:t>
      </w:r>
      <w:r w:rsidRPr="00B43749">
        <w:rPr>
          <w:rFonts w:eastAsia="Cambria"/>
          <w:color w:val="000000"/>
          <w:sz w:val="24"/>
          <w:szCs w:val="24"/>
        </w:rPr>
        <w:t>rowdfunding, duties of financial advisors as time permits</w:t>
      </w:r>
    </w:p>
    <w:p w14:paraId="3F7EAA08" w14:textId="77777777" w:rsidR="004D1AB4" w:rsidRPr="00B43749" w:rsidRDefault="004D1AB4" w:rsidP="00226D65">
      <w:pPr>
        <w:pStyle w:val="Heading1"/>
      </w:pPr>
    </w:p>
    <w:sectPr w:rsidR="004D1AB4" w:rsidRPr="00B43749" w:rsidSect="002603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3570D" w14:textId="77777777" w:rsidR="00AE381E" w:rsidRDefault="00AE381E" w:rsidP="00BD2421">
      <w:r>
        <w:separator/>
      </w:r>
    </w:p>
  </w:endnote>
  <w:endnote w:type="continuationSeparator" w:id="0">
    <w:p w14:paraId="41330928" w14:textId="77777777" w:rsidR="00AE381E" w:rsidRDefault="00AE381E" w:rsidP="00BD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A603C" w14:textId="77777777" w:rsidR="00AE381E" w:rsidRDefault="00AE381E" w:rsidP="00BD2421">
      <w:r>
        <w:separator/>
      </w:r>
    </w:p>
  </w:footnote>
  <w:footnote w:type="continuationSeparator" w:id="0">
    <w:p w14:paraId="07DEEEA8" w14:textId="77777777" w:rsidR="00AE381E" w:rsidRDefault="00AE381E" w:rsidP="00BD2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C1659"/>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0664B"/>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5BC182-4746-475A-AAE6-2F8218310884}"/>
    <w:docVar w:name="dgnword-eventsink" w:val="166425832"/>
  </w:docVars>
  <w:rsids>
    <w:rsidRoot w:val="00AA07C1"/>
    <w:rsid w:val="00006C47"/>
    <w:rsid w:val="00010BDD"/>
    <w:rsid w:val="000173C8"/>
    <w:rsid w:val="00060D99"/>
    <w:rsid w:val="000814DC"/>
    <w:rsid w:val="0013217D"/>
    <w:rsid w:val="00156DF1"/>
    <w:rsid w:val="00176BED"/>
    <w:rsid w:val="00176F3B"/>
    <w:rsid w:val="00180CEF"/>
    <w:rsid w:val="0019590D"/>
    <w:rsid w:val="001F5978"/>
    <w:rsid w:val="00215A3B"/>
    <w:rsid w:val="00226D65"/>
    <w:rsid w:val="00260370"/>
    <w:rsid w:val="002647CC"/>
    <w:rsid w:val="0028370E"/>
    <w:rsid w:val="00297FC0"/>
    <w:rsid w:val="002E3318"/>
    <w:rsid w:val="002E5FEB"/>
    <w:rsid w:val="003112CC"/>
    <w:rsid w:val="00325EF3"/>
    <w:rsid w:val="00373DF9"/>
    <w:rsid w:val="003973F4"/>
    <w:rsid w:val="003B263A"/>
    <w:rsid w:val="003B43C0"/>
    <w:rsid w:val="003D69AA"/>
    <w:rsid w:val="003F3D83"/>
    <w:rsid w:val="00423B17"/>
    <w:rsid w:val="00425E19"/>
    <w:rsid w:val="00495E50"/>
    <w:rsid w:val="004A00EF"/>
    <w:rsid w:val="004D1AB4"/>
    <w:rsid w:val="004E57DF"/>
    <w:rsid w:val="00511046"/>
    <w:rsid w:val="00526FD4"/>
    <w:rsid w:val="0053531A"/>
    <w:rsid w:val="00543CFF"/>
    <w:rsid w:val="00557A4F"/>
    <w:rsid w:val="00591BBC"/>
    <w:rsid w:val="005C4110"/>
    <w:rsid w:val="005D2CDA"/>
    <w:rsid w:val="0060335B"/>
    <w:rsid w:val="00624AEF"/>
    <w:rsid w:val="00650C48"/>
    <w:rsid w:val="00655A9E"/>
    <w:rsid w:val="006567B1"/>
    <w:rsid w:val="00663998"/>
    <w:rsid w:val="006721FE"/>
    <w:rsid w:val="00692DDC"/>
    <w:rsid w:val="006A3880"/>
    <w:rsid w:val="006A458A"/>
    <w:rsid w:val="006C19F8"/>
    <w:rsid w:val="006C4D9E"/>
    <w:rsid w:val="007062DA"/>
    <w:rsid w:val="00765241"/>
    <w:rsid w:val="00765E1B"/>
    <w:rsid w:val="007746BA"/>
    <w:rsid w:val="00801A5E"/>
    <w:rsid w:val="00825F11"/>
    <w:rsid w:val="00842408"/>
    <w:rsid w:val="00875D5D"/>
    <w:rsid w:val="00876CE2"/>
    <w:rsid w:val="00882D6E"/>
    <w:rsid w:val="00884D8F"/>
    <w:rsid w:val="00892AA0"/>
    <w:rsid w:val="00895E51"/>
    <w:rsid w:val="008B2D8F"/>
    <w:rsid w:val="009144DE"/>
    <w:rsid w:val="009275D5"/>
    <w:rsid w:val="0093228F"/>
    <w:rsid w:val="00944B7B"/>
    <w:rsid w:val="00973F9A"/>
    <w:rsid w:val="009A3F5B"/>
    <w:rsid w:val="009A5748"/>
    <w:rsid w:val="009B0B58"/>
    <w:rsid w:val="009B711C"/>
    <w:rsid w:val="00A27D81"/>
    <w:rsid w:val="00A4041E"/>
    <w:rsid w:val="00A65EB3"/>
    <w:rsid w:val="00AA07C1"/>
    <w:rsid w:val="00AB0C27"/>
    <w:rsid w:val="00AB5E5D"/>
    <w:rsid w:val="00AC0677"/>
    <w:rsid w:val="00AE04C0"/>
    <w:rsid w:val="00AE381E"/>
    <w:rsid w:val="00AF2D9C"/>
    <w:rsid w:val="00B12246"/>
    <w:rsid w:val="00B27D0D"/>
    <w:rsid w:val="00B35E79"/>
    <w:rsid w:val="00B43749"/>
    <w:rsid w:val="00B52AC6"/>
    <w:rsid w:val="00B61723"/>
    <w:rsid w:val="00B61FED"/>
    <w:rsid w:val="00B723F1"/>
    <w:rsid w:val="00B84B1B"/>
    <w:rsid w:val="00BC134D"/>
    <w:rsid w:val="00BC6383"/>
    <w:rsid w:val="00BD2421"/>
    <w:rsid w:val="00C17248"/>
    <w:rsid w:val="00C31F50"/>
    <w:rsid w:val="00C3766A"/>
    <w:rsid w:val="00C44751"/>
    <w:rsid w:val="00C74D3D"/>
    <w:rsid w:val="00CA10F8"/>
    <w:rsid w:val="00CA677C"/>
    <w:rsid w:val="00CD4FCA"/>
    <w:rsid w:val="00D06E77"/>
    <w:rsid w:val="00D353CC"/>
    <w:rsid w:val="00D45B1E"/>
    <w:rsid w:val="00D50B23"/>
    <w:rsid w:val="00D5317E"/>
    <w:rsid w:val="00D8028C"/>
    <w:rsid w:val="00DC1707"/>
    <w:rsid w:val="00DC7D49"/>
    <w:rsid w:val="00E46D12"/>
    <w:rsid w:val="00E52250"/>
    <w:rsid w:val="00E8636E"/>
    <w:rsid w:val="00E92AB2"/>
    <w:rsid w:val="00EB2A03"/>
    <w:rsid w:val="00EC7DA4"/>
    <w:rsid w:val="00EF57A9"/>
    <w:rsid w:val="00F17CCB"/>
    <w:rsid w:val="00F26AA0"/>
    <w:rsid w:val="00F410C0"/>
    <w:rsid w:val="00F63A15"/>
    <w:rsid w:val="00F64808"/>
    <w:rsid w:val="00FA1D17"/>
    <w:rsid w:val="00FB01AF"/>
    <w:rsid w:val="00FB2CA4"/>
    <w:rsid w:val="00FD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F330D"/>
  <w14:defaultImageDpi w14:val="300"/>
  <w15:docId w15:val="{51C52350-6A40-4AAF-9756-852D41B6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1"/>
    <w:rPr>
      <w:rFonts w:ascii="Times New Roman" w:eastAsiaTheme="minorHAnsi" w:hAnsi="Times New Roman" w:cs="Times New Roman"/>
      <w:color w:val="000000" w:themeColor="text1"/>
      <w:sz w:val="20"/>
      <w:szCs w:val="20"/>
    </w:rPr>
  </w:style>
  <w:style w:type="paragraph" w:styleId="Heading1">
    <w:name w:val="heading 1"/>
    <w:basedOn w:val="Normal"/>
    <w:next w:val="Normal"/>
    <w:link w:val="Heading1Char"/>
    <w:qFormat/>
    <w:rsid w:val="004D1AB4"/>
    <w:pPr>
      <w:keepNext/>
      <w:outlineLvl w:val="0"/>
    </w:pPr>
    <w:rPr>
      <w:rFonts w:eastAsia="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C1"/>
    <w:pPr>
      <w:ind w:left="720"/>
      <w:contextualSpacing/>
    </w:pPr>
  </w:style>
  <w:style w:type="character" w:customStyle="1" w:styleId="Heading1Char">
    <w:name w:val="Heading 1 Char"/>
    <w:basedOn w:val="DefaultParagraphFont"/>
    <w:link w:val="Heading1"/>
    <w:rsid w:val="004D1AB4"/>
    <w:rPr>
      <w:rFonts w:ascii="Times New Roman" w:eastAsia="Times New Roman" w:hAnsi="Times New Roman" w:cs="Times New Roman"/>
      <w:b/>
    </w:rPr>
  </w:style>
  <w:style w:type="character" w:styleId="Hyperlink">
    <w:name w:val="Hyperlink"/>
    <w:basedOn w:val="DefaultParagraphFont"/>
    <w:rsid w:val="004D1AB4"/>
    <w:rPr>
      <w:color w:val="0000FF" w:themeColor="hyperlink"/>
      <w:u w:val="single"/>
    </w:rPr>
  </w:style>
  <w:style w:type="paragraph" w:styleId="Header">
    <w:name w:val="header"/>
    <w:basedOn w:val="Normal"/>
    <w:link w:val="HeaderChar"/>
    <w:uiPriority w:val="99"/>
    <w:unhideWhenUsed/>
    <w:rsid w:val="00BD2421"/>
    <w:pPr>
      <w:tabs>
        <w:tab w:val="center" w:pos="4680"/>
        <w:tab w:val="right" w:pos="9360"/>
      </w:tabs>
    </w:pPr>
  </w:style>
  <w:style w:type="character" w:customStyle="1" w:styleId="HeaderChar">
    <w:name w:val="Header Char"/>
    <w:basedOn w:val="DefaultParagraphFont"/>
    <w:link w:val="Header"/>
    <w:uiPriority w:val="99"/>
    <w:rsid w:val="00BD2421"/>
    <w:rPr>
      <w:rFonts w:ascii="Times New Roman" w:eastAsiaTheme="minorHAnsi" w:hAnsi="Times New Roman" w:cs="Times New Roman"/>
      <w:color w:val="000000" w:themeColor="text1"/>
      <w:sz w:val="20"/>
      <w:szCs w:val="20"/>
    </w:rPr>
  </w:style>
  <w:style w:type="paragraph" w:styleId="Footer">
    <w:name w:val="footer"/>
    <w:basedOn w:val="Normal"/>
    <w:link w:val="FooterChar"/>
    <w:uiPriority w:val="99"/>
    <w:unhideWhenUsed/>
    <w:rsid w:val="00BD2421"/>
    <w:pPr>
      <w:tabs>
        <w:tab w:val="center" w:pos="4680"/>
        <w:tab w:val="right" w:pos="9360"/>
      </w:tabs>
    </w:pPr>
  </w:style>
  <w:style w:type="character" w:customStyle="1" w:styleId="FooterChar">
    <w:name w:val="Footer Char"/>
    <w:basedOn w:val="DefaultParagraphFont"/>
    <w:link w:val="Footer"/>
    <w:uiPriority w:val="99"/>
    <w:rsid w:val="00BD2421"/>
    <w:rPr>
      <w:rFonts w:ascii="Times New Roman" w:eastAsiaTheme="minorHAnsi" w:hAnsi="Times New Roman" w:cs="Times New Roman"/>
      <w:color w:val="000000" w:themeColor="text1"/>
      <w:sz w:val="20"/>
      <w:szCs w:val="20"/>
    </w:rPr>
  </w:style>
  <w:style w:type="character" w:styleId="FollowedHyperlink">
    <w:name w:val="FollowedHyperlink"/>
    <w:basedOn w:val="DefaultParagraphFont"/>
    <w:uiPriority w:val="99"/>
    <w:semiHidden/>
    <w:unhideWhenUsed/>
    <w:rsid w:val="00D06E77"/>
    <w:rPr>
      <w:color w:val="800080" w:themeColor="followedHyperlink"/>
      <w:u w:val="single"/>
    </w:rPr>
  </w:style>
  <w:style w:type="table" w:styleId="TableGrid">
    <w:name w:val="Table Grid"/>
    <w:basedOn w:val="TableNormal"/>
    <w:uiPriority w:val="59"/>
    <w:rsid w:val="0091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blogs.uc.edu/sld/" TargetMode="External"/><Relationship Id="rId13" Type="http://schemas.openxmlformats.org/officeDocument/2006/relationships/hyperlink" Target="https://evaluations.ufl.edu" TargetMode="External"/><Relationship Id="rId3" Type="http://schemas.openxmlformats.org/officeDocument/2006/relationships/settings" Target="settings.xml"/><Relationship Id="rId7" Type="http://schemas.openxmlformats.org/officeDocument/2006/relationships/hyperlink" Target="mailto:pmolk@law.ufl.edu" TargetMode="Externa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hyperlink" Target="http://www.sec.gov/investor/pubs/rule144.htm" TargetMode="External"/><Relationship Id="rId10" Type="http://schemas.openxmlformats.org/officeDocument/2006/relationships/hyperlink" Target="http://www.law.ufl.edu/student-affairs/current-students/academic-policies" TargetMode="External"/><Relationship Id="rId4" Type="http://schemas.openxmlformats.org/officeDocument/2006/relationships/webSettings" Target="webSettings.xml"/><Relationship Id="rId9" Type="http://schemas.openxmlformats.org/officeDocument/2006/relationships/hyperlink" Target="http://www.sec.gov/forms" TargetMode="External"/><Relationship Id="rId14"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Molk</dc:creator>
  <cp:keywords/>
  <dc:description/>
  <cp:lastModifiedBy>Vaught,Krista</cp:lastModifiedBy>
  <cp:revision>2</cp:revision>
  <dcterms:created xsi:type="dcterms:W3CDTF">2018-12-21T20:23:00Z</dcterms:created>
  <dcterms:modified xsi:type="dcterms:W3CDTF">2018-12-21T20:23:00Z</dcterms:modified>
</cp:coreProperties>
</file>