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806C" w14:textId="77777777" w:rsidR="00EA00BE" w:rsidRPr="003E2FCA" w:rsidRDefault="0097006C" w:rsidP="003E2FCA">
      <w:pPr>
        <w:jc w:val="center"/>
        <w:rPr>
          <w:b/>
        </w:rPr>
      </w:pPr>
      <w:r>
        <w:rPr>
          <w:b/>
        </w:rPr>
        <w:t>UNIVERSITY OF FLORIDA LEVIN COLLEGE OF LAW</w:t>
      </w:r>
    </w:p>
    <w:p w14:paraId="24D396A3" w14:textId="6068F699" w:rsidR="003E2FCA" w:rsidRPr="003E2FCA" w:rsidRDefault="005A3338" w:rsidP="00ED69A6">
      <w:pPr>
        <w:jc w:val="center"/>
        <w:rPr>
          <w:b/>
        </w:rPr>
      </w:pPr>
      <w:r>
        <w:rPr>
          <w:b/>
        </w:rPr>
        <w:t>EDUCATION LAW</w:t>
      </w:r>
      <w:r w:rsidR="002A6EA7">
        <w:rPr>
          <w:b/>
        </w:rPr>
        <w:t xml:space="preserve"> – </w:t>
      </w:r>
      <w:r w:rsidR="00D451E2">
        <w:rPr>
          <w:b/>
        </w:rPr>
        <w:t>FALL</w:t>
      </w:r>
      <w:r w:rsidR="00F8677A">
        <w:rPr>
          <w:b/>
        </w:rPr>
        <w:t xml:space="preserve"> 201</w:t>
      </w:r>
      <w:r w:rsidR="00D451E2">
        <w:rPr>
          <w:b/>
        </w:rPr>
        <w:t>9</w:t>
      </w:r>
    </w:p>
    <w:p w14:paraId="6446B82A" w14:textId="77777777" w:rsidR="003E2FCA" w:rsidRPr="003E2FCA" w:rsidRDefault="003E2FCA" w:rsidP="003E2FCA">
      <w:pPr>
        <w:jc w:val="center"/>
        <w:rPr>
          <w:b/>
        </w:rPr>
      </w:pPr>
    </w:p>
    <w:p w14:paraId="08141201" w14:textId="77777777" w:rsidR="003E2FCA" w:rsidRPr="003E2FCA" w:rsidRDefault="000E4CC0" w:rsidP="003E2FCA">
      <w:r>
        <w:t>Professor Jason P. Nance</w:t>
      </w:r>
    </w:p>
    <w:p w14:paraId="050375AD" w14:textId="60F6B2EA" w:rsidR="003E2FCA" w:rsidRDefault="00E71053" w:rsidP="003E2FCA">
      <w:r>
        <w:t xml:space="preserve">Office Location: </w:t>
      </w:r>
      <w:r w:rsidR="0097006C">
        <w:t xml:space="preserve">Holland Hall </w:t>
      </w:r>
      <w:r w:rsidR="005E7635">
        <w:t>264D</w:t>
      </w:r>
    </w:p>
    <w:p w14:paraId="70C621FF" w14:textId="77777777" w:rsidR="003E2FCA" w:rsidRDefault="006E7BF2" w:rsidP="003E2FCA">
      <w:r>
        <w:t xml:space="preserve">Office Phone: </w:t>
      </w:r>
      <w:r w:rsidR="003E2FCA">
        <w:t>(</w:t>
      </w:r>
      <w:r w:rsidR="0097006C">
        <w:t>352</w:t>
      </w:r>
      <w:r w:rsidR="003E2FCA">
        <w:t xml:space="preserve">) </w:t>
      </w:r>
      <w:r w:rsidR="0097006C">
        <w:t>273-0992</w:t>
      </w:r>
    </w:p>
    <w:p w14:paraId="7C131DA8" w14:textId="77777777" w:rsidR="003E2FCA" w:rsidRDefault="006E7BF2" w:rsidP="003E2FCA">
      <w:r>
        <w:t xml:space="preserve">Email: </w:t>
      </w:r>
      <w:r w:rsidR="00A84A3B">
        <w:t>nance@law.</w:t>
      </w:r>
      <w:r w:rsidR="0097006C">
        <w:t>ufl.edu</w:t>
      </w:r>
    </w:p>
    <w:p w14:paraId="0465B723" w14:textId="61D71A9E" w:rsidR="00B91374" w:rsidRDefault="006E7BF2" w:rsidP="003E2FCA">
      <w:r>
        <w:t xml:space="preserve">Office hours: </w:t>
      </w:r>
      <w:r w:rsidR="00E339EF">
        <w:t>Mondays</w:t>
      </w:r>
      <w:r w:rsidR="003E43EE">
        <w:t xml:space="preserve"> from </w:t>
      </w:r>
      <w:r w:rsidR="00E339EF">
        <w:t>4:00–5:00</w:t>
      </w:r>
      <w:r w:rsidR="003E43EE">
        <w:t xml:space="preserve"> pm and </w:t>
      </w:r>
      <w:r w:rsidR="00E339EF">
        <w:t>Fridays</w:t>
      </w:r>
      <w:r w:rsidR="003E43EE">
        <w:t xml:space="preserve"> from </w:t>
      </w:r>
      <w:r w:rsidR="00E339EF">
        <w:t>2:00–4:00</w:t>
      </w:r>
      <w:r w:rsidR="003E43EE">
        <w:t xml:space="preserve"> pm</w:t>
      </w:r>
      <w:r w:rsidR="008D5FC8">
        <w:t xml:space="preserve"> or by appointment.  </w:t>
      </w:r>
    </w:p>
    <w:p w14:paraId="4D2F6BFE" w14:textId="77777777" w:rsidR="008D5FC8" w:rsidRDefault="008D5FC8" w:rsidP="003E2FCA"/>
    <w:p w14:paraId="2F4EC48B" w14:textId="77777777" w:rsidR="006E7BF2" w:rsidRDefault="007436B7" w:rsidP="003E2FCA">
      <w:pPr>
        <w:rPr>
          <w:u w:val="single"/>
        </w:rPr>
      </w:pPr>
      <w:r w:rsidRPr="007436B7">
        <w:rPr>
          <w:b/>
          <w:u w:val="single"/>
        </w:rPr>
        <w:t>MEETING TIME AND LOCATION</w:t>
      </w:r>
      <w:r w:rsidR="006E7BF2" w:rsidRPr="007436B7">
        <w:rPr>
          <w:u w:val="single"/>
        </w:rPr>
        <w:t xml:space="preserve"> </w:t>
      </w:r>
    </w:p>
    <w:p w14:paraId="7BD6D718" w14:textId="77777777" w:rsidR="008D1131" w:rsidRDefault="008D1131" w:rsidP="003E2FCA"/>
    <w:p w14:paraId="7C06A24F" w14:textId="7962509A" w:rsidR="007436B7" w:rsidRDefault="005E7635" w:rsidP="003E2FCA">
      <w:r>
        <w:t>Tuesday, Wednesday, and Thursday</w:t>
      </w:r>
      <w:r w:rsidR="008D5FC8">
        <w:t xml:space="preserve"> from</w:t>
      </w:r>
      <w:r w:rsidR="0097006C">
        <w:t xml:space="preserve"> </w:t>
      </w:r>
      <w:r>
        <w:t>10:30</w:t>
      </w:r>
      <w:r w:rsidR="003E43EE">
        <w:t>–11:</w:t>
      </w:r>
      <w:r>
        <w:t>25</w:t>
      </w:r>
      <w:r w:rsidR="003E43EE">
        <w:t xml:space="preserve"> am</w:t>
      </w:r>
      <w:r w:rsidR="008E4D91">
        <w:t xml:space="preserve"> in Holland Hall </w:t>
      </w:r>
      <w:r>
        <w:t>284</w:t>
      </w:r>
    </w:p>
    <w:p w14:paraId="258DB4CD" w14:textId="77777777" w:rsidR="00867D4D" w:rsidRDefault="00867D4D" w:rsidP="003E2FCA"/>
    <w:p w14:paraId="485DD8F1" w14:textId="77777777" w:rsidR="007436B7" w:rsidRDefault="007436B7" w:rsidP="003E2FCA">
      <w:r>
        <w:rPr>
          <w:b/>
          <w:u w:val="single"/>
        </w:rPr>
        <w:t>REQUIRED TEXTS</w:t>
      </w:r>
    </w:p>
    <w:p w14:paraId="53585F6E" w14:textId="77777777" w:rsidR="007436B7" w:rsidRDefault="007436B7" w:rsidP="003E2FCA">
      <w:bookmarkStart w:id="0" w:name="_GoBack"/>
      <w:bookmarkEnd w:id="0"/>
    </w:p>
    <w:p w14:paraId="0051DC8D" w14:textId="60290463" w:rsidR="007436B7" w:rsidRDefault="008D5FC8" w:rsidP="003E2FCA">
      <w:r>
        <w:rPr>
          <w:smallCaps/>
        </w:rPr>
        <w:t>Derek W. Black, Education Law: Equality, Fairness, and Reform (</w:t>
      </w:r>
      <w:r w:rsidR="005E7635">
        <w:rPr>
          <w:smallCaps/>
        </w:rPr>
        <w:t xml:space="preserve">Second Edition </w:t>
      </w:r>
      <w:r>
        <w:rPr>
          <w:smallCaps/>
        </w:rPr>
        <w:t>201</w:t>
      </w:r>
      <w:r w:rsidR="005E7635">
        <w:rPr>
          <w:smallCaps/>
        </w:rPr>
        <w:t>6</w:t>
      </w:r>
      <w:r>
        <w:rPr>
          <w:smallCaps/>
        </w:rPr>
        <w:t>).</w:t>
      </w:r>
    </w:p>
    <w:p w14:paraId="5F86BBAD" w14:textId="77777777" w:rsidR="008D1131" w:rsidRDefault="008D1131" w:rsidP="003E2FCA"/>
    <w:p w14:paraId="4EDACD5D" w14:textId="77777777" w:rsidR="006B3125" w:rsidRDefault="006B3125" w:rsidP="00545DEF">
      <w:pPr>
        <w:rPr>
          <w:b/>
          <w:u w:val="single"/>
        </w:rPr>
      </w:pPr>
      <w:r>
        <w:rPr>
          <w:b/>
          <w:u w:val="single"/>
        </w:rPr>
        <w:t>COURSE OBJECTIVES</w:t>
      </w:r>
    </w:p>
    <w:p w14:paraId="3B055821" w14:textId="77777777" w:rsidR="006B3125" w:rsidRDefault="006B3125" w:rsidP="00545DEF">
      <w:pPr>
        <w:rPr>
          <w:b/>
          <w:u w:val="single"/>
        </w:rPr>
      </w:pPr>
    </w:p>
    <w:p w14:paraId="5CE6B638" w14:textId="77777777" w:rsidR="00D034CC" w:rsidRDefault="005A3338" w:rsidP="00545DEF">
      <w:r>
        <w:t>This course provides students with an introduction to law relating to public schools (K-12), including the interplay of the U.S. Constitution, federal statutes, state, and local law.  It exam</w:t>
      </w:r>
      <w:r w:rsidR="008D5FC8">
        <w:t xml:space="preserve">ines </w:t>
      </w:r>
      <w:r>
        <w:t xml:space="preserve">the right to a public education, the equitable distribution of public educational resources, equal education opportunity, desegregation, harassment, students’ rights to expression, student disciplinary processes, search and seizure in public schools, </w:t>
      </w:r>
      <w:r w:rsidR="008D5FC8">
        <w:t xml:space="preserve">religion in the schools, </w:t>
      </w:r>
      <w:r>
        <w:t xml:space="preserve">educating students with disabilities, </w:t>
      </w:r>
      <w:r w:rsidR="008D5FC8">
        <w:t xml:space="preserve">federal reform, accountability, and testing. </w:t>
      </w:r>
    </w:p>
    <w:p w14:paraId="2D42320B" w14:textId="77777777" w:rsidR="00D034CC" w:rsidRDefault="00D034CC" w:rsidP="00545DEF"/>
    <w:p w14:paraId="5E11C4EB" w14:textId="77777777" w:rsidR="00D034CC" w:rsidRDefault="00D034CC" w:rsidP="00545DEF">
      <w:r>
        <w:rPr>
          <w:b/>
          <w:bCs/>
          <w:u w:val="single"/>
        </w:rPr>
        <w:t>LEARNING OUTCOMES</w:t>
      </w:r>
    </w:p>
    <w:p w14:paraId="5481313C" w14:textId="77777777" w:rsidR="00D034CC" w:rsidRDefault="00D034CC" w:rsidP="00545DEF"/>
    <w:p w14:paraId="125E7CA2" w14:textId="77777777" w:rsidR="00D034CC" w:rsidRDefault="00D034CC" w:rsidP="00545DEF">
      <w:r>
        <w:t>After completing this course, students should be able to:</w:t>
      </w:r>
    </w:p>
    <w:p w14:paraId="2A000C6B" w14:textId="77777777" w:rsidR="00D034CC" w:rsidRDefault="00D034CC" w:rsidP="00545DEF"/>
    <w:p w14:paraId="5712C0AE" w14:textId="28D60405" w:rsidR="006B3125" w:rsidRDefault="002417A2" w:rsidP="00D034CC">
      <w:pPr>
        <w:pStyle w:val="ListParagraph"/>
        <w:numPr>
          <w:ilvl w:val="0"/>
          <w:numId w:val="2"/>
        </w:numPr>
      </w:pPr>
      <w:r>
        <w:t xml:space="preserve">correctly identify and analyze many legal issues relating to public K–12 education settings; </w:t>
      </w:r>
    </w:p>
    <w:p w14:paraId="48EB1A55" w14:textId="77777777" w:rsidR="002417A2" w:rsidRDefault="002417A2" w:rsidP="002417A2">
      <w:pPr>
        <w:pStyle w:val="ListParagraph"/>
        <w:ind w:left="780"/>
      </w:pPr>
    </w:p>
    <w:p w14:paraId="51231363" w14:textId="7CA1756B" w:rsidR="002417A2" w:rsidRDefault="002417A2" w:rsidP="00D034CC">
      <w:pPr>
        <w:pStyle w:val="ListParagraph"/>
        <w:numPr>
          <w:ilvl w:val="0"/>
          <w:numId w:val="2"/>
        </w:numPr>
      </w:pPr>
      <w:r>
        <w:t xml:space="preserve">analyze various statues and cases </w:t>
      </w:r>
      <w:r w:rsidR="00043FC4">
        <w:t>in the</w:t>
      </w:r>
      <w:r>
        <w:t xml:space="preserve"> public K–12 education</w:t>
      </w:r>
      <w:r w:rsidR="00043FC4">
        <w:t xml:space="preserve"> context</w:t>
      </w:r>
      <w:r>
        <w:t xml:space="preserve">; </w:t>
      </w:r>
      <w:r w:rsidR="00043FC4">
        <w:t>and</w:t>
      </w:r>
    </w:p>
    <w:p w14:paraId="00598F42" w14:textId="77777777" w:rsidR="002417A2" w:rsidRDefault="002417A2" w:rsidP="002417A2">
      <w:pPr>
        <w:pStyle w:val="ListParagraph"/>
      </w:pPr>
    </w:p>
    <w:p w14:paraId="24237C05" w14:textId="4D298EE9" w:rsidR="002417A2" w:rsidRDefault="002417A2" w:rsidP="00D034CC">
      <w:pPr>
        <w:pStyle w:val="ListParagraph"/>
        <w:numPr>
          <w:ilvl w:val="0"/>
          <w:numId w:val="2"/>
        </w:numPr>
      </w:pPr>
      <w:r>
        <w:t>understand various policy issues related to public education and how to use policy to strengthen legal arguments</w:t>
      </w:r>
      <w:r w:rsidR="00B912E6">
        <w:t>.</w:t>
      </w:r>
    </w:p>
    <w:p w14:paraId="0576B320" w14:textId="77777777" w:rsidR="006B3125" w:rsidRDefault="006B3125" w:rsidP="00545DEF">
      <w:pPr>
        <w:rPr>
          <w:b/>
          <w:u w:val="single"/>
        </w:rPr>
      </w:pPr>
    </w:p>
    <w:p w14:paraId="35C272EC" w14:textId="3E31E770" w:rsidR="00545DEF" w:rsidRDefault="00D034CC" w:rsidP="00545DEF">
      <w:pPr>
        <w:rPr>
          <w:b/>
          <w:u w:val="single"/>
        </w:rPr>
      </w:pPr>
      <w:r>
        <w:rPr>
          <w:b/>
          <w:u w:val="single"/>
        </w:rPr>
        <w:t>CANVAS</w:t>
      </w:r>
    </w:p>
    <w:p w14:paraId="7FBF8639" w14:textId="77777777" w:rsidR="00545DEF" w:rsidRDefault="00545DEF" w:rsidP="00545DEF">
      <w:pPr>
        <w:rPr>
          <w:b/>
          <w:u w:val="single"/>
        </w:rPr>
      </w:pPr>
    </w:p>
    <w:p w14:paraId="4EDBF646" w14:textId="35B791BF" w:rsidR="00545DEF" w:rsidRDefault="002417A2" w:rsidP="003E2FCA">
      <w:r>
        <w:t xml:space="preserve">I will use Canvas </w:t>
      </w:r>
      <w:r w:rsidR="00043FC4">
        <w:t>to post documents related to this course.</w:t>
      </w:r>
    </w:p>
    <w:p w14:paraId="1778221E" w14:textId="77777777" w:rsidR="002417A2" w:rsidRPr="002417A2" w:rsidRDefault="002417A2" w:rsidP="003E2FCA"/>
    <w:p w14:paraId="7F36DFAF" w14:textId="77777777" w:rsidR="00043FC4" w:rsidRDefault="00043FC4" w:rsidP="003E2FCA">
      <w:pPr>
        <w:rPr>
          <w:b/>
          <w:u w:val="single"/>
        </w:rPr>
      </w:pPr>
    </w:p>
    <w:p w14:paraId="6783C168" w14:textId="5E5F0B06" w:rsidR="00FB36E6" w:rsidRDefault="0097326F" w:rsidP="003E2FCA">
      <w:pPr>
        <w:rPr>
          <w:b/>
          <w:u w:val="single"/>
        </w:rPr>
      </w:pPr>
      <w:r>
        <w:rPr>
          <w:b/>
          <w:u w:val="single"/>
        </w:rPr>
        <w:t>CLASS PARTICIPATION</w:t>
      </w:r>
    </w:p>
    <w:p w14:paraId="449F94CA" w14:textId="77777777" w:rsidR="0097326F" w:rsidRDefault="0097326F" w:rsidP="003E2FCA">
      <w:pPr>
        <w:rPr>
          <w:b/>
          <w:u w:val="single"/>
        </w:rPr>
      </w:pPr>
    </w:p>
    <w:p w14:paraId="391BD356" w14:textId="047FC551" w:rsidR="00244F4B" w:rsidRDefault="008D5FC8" w:rsidP="00244F4B">
      <w:r>
        <w:t>Twenty-five percent (2</w:t>
      </w:r>
      <w:r w:rsidR="00043FC4">
        <w:t>5</w:t>
      </w:r>
      <w:r>
        <w:t xml:space="preserve">%) of your final grade will be based on your class participation.  </w:t>
      </w:r>
      <w:r w:rsidR="008B0CC4">
        <w:t xml:space="preserve">Each day </w:t>
      </w:r>
      <w:r>
        <w:t>I expect that you will have read the assigned materials and that you will be prep</w:t>
      </w:r>
      <w:r w:rsidR="006F759D">
        <w:t>ared to discuss those materials. There will be several case studies and problems that we will evaluate together.  The expectation is that you will be prepared to meaningfully participate in each of those case studies and problems.</w:t>
      </w:r>
    </w:p>
    <w:p w14:paraId="7B876ECB" w14:textId="77777777" w:rsidR="00EA2D66" w:rsidRDefault="00EA2D66" w:rsidP="003E2FCA">
      <w:pPr>
        <w:rPr>
          <w:b/>
          <w:u w:val="single"/>
        </w:rPr>
      </w:pPr>
    </w:p>
    <w:p w14:paraId="15B258CF" w14:textId="77777777" w:rsidR="00EA2D66" w:rsidRDefault="00EA2D66" w:rsidP="00EA2D66">
      <w:r>
        <w:rPr>
          <w:b/>
          <w:u w:val="single"/>
        </w:rPr>
        <w:t>OFFICE HOURS</w:t>
      </w:r>
    </w:p>
    <w:p w14:paraId="7605C8CD" w14:textId="77777777" w:rsidR="00EA2D66" w:rsidRDefault="00EA2D66" w:rsidP="00EA2D66"/>
    <w:p w14:paraId="56F544E0" w14:textId="035273A6" w:rsidR="008B0CC4" w:rsidRDefault="008B0CC4" w:rsidP="008B0CC4">
      <w:r>
        <w:t xml:space="preserve">My office hours are on </w:t>
      </w:r>
      <w:r w:rsidR="00043FC4">
        <w:t>Mondays</w:t>
      </w:r>
      <w:r w:rsidR="003E43EE">
        <w:t xml:space="preserve"> from </w:t>
      </w:r>
      <w:r w:rsidR="00043FC4">
        <w:t>4</w:t>
      </w:r>
      <w:r w:rsidR="003E43EE">
        <w:t>:00–</w:t>
      </w:r>
      <w:r w:rsidR="00043FC4">
        <w:t>5</w:t>
      </w:r>
      <w:r w:rsidR="003E43EE">
        <w:t xml:space="preserve">:00 pm and </w:t>
      </w:r>
      <w:r w:rsidR="00043FC4">
        <w:t>Fridays</w:t>
      </w:r>
      <w:r w:rsidR="003E43EE">
        <w:t xml:space="preserve"> from 2:00–</w:t>
      </w:r>
      <w:r w:rsidR="00043FC4">
        <w:t>4</w:t>
      </w:r>
      <w:r w:rsidR="003E43EE">
        <w:t xml:space="preserve">:00 pm.  </w:t>
      </w:r>
      <w:r>
        <w:t xml:space="preserve">You may also schedule an appointment to meet with me at another time that is convenient to you.  If you want to </w:t>
      </w:r>
      <w:proofErr w:type="gramStart"/>
      <w:r>
        <w:t>plan ahead</w:t>
      </w:r>
      <w:proofErr w:type="gramEnd"/>
      <w:r>
        <w:t>, you may make an appointment during my office hours and therefore have priority over those who drop in</w:t>
      </w:r>
      <w:r w:rsidR="00043FC4">
        <w:t xml:space="preserve">.  I will have </w:t>
      </w:r>
      <w:r w:rsidR="0013573F">
        <w:t xml:space="preserve">extended office hours during reading days and the exam period.  </w:t>
      </w:r>
    </w:p>
    <w:p w14:paraId="1A602E81" w14:textId="77777777" w:rsidR="00EA2D66" w:rsidRPr="005128D1" w:rsidRDefault="00EA2D66" w:rsidP="00EA2D66"/>
    <w:p w14:paraId="76E4B844" w14:textId="77777777" w:rsidR="006F52C9" w:rsidRDefault="006F52C9" w:rsidP="003E2FCA">
      <w:pPr>
        <w:rPr>
          <w:b/>
          <w:u w:val="single"/>
        </w:rPr>
      </w:pPr>
      <w:r>
        <w:rPr>
          <w:b/>
          <w:u w:val="single"/>
        </w:rPr>
        <w:t>COMMON COURTESY</w:t>
      </w:r>
    </w:p>
    <w:p w14:paraId="3F7E0BC1" w14:textId="77777777" w:rsidR="006F52C9" w:rsidRDefault="006F52C9" w:rsidP="003E2FCA">
      <w:pPr>
        <w:rPr>
          <w:b/>
          <w:u w:val="single"/>
        </w:rPr>
      </w:pPr>
    </w:p>
    <w:p w14:paraId="6195B91D" w14:textId="57E7E831" w:rsidR="008B0CC4" w:rsidRPr="006F52C9" w:rsidRDefault="008B0CC4" w:rsidP="008B0CC4">
      <w:r>
        <w:t>Please do not arrive late to class</w:t>
      </w:r>
      <w:r w:rsidR="00B912E6">
        <w:t xml:space="preserve">, </w:t>
      </w:r>
      <w:r>
        <w:t>leave early</w:t>
      </w:r>
      <w:r w:rsidR="00B912E6">
        <w:t xml:space="preserve">, or leave to take a break during class </w:t>
      </w:r>
      <w:r>
        <w:t>absent extenuating circumstances</w:t>
      </w:r>
      <w:r w:rsidR="00B912E6">
        <w:t>.  Please t</w:t>
      </w:r>
      <w:r>
        <w:t xml:space="preserve">urn off your cell phone during class.  I reserve the right to deduct points from your final grade if you engage in behavior that disrupts the learning environment for your classmates.  </w:t>
      </w:r>
    </w:p>
    <w:p w14:paraId="47EB6ABF" w14:textId="77777777" w:rsidR="00545DEF" w:rsidRDefault="00545DEF" w:rsidP="003E2FCA"/>
    <w:p w14:paraId="2D6AF9BB" w14:textId="77777777" w:rsidR="008F0BF7" w:rsidRDefault="0016775C" w:rsidP="003E2FCA">
      <w:pPr>
        <w:rPr>
          <w:b/>
          <w:u w:val="single"/>
        </w:rPr>
      </w:pPr>
      <w:r>
        <w:rPr>
          <w:b/>
          <w:u w:val="single"/>
        </w:rPr>
        <w:t xml:space="preserve">CLASS </w:t>
      </w:r>
      <w:r w:rsidR="008F0BF7">
        <w:rPr>
          <w:b/>
          <w:u w:val="single"/>
        </w:rPr>
        <w:t>ATTENDANCE</w:t>
      </w:r>
      <w:r>
        <w:rPr>
          <w:b/>
          <w:u w:val="single"/>
        </w:rPr>
        <w:t xml:space="preserve"> POLICY</w:t>
      </w:r>
    </w:p>
    <w:p w14:paraId="7BFB3453" w14:textId="77777777" w:rsidR="008F0BF7" w:rsidRDefault="008F0BF7" w:rsidP="003E2FCA">
      <w:pPr>
        <w:rPr>
          <w:b/>
          <w:u w:val="single"/>
        </w:rPr>
      </w:pPr>
    </w:p>
    <w:p w14:paraId="6F135999" w14:textId="77777777" w:rsidR="00EA2D66" w:rsidRDefault="00EA2D66" w:rsidP="00EA2D66">
      <w:r>
        <w:t xml:space="preserve">Attendance in class is required by both the ABA and the Law School.  I will pass around an attendance sheet at the beginning of each class period.  If you miss more than six classes, your grade for the semester may be adversely affected.  If you have a medical reason for missing class, you </w:t>
      </w:r>
      <w:r w:rsidR="002B787D">
        <w:t xml:space="preserve">should </w:t>
      </w:r>
      <w:r>
        <w:t xml:space="preserve">contact me before or soon after class for your absence to be excused.  Students who miss class for religious holidays must contact me beforehand by email to be excused from class.  I will consider it a violation of the honor code if you have someone else sign you in and you are not present, and I reserve the right to lower your final grade.  </w:t>
      </w:r>
    </w:p>
    <w:p w14:paraId="54612FC0" w14:textId="77777777" w:rsidR="005A7807" w:rsidRDefault="005A7807" w:rsidP="003E2FCA"/>
    <w:p w14:paraId="2F71CB9E" w14:textId="77777777" w:rsidR="005A7807" w:rsidRDefault="005A7807" w:rsidP="005A7807">
      <w:pPr>
        <w:rPr>
          <w:b/>
          <w:u w:val="single"/>
        </w:rPr>
      </w:pPr>
      <w:r>
        <w:rPr>
          <w:b/>
          <w:u w:val="single"/>
        </w:rPr>
        <w:t>EVALUATION</w:t>
      </w:r>
    </w:p>
    <w:p w14:paraId="3B9D3155" w14:textId="77777777" w:rsidR="005A7807" w:rsidRDefault="005A7807" w:rsidP="005A7807">
      <w:pPr>
        <w:rPr>
          <w:b/>
          <w:u w:val="single"/>
        </w:rPr>
      </w:pPr>
    </w:p>
    <w:p w14:paraId="187A67EB" w14:textId="689E0146" w:rsidR="00E112A2" w:rsidRDefault="0013573F" w:rsidP="00FB5411">
      <w:pPr>
        <w:rPr>
          <w:sz w:val="22"/>
          <w:szCs w:val="22"/>
          <w:u w:val="single"/>
        </w:rPr>
      </w:pPr>
      <w:r>
        <w:t>75% of your</w:t>
      </w:r>
      <w:r w:rsidR="00EA2D66">
        <w:t xml:space="preserve"> grade will be based on a</w:t>
      </w:r>
      <w:r w:rsidR="005A7807">
        <w:t xml:space="preserve"> final examination </w:t>
      </w:r>
      <w:r w:rsidR="00BF1FB2">
        <w:t xml:space="preserve">administered </w:t>
      </w:r>
      <w:r w:rsidR="005A7807">
        <w:t xml:space="preserve">on </w:t>
      </w:r>
      <w:r>
        <w:t>Thursday, December 12, 2019,</w:t>
      </w:r>
      <w:r w:rsidR="00EA2D66">
        <w:t xml:space="preserve"> at </w:t>
      </w:r>
      <w:r w:rsidR="006D27D7">
        <w:t>1:00</w:t>
      </w:r>
      <w:r w:rsidR="00EA2D66">
        <w:t xml:space="preserve"> </w:t>
      </w:r>
      <w:r w:rsidR="006D27D7">
        <w:t>p</w:t>
      </w:r>
      <w:r w:rsidR="00EA2D66">
        <w:t>.m.  During the exam you may use any notes or outlines that you have prepared or helped prepare, but you will not be permitted to use the In</w:t>
      </w:r>
      <w:r w:rsidR="006D27D7">
        <w:t xml:space="preserve">ternet or any other materials.  </w:t>
      </w:r>
      <w:r w:rsidR="005A3338">
        <w:t xml:space="preserve">I will </w:t>
      </w:r>
      <w:r w:rsidR="00B912E6">
        <w:t>distribute</w:t>
      </w:r>
      <w:r w:rsidR="005A3338">
        <w:t xml:space="preserve"> practice exam problems in </w:t>
      </w:r>
      <w:r>
        <w:t>November</w:t>
      </w:r>
      <w:r w:rsidR="005A3338">
        <w:t xml:space="preserve"> that we wi</w:t>
      </w:r>
      <w:r w:rsidR="006D27D7">
        <w:t xml:space="preserve">ll go over </w:t>
      </w:r>
      <w:r w:rsidR="00B912E6">
        <w:t>on the last day of class</w:t>
      </w:r>
      <w:r w:rsidR="006D27D7">
        <w:t xml:space="preserve">. </w:t>
      </w:r>
    </w:p>
    <w:p w14:paraId="2AF15446" w14:textId="77777777" w:rsidR="00E112A2" w:rsidRDefault="00E112A2" w:rsidP="00FB5411">
      <w:pPr>
        <w:rPr>
          <w:sz w:val="22"/>
          <w:szCs w:val="22"/>
          <w:u w:val="single"/>
        </w:rPr>
      </w:pPr>
    </w:p>
    <w:p w14:paraId="073ADA39" w14:textId="77777777" w:rsidR="00E112A2" w:rsidRPr="00566E67" w:rsidRDefault="00E112A2" w:rsidP="00E112A2">
      <w:pPr>
        <w:rPr>
          <w:b/>
          <w:u w:val="single"/>
        </w:rPr>
      </w:pPr>
      <w:r w:rsidRPr="00566E67">
        <w:rPr>
          <w:b/>
          <w:u w:val="single"/>
        </w:rPr>
        <w:t>INFORMATION ON UF LAW GRADING POLICIES</w:t>
      </w:r>
    </w:p>
    <w:p w14:paraId="77D2798C" w14:textId="77777777" w:rsidR="00E112A2" w:rsidRPr="00150075" w:rsidRDefault="00E112A2" w:rsidP="00E112A2">
      <w:pPr>
        <w:rPr>
          <w:u w:val="single"/>
        </w:rPr>
      </w:pPr>
    </w:p>
    <w:p w14:paraId="328219CE" w14:textId="3DFBA547" w:rsidR="0013573F" w:rsidRPr="009A3F06" w:rsidRDefault="0013573F" w:rsidP="0013573F">
      <w:r w:rsidRPr="009A3F06">
        <w:t>The Levin College of Law’s mean and mandatory distributions are posted on the College’s website</w:t>
      </w:r>
      <w:r>
        <w:t xml:space="preserve">, </w:t>
      </w:r>
      <w:r w:rsidRPr="009A3F06">
        <w:t>and this class adheres to that posted grading policy. The following chart describes the specific letter grade/grade point equivalent in place:</w:t>
      </w:r>
    </w:p>
    <w:p w14:paraId="4424AF8E" w14:textId="77777777" w:rsidR="0013573F" w:rsidRPr="009A3F06" w:rsidRDefault="0013573F" w:rsidP="0013573F"/>
    <w:tbl>
      <w:tblPr>
        <w:tblW w:w="0" w:type="auto"/>
        <w:tblInd w:w="108" w:type="dxa"/>
        <w:tblCellMar>
          <w:left w:w="0" w:type="dxa"/>
          <w:right w:w="0" w:type="dxa"/>
        </w:tblCellMar>
        <w:tblLook w:val="04A0" w:firstRow="1" w:lastRow="0" w:firstColumn="1" w:lastColumn="0" w:noHBand="0" w:noVBand="1"/>
      </w:tblPr>
      <w:tblGrid>
        <w:gridCol w:w="1774"/>
        <w:gridCol w:w="1980"/>
      </w:tblGrid>
      <w:tr w:rsidR="0013573F" w:rsidRPr="009A3F06" w14:paraId="5F557677" w14:textId="77777777" w:rsidTr="004117D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6FAB82" w14:textId="77777777" w:rsidR="0013573F" w:rsidRPr="009A3F06" w:rsidRDefault="0013573F" w:rsidP="004117D6">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37AA9" w14:textId="77777777" w:rsidR="0013573F" w:rsidRPr="009A3F06" w:rsidRDefault="0013573F" w:rsidP="004117D6">
            <w:r w:rsidRPr="009A3F06">
              <w:t>Point Equivalent</w:t>
            </w:r>
          </w:p>
        </w:tc>
      </w:tr>
      <w:tr w:rsidR="0013573F" w:rsidRPr="009A3F06" w14:paraId="2AD2F00D" w14:textId="77777777" w:rsidTr="004117D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EA199" w14:textId="77777777" w:rsidR="0013573F" w:rsidRPr="009A3F06" w:rsidRDefault="0013573F" w:rsidP="004117D6">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27A59C8" w14:textId="77777777" w:rsidR="0013573F" w:rsidRPr="009A3F06" w:rsidRDefault="0013573F" w:rsidP="004117D6">
            <w:r w:rsidRPr="009A3F06">
              <w:t>4.0</w:t>
            </w:r>
          </w:p>
        </w:tc>
      </w:tr>
      <w:tr w:rsidR="0013573F" w:rsidRPr="009A3F06" w14:paraId="1FAFDB55"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FE482" w14:textId="77777777" w:rsidR="0013573F" w:rsidRPr="009A3F06" w:rsidRDefault="0013573F" w:rsidP="004117D6">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FE5281" w14:textId="77777777" w:rsidR="0013573F" w:rsidRPr="009A3F06" w:rsidRDefault="0013573F" w:rsidP="004117D6">
            <w:r w:rsidRPr="009A3F06">
              <w:t>3.67</w:t>
            </w:r>
          </w:p>
        </w:tc>
      </w:tr>
      <w:tr w:rsidR="0013573F" w:rsidRPr="009A3F06" w14:paraId="4E6AE7A1"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E15C2" w14:textId="77777777" w:rsidR="0013573F" w:rsidRPr="009A3F06" w:rsidRDefault="0013573F" w:rsidP="004117D6">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159110" w14:textId="77777777" w:rsidR="0013573F" w:rsidRPr="009A3F06" w:rsidRDefault="0013573F" w:rsidP="004117D6">
            <w:r w:rsidRPr="009A3F06">
              <w:t>3.33</w:t>
            </w:r>
          </w:p>
        </w:tc>
      </w:tr>
      <w:tr w:rsidR="0013573F" w:rsidRPr="009A3F06" w14:paraId="6BD2556D"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4FD00" w14:textId="77777777" w:rsidR="0013573F" w:rsidRPr="009A3F06" w:rsidRDefault="0013573F" w:rsidP="004117D6">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FAAF052" w14:textId="77777777" w:rsidR="0013573F" w:rsidRPr="009A3F06" w:rsidRDefault="0013573F" w:rsidP="004117D6">
            <w:r w:rsidRPr="009A3F06">
              <w:t>3.0</w:t>
            </w:r>
          </w:p>
        </w:tc>
      </w:tr>
      <w:tr w:rsidR="0013573F" w:rsidRPr="009A3F06" w14:paraId="0B7EEA6E"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4160E" w14:textId="77777777" w:rsidR="0013573F" w:rsidRPr="009A3F06" w:rsidRDefault="0013573F" w:rsidP="004117D6">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6F00D0" w14:textId="77777777" w:rsidR="0013573F" w:rsidRPr="009A3F06" w:rsidRDefault="0013573F" w:rsidP="004117D6">
            <w:r w:rsidRPr="009A3F06">
              <w:t>2.67</w:t>
            </w:r>
          </w:p>
        </w:tc>
      </w:tr>
      <w:tr w:rsidR="0013573F" w:rsidRPr="009A3F06" w14:paraId="7075059D"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440A6" w14:textId="77777777" w:rsidR="0013573F" w:rsidRPr="009A3F06" w:rsidRDefault="0013573F" w:rsidP="004117D6">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60ED1C" w14:textId="77777777" w:rsidR="0013573F" w:rsidRPr="009A3F06" w:rsidRDefault="0013573F" w:rsidP="004117D6">
            <w:r w:rsidRPr="009A3F06">
              <w:t>2.33</w:t>
            </w:r>
          </w:p>
        </w:tc>
      </w:tr>
      <w:tr w:rsidR="0013573F" w:rsidRPr="009A3F06" w14:paraId="4CF5E792"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54BF3" w14:textId="77777777" w:rsidR="0013573F" w:rsidRPr="009A3F06" w:rsidRDefault="0013573F" w:rsidP="004117D6">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1F831E" w14:textId="77777777" w:rsidR="0013573F" w:rsidRPr="009A3F06" w:rsidRDefault="0013573F" w:rsidP="004117D6">
            <w:r w:rsidRPr="009A3F06">
              <w:t>2.0</w:t>
            </w:r>
          </w:p>
        </w:tc>
      </w:tr>
      <w:tr w:rsidR="0013573F" w:rsidRPr="009A3F06" w14:paraId="078F6C32"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1A56F" w14:textId="77777777" w:rsidR="0013573F" w:rsidRPr="009A3F06" w:rsidRDefault="0013573F" w:rsidP="004117D6">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F43B2F" w14:textId="77777777" w:rsidR="0013573F" w:rsidRPr="009A3F06" w:rsidRDefault="0013573F" w:rsidP="004117D6">
            <w:r w:rsidRPr="009A3F06">
              <w:t>1.67</w:t>
            </w:r>
          </w:p>
        </w:tc>
      </w:tr>
      <w:tr w:rsidR="0013573F" w:rsidRPr="009A3F06" w14:paraId="32429AC2"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65FDB" w14:textId="77777777" w:rsidR="0013573F" w:rsidRPr="009A3F06" w:rsidRDefault="0013573F" w:rsidP="004117D6">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508160C" w14:textId="77777777" w:rsidR="0013573F" w:rsidRPr="009A3F06" w:rsidRDefault="0013573F" w:rsidP="004117D6">
            <w:r w:rsidRPr="009A3F06">
              <w:t>1.33</w:t>
            </w:r>
          </w:p>
        </w:tc>
      </w:tr>
      <w:tr w:rsidR="0013573F" w:rsidRPr="009A3F06" w14:paraId="7C3BCF0B"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7DA7F" w14:textId="77777777" w:rsidR="0013573F" w:rsidRPr="009A3F06" w:rsidRDefault="0013573F" w:rsidP="004117D6">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C601B2" w14:textId="77777777" w:rsidR="0013573F" w:rsidRPr="009A3F06" w:rsidRDefault="0013573F" w:rsidP="004117D6">
            <w:r w:rsidRPr="009A3F06">
              <w:t>1.0</w:t>
            </w:r>
          </w:p>
        </w:tc>
      </w:tr>
      <w:tr w:rsidR="0013573F" w:rsidRPr="009A3F06" w14:paraId="1809CDA3"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2E0D8" w14:textId="77777777" w:rsidR="0013573F" w:rsidRPr="009A3F06" w:rsidRDefault="0013573F" w:rsidP="004117D6">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F87E15" w14:textId="77777777" w:rsidR="0013573F" w:rsidRPr="009A3F06" w:rsidRDefault="0013573F" w:rsidP="004117D6">
            <w:r w:rsidRPr="009A3F06">
              <w:t>0.67</w:t>
            </w:r>
          </w:p>
        </w:tc>
      </w:tr>
      <w:tr w:rsidR="0013573F" w:rsidRPr="009A3F06" w14:paraId="3A09FD0C" w14:textId="77777777" w:rsidTr="004117D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B02B" w14:textId="77777777" w:rsidR="0013573F" w:rsidRPr="009A3F06" w:rsidRDefault="0013573F" w:rsidP="004117D6">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CD462E" w14:textId="77777777" w:rsidR="0013573F" w:rsidRPr="009A3F06" w:rsidRDefault="0013573F" w:rsidP="004117D6">
            <w:r w:rsidRPr="009A3F06">
              <w:t xml:space="preserve">0.0 </w:t>
            </w:r>
          </w:p>
        </w:tc>
      </w:tr>
    </w:tbl>
    <w:p w14:paraId="2C3D80E3" w14:textId="77777777" w:rsidR="0013573F" w:rsidRPr="009A3F06" w:rsidRDefault="0013573F" w:rsidP="0013573F"/>
    <w:p w14:paraId="4E8661E6" w14:textId="7A00681C" w:rsidR="0013573F" w:rsidRDefault="0013573F" w:rsidP="0013573F">
      <w:r w:rsidRPr="009A3F06">
        <w:t xml:space="preserve">The law school grading policy is available at: </w:t>
      </w:r>
      <w:hyperlink r:id="rId8" w:anchor="9" w:history="1">
        <w:r w:rsidRPr="009A3F06">
          <w:rPr>
            <w:rStyle w:val="Hyperlink"/>
          </w:rPr>
          <w:t>http://www.law.ufl.edu/student-affairs/current-students/academic-policies#9</w:t>
        </w:r>
      </w:hyperlink>
      <w:r w:rsidRPr="009A3F06">
        <w:t xml:space="preserve">. </w:t>
      </w:r>
    </w:p>
    <w:p w14:paraId="7CA6F9C5" w14:textId="2CC907A8" w:rsidR="0013573F" w:rsidRDefault="0013573F" w:rsidP="0013573F"/>
    <w:p w14:paraId="37379312" w14:textId="5E143E00" w:rsidR="0013573F" w:rsidRDefault="0013573F" w:rsidP="0013573F">
      <w:pPr>
        <w:rPr>
          <w:b/>
          <w:bCs/>
          <w:u w:val="single"/>
        </w:rPr>
      </w:pPr>
      <w:r>
        <w:rPr>
          <w:b/>
          <w:bCs/>
          <w:u w:val="single"/>
        </w:rPr>
        <w:t>ACADEMIC HONESTY</w:t>
      </w:r>
    </w:p>
    <w:p w14:paraId="499B5EA4" w14:textId="688A8ED8" w:rsidR="0013573F" w:rsidRDefault="0013573F" w:rsidP="0013573F">
      <w:pPr>
        <w:rPr>
          <w:b/>
          <w:bCs/>
          <w:u w:val="single"/>
        </w:rPr>
      </w:pPr>
    </w:p>
    <w:p w14:paraId="2887288D" w14:textId="62FA873D" w:rsidR="006D27D7" w:rsidRPr="0013573F" w:rsidRDefault="0013573F" w:rsidP="00E112A2">
      <w:r w:rsidRPr="009A3F06">
        <w:t xml:space="preserve">Academic honesty and integrity are fundamental values of the University community. Students should be sure that they understand the UF Student Honor Code at </w:t>
      </w:r>
      <w:hyperlink r:id="rId9" w:history="1">
        <w:r w:rsidRPr="009A3F06">
          <w:rPr>
            <w:rStyle w:val="Hyperlink"/>
          </w:rPr>
          <w:t>http</w:t>
        </w:r>
      </w:hyperlink>
      <w:hyperlink r:id="rId10" w:history="1">
        <w:r w:rsidRPr="009A3F06">
          <w:rPr>
            <w:rStyle w:val="Hyperlink"/>
          </w:rPr>
          <w:t>://</w:t>
        </w:r>
      </w:hyperlink>
      <w:hyperlink r:id="rId11" w:history="1">
        <w:r w:rsidRPr="009A3F06">
          <w:rPr>
            <w:rStyle w:val="Hyperlink"/>
          </w:rPr>
          <w:t>www</w:t>
        </w:r>
      </w:hyperlink>
      <w:hyperlink r:id="rId12" w:history="1">
        <w:r w:rsidRPr="009A3F06">
          <w:rPr>
            <w:rStyle w:val="Hyperlink"/>
          </w:rPr>
          <w:t>.</w:t>
        </w:r>
      </w:hyperlink>
      <w:hyperlink r:id="rId13" w:history="1">
        <w:r w:rsidRPr="009A3F06">
          <w:rPr>
            <w:rStyle w:val="Hyperlink"/>
          </w:rPr>
          <w:t>dso</w:t>
        </w:r>
      </w:hyperlink>
      <w:hyperlink r:id="rId14" w:history="1">
        <w:r w:rsidRPr="009A3F06">
          <w:rPr>
            <w:rStyle w:val="Hyperlink"/>
          </w:rPr>
          <w:t>.</w:t>
        </w:r>
      </w:hyperlink>
      <w:hyperlink r:id="rId15" w:history="1">
        <w:r w:rsidRPr="009A3F06">
          <w:rPr>
            <w:rStyle w:val="Hyperlink"/>
          </w:rPr>
          <w:t>ufl</w:t>
        </w:r>
      </w:hyperlink>
      <w:hyperlink r:id="rId16" w:history="1">
        <w:r w:rsidRPr="009A3F06">
          <w:rPr>
            <w:rStyle w:val="Hyperlink"/>
          </w:rPr>
          <w:t>.</w:t>
        </w:r>
      </w:hyperlink>
      <w:hyperlink r:id="rId17" w:history="1">
        <w:r w:rsidRPr="009A3F06">
          <w:rPr>
            <w:rStyle w:val="Hyperlink"/>
          </w:rPr>
          <w:t>edu</w:t>
        </w:r>
      </w:hyperlink>
      <w:hyperlink r:id="rId18" w:history="1">
        <w:r w:rsidRPr="009A3F06">
          <w:rPr>
            <w:rStyle w:val="Hyperlink"/>
          </w:rPr>
          <w:t>/</w:t>
        </w:r>
      </w:hyperlink>
      <w:hyperlink r:id="rId19" w:history="1">
        <w:r w:rsidRPr="009A3F06">
          <w:rPr>
            <w:rStyle w:val="Hyperlink"/>
          </w:rPr>
          <w:t>students</w:t>
        </w:r>
      </w:hyperlink>
      <w:hyperlink r:id="rId20" w:history="1">
        <w:r w:rsidRPr="009A3F06">
          <w:rPr>
            <w:rStyle w:val="Hyperlink"/>
          </w:rPr>
          <w:t>.</w:t>
        </w:r>
      </w:hyperlink>
      <w:hyperlink r:id="rId21" w:history="1">
        <w:r w:rsidRPr="009A3F06">
          <w:rPr>
            <w:rStyle w:val="Hyperlink"/>
          </w:rPr>
          <w:t>php</w:t>
        </w:r>
      </w:hyperlink>
      <w:r w:rsidRPr="009A3F06">
        <w:t>.</w:t>
      </w:r>
    </w:p>
    <w:p w14:paraId="642B70C7" w14:textId="77777777" w:rsidR="006D27D7" w:rsidRDefault="006D27D7" w:rsidP="00E112A2">
      <w:pPr>
        <w:rPr>
          <w:b/>
          <w:u w:val="single"/>
        </w:rPr>
      </w:pPr>
    </w:p>
    <w:p w14:paraId="71926E0A" w14:textId="77777777" w:rsidR="00E112A2" w:rsidRPr="00566E67" w:rsidRDefault="00E112A2" w:rsidP="00E112A2">
      <w:pPr>
        <w:rPr>
          <w:b/>
          <w:u w:val="single"/>
        </w:rPr>
      </w:pPr>
      <w:r>
        <w:rPr>
          <w:b/>
          <w:u w:val="single"/>
        </w:rPr>
        <w:t xml:space="preserve">POLICY RELATED TO MAKE-UP EXAMS </w:t>
      </w:r>
    </w:p>
    <w:p w14:paraId="1994571E" w14:textId="77777777" w:rsidR="00E112A2" w:rsidRDefault="00E112A2" w:rsidP="00E112A2">
      <w:pPr>
        <w:rPr>
          <w:u w:val="single"/>
        </w:rPr>
      </w:pPr>
    </w:p>
    <w:p w14:paraId="6ADED983" w14:textId="77777777" w:rsidR="00E112A2" w:rsidRDefault="00E112A2" w:rsidP="00E112A2">
      <w:r>
        <w:t xml:space="preserve">The law school policy on delay in taking exams can be found at: </w:t>
      </w:r>
      <w:hyperlink r:id="rId22" w:history="1">
        <w:r>
          <w:rPr>
            <w:rStyle w:val="Hyperlink"/>
          </w:rPr>
          <w:t>http://www.law.ufl.edu/student-affairs/current-students/forms-applications/exam-delays-accommodations-form</w:t>
        </w:r>
      </w:hyperlink>
    </w:p>
    <w:p w14:paraId="024B589A" w14:textId="77777777" w:rsidR="00C906C9" w:rsidRDefault="00C906C9" w:rsidP="00C906C9"/>
    <w:p w14:paraId="1F92AF8A" w14:textId="77777777" w:rsidR="00C906C9" w:rsidRDefault="00C906C9" w:rsidP="00C906C9">
      <w:pPr>
        <w:rPr>
          <w:b/>
          <w:u w:val="single"/>
        </w:rPr>
      </w:pPr>
      <w:r>
        <w:rPr>
          <w:b/>
          <w:u w:val="single"/>
        </w:rPr>
        <w:t>STATEMENT RELATED TO ACCOMODATIONS FOR STUDENTS WITH DISABILITIES</w:t>
      </w:r>
    </w:p>
    <w:p w14:paraId="5964FF53" w14:textId="77777777" w:rsidR="00C906C9" w:rsidRPr="00C906C9" w:rsidRDefault="00C906C9" w:rsidP="00C906C9">
      <w:pPr>
        <w:rPr>
          <w:b/>
          <w:u w:val="single"/>
        </w:rPr>
      </w:pPr>
    </w:p>
    <w:p w14:paraId="269015E0" w14:textId="40231E2B" w:rsidR="0013573F" w:rsidRDefault="0013573F" w:rsidP="0013573F">
      <w:r w:rsidRPr="00FA7B0F">
        <w:t xml:space="preserve">Students requesting accommodation for disabilities must first register with the </w:t>
      </w:r>
      <w:r>
        <w:t xml:space="preserve">Disability Resource Center </w:t>
      </w:r>
      <w:r w:rsidRPr="00FA7B0F">
        <w:t xml:space="preserve"> (</w:t>
      </w:r>
      <w:hyperlink r:id="rId23" w:history="1">
        <w:r w:rsidRPr="00FA7B0F">
          <w:rPr>
            <w:rStyle w:val="Hyperlink"/>
          </w:rPr>
          <w:t>http</w:t>
        </w:r>
      </w:hyperlink>
      <w:hyperlink r:id="rId24" w:history="1">
        <w:r w:rsidRPr="00FA7B0F">
          <w:rPr>
            <w:rStyle w:val="Hyperlink"/>
          </w:rPr>
          <w:t>://</w:t>
        </w:r>
      </w:hyperlink>
      <w:hyperlink r:id="rId25" w:history="1">
        <w:r w:rsidRPr="00FA7B0F">
          <w:rPr>
            <w:rStyle w:val="Hyperlink"/>
          </w:rPr>
          <w:t>www</w:t>
        </w:r>
      </w:hyperlink>
      <w:hyperlink r:id="rId26" w:history="1">
        <w:r w:rsidRPr="00FA7B0F">
          <w:rPr>
            <w:rStyle w:val="Hyperlink"/>
          </w:rPr>
          <w:t>.</w:t>
        </w:r>
      </w:hyperlink>
      <w:hyperlink r:id="rId27" w:history="1">
        <w:r w:rsidRPr="00FA7B0F">
          <w:rPr>
            <w:rStyle w:val="Hyperlink"/>
          </w:rPr>
          <w:t>ds</w:t>
        </w:r>
      </w:hyperlink>
      <w:hyperlink r:id="rId28" w:history="1">
        <w:r w:rsidRPr="00FA7B0F">
          <w:rPr>
            <w:rStyle w:val="Hyperlink"/>
          </w:rPr>
          <w:t>o</w:t>
        </w:r>
      </w:hyperlink>
      <w:hyperlink r:id="rId29" w:history="1">
        <w:r w:rsidRPr="00FA7B0F">
          <w:rPr>
            <w:rStyle w:val="Hyperlink"/>
          </w:rPr>
          <w:t>.</w:t>
        </w:r>
      </w:hyperlink>
      <w:hyperlink r:id="rId30" w:history="1">
        <w:r w:rsidRPr="00FA7B0F">
          <w:rPr>
            <w:rStyle w:val="Hyperlink"/>
          </w:rPr>
          <w:t>ufl</w:t>
        </w:r>
      </w:hyperlink>
      <w:hyperlink r:id="rId31" w:history="1">
        <w:r w:rsidRPr="00FA7B0F">
          <w:rPr>
            <w:rStyle w:val="Hyperlink"/>
          </w:rPr>
          <w:t>.</w:t>
        </w:r>
      </w:hyperlink>
      <w:hyperlink r:id="rId32" w:history="1">
        <w:r w:rsidRPr="00FA7B0F">
          <w:rPr>
            <w:rStyle w:val="Hyperlink"/>
          </w:rPr>
          <w:t>edu</w:t>
        </w:r>
      </w:hyperlink>
      <w:hyperlink r:id="rId33" w:history="1">
        <w:r w:rsidRPr="00FA7B0F">
          <w:rPr>
            <w:rStyle w:val="Hyperlink"/>
          </w:rPr>
          <w:t>/</w:t>
        </w:r>
      </w:hyperlink>
      <w:hyperlink r:id="rId34" w:history="1">
        <w:r w:rsidRPr="00FA7B0F">
          <w:rPr>
            <w:rStyle w:val="Hyperlink"/>
          </w:rPr>
          <w:t>drc</w:t>
        </w:r>
      </w:hyperlink>
      <w:hyperlink r:id="rId35" w:history="1">
        <w:r w:rsidRPr="00FA7B0F">
          <w:rPr>
            <w:rStyle w:val="Hyperlink"/>
          </w:rPr>
          <w:t>/</w:t>
        </w:r>
      </w:hyperlink>
      <w:r w:rsidRPr="00FA7B0F">
        <w:t xml:space="preserve">). </w:t>
      </w:r>
      <w:r>
        <w:t>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E49221A" w14:textId="76AE080C" w:rsidR="0013573F" w:rsidRDefault="0013573F" w:rsidP="0013573F"/>
    <w:p w14:paraId="0D77B4F1" w14:textId="1637C3DA" w:rsidR="0013573F" w:rsidRDefault="0013573F" w:rsidP="0013573F">
      <w:r>
        <w:rPr>
          <w:b/>
          <w:bCs/>
          <w:u w:val="single"/>
        </w:rPr>
        <w:t>ONLINE COURSE EVALUATION PROCESS</w:t>
      </w:r>
    </w:p>
    <w:p w14:paraId="74613EE2" w14:textId="51B66940" w:rsidR="0013573F" w:rsidRDefault="0013573F" w:rsidP="0013573F"/>
    <w:p w14:paraId="721B6B02" w14:textId="6CBC0830" w:rsidR="0013573F" w:rsidRPr="00993B84" w:rsidRDefault="0013573F" w:rsidP="0013573F">
      <w:r w:rsidRPr="00993B84">
        <w:t>Students are expected to provide professional and respectful feedback on the quality of</w:t>
      </w:r>
      <w:r>
        <w:t xml:space="preserve"> </w:t>
      </w:r>
      <w:r w:rsidRPr="00993B84">
        <w:t xml:space="preserve">instruction in this course by completing course evaluations online via </w:t>
      </w:r>
      <w:proofErr w:type="spellStart"/>
      <w:r w:rsidRPr="00993B84">
        <w:t>GatorEvals</w:t>
      </w:r>
      <w:proofErr w:type="spellEnd"/>
      <w:r w:rsidRPr="00993B84">
        <w:t>. Guidance on how to give feedback in a professional and respectful manner is available</w:t>
      </w:r>
      <w:r>
        <w:t xml:space="preserve"> at </w:t>
      </w:r>
      <w:hyperlink r:id="rId36" w:history="1">
        <w:r w:rsidRPr="003517E7">
          <w:rPr>
            <w:rStyle w:val="Hyperlink"/>
          </w:rPr>
          <w:t>https://gatorevals.aa.ufl.edu/students/</w:t>
        </w:r>
      </w:hyperlink>
      <w:r w:rsidRPr="00993B84">
        <w:t>. Students will be notified when the evaluation period opens</w:t>
      </w:r>
      <w:r>
        <w:t xml:space="preserve"> </w:t>
      </w:r>
      <w:r w:rsidRPr="00993B84">
        <w:t xml:space="preserve">and can complete evaluations through the email they receive from </w:t>
      </w:r>
      <w:proofErr w:type="spellStart"/>
      <w:r w:rsidRPr="00993B84">
        <w:t>GatorEvals</w:t>
      </w:r>
      <w:proofErr w:type="spellEnd"/>
      <w:r>
        <w:t xml:space="preserve"> </w:t>
      </w:r>
      <w:r w:rsidRPr="00993B84">
        <w:t xml:space="preserve">in their Canvas course menu under </w:t>
      </w:r>
      <w:proofErr w:type="spellStart"/>
      <w:r w:rsidRPr="00993B84">
        <w:t>GatorEvals</w:t>
      </w:r>
      <w:proofErr w:type="spellEnd"/>
      <w:r>
        <w:t xml:space="preserve"> </w:t>
      </w:r>
      <w:r w:rsidRPr="00993B84">
        <w:t>or</w:t>
      </w:r>
      <w:r w:rsidR="00B912E6">
        <w:t xml:space="preserve"> via </w:t>
      </w:r>
      <w:hyperlink r:id="rId37" w:history="1">
        <w:r w:rsidR="00B912E6" w:rsidRPr="00094F83">
          <w:rPr>
            <w:rStyle w:val="Hyperlink"/>
          </w:rPr>
          <w:t>https://ufl.bluera.com/ufl/</w:t>
        </w:r>
      </w:hyperlink>
      <w:r w:rsidRPr="00993B84">
        <w:t>. Summaries of course evaluation results are available to students at </w:t>
      </w:r>
      <w:hyperlink r:id="rId38" w:history="1">
        <w:r w:rsidRPr="00993B84">
          <w:rPr>
            <w:rStyle w:val="Hyperlink"/>
          </w:rPr>
          <w:t>https://gatorevals.aa.ufl.edu/public-results/</w:t>
        </w:r>
      </w:hyperlink>
      <w:r w:rsidRPr="00993B84">
        <w:t>.</w:t>
      </w:r>
    </w:p>
    <w:p w14:paraId="20E51048" w14:textId="77777777" w:rsidR="0013573F" w:rsidRPr="009A3F06" w:rsidRDefault="0013573F" w:rsidP="0013573F"/>
    <w:p w14:paraId="5DF08D8C" w14:textId="75AD1F03" w:rsidR="0013573F" w:rsidRDefault="0013573F" w:rsidP="0013573F">
      <w:pPr>
        <w:rPr>
          <w:b/>
          <w:bCs/>
          <w:u w:val="single"/>
        </w:rPr>
      </w:pPr>
      <w:r w:rsidRPr="0013573F">
        <w:rPr>
          <w:b/>
          <w:bCs/>
          <w:u w:val="single"/>
        </w:rPr>
        <w:t>COURSE WORKLOAD AND CLASS PREPARATION</w:t>
      </w:r>
    </w:p>
    <w:p w14:paraId="0D8BB6AC" w14:textId="43EB8C45" w:rsidR="0013573F" w:rsidRDefault="0013573F" w:rsidP="0013573F">
      <w:pPr>
        <w:rPr>
          <w:b/>
          <w:bCs/>
          <w:u w:val="single"/>
        </w:rPr>
      </w:pPr>
    </w:p>
    <w:p w14:paraId="3E711E37" w14:textId="0D5ED6CB" w:rsidR="0013573F" w:rsidRPr="0013573F" w:rsidRDefault="0013573F" w:rsidP="0013573F">
      <w:r>
        <w:t xml:space="preserve">Students should expect to spend at least two hours </w:t>
      </w:r>
      <w:r w:rsidR="00362E2A">
        <w:t>outside of class reading and preparing for every</w:t>
      </w:r>
      <w:r w:rsidR="00B912E6">
        <w:t xml:space="preserve"> </w:t>
      </w:r>
      <w:r w:rsidR="00362E2A">
        <w:t xml:space="preserve">hour </w:t>
      </w:r>
      <w:r w:rsidR="00B912E6">
        <w:t>of</w:t>
      </w:r>
      <w:r w:rsidR="00362E2A">
        <w:t xml:space="preserve"> class.  </w:t>
      </w:r>
    </w:p>
    <w:p w14:paraId="37DB6605" w14:textId="77777777" w:rsidR="00371681" w:rsidRDefault="00371681" w:rsidP="003E2FCA"/>
    <w:p w14:paraId="76E5AC13" w14:textId="77777777" w:rsidR="00371681" w:rsidRPr="00D35D22" w:rsidRDefault="00860C8C" w:rsidP="00371681">
      <w:pPr>
        <w:rPr>
          <w:b/>
          <w:u w:val="single"/>
        </w:rPr>
      </w:pPr>
      <w:r w:rsidRPr="00D35D22">
        <w:rPr>
          <w:b/>
          <w:u w:val="single"/>
        </w:rPr>
        <w:t>TOPICAL OUTLINE OF SUBJECTS TO BE COVERED (TENATIVE)</w:t>
      </w:r>
    </w:p>
    <w:p w14:paraId="64074212" w14:textId="77777777" w:rsidR="00371681" w:rsidRPr="00D35D22" w:rsidRDefault="00371681" w:rsidP="00371681"/>
    <w:p w14:paraId="057E9F68" w14:textId="4F2BE47D" w:rsidR="006D27D7" w:rsidRDefault="005711D2" w:rsidP="006D27D7">
      <w:r>
        <w:t xml:space="preserve">All assignments are in </w:t>
      </w:r>
      <w:r w:rsidR="006D27D7">
        <w:rPr>
          <w:smallCaps/>
        </w:rPr>
        <w:t>Derek W. Black, Education Law: Equality, Fairness, and Reform (</w:t>
      </w:r>
      <w:r w:rsidR="00B912E6">
        <w:rPr>
          <w:smallCaps/>
        </w:rPr>
        <w:t>Second Edition 2016</w:t>
      </w:r>
      <w:r w:rsidR="006D27D7">
        <w:rPr>
          <w:smallCaps/>
        </w:rPr>
        <w:t>).</w:t>
      </w:r>
    </w:p>
    <w:p w14:paraId="65B61DB7" w14:textId="77777777" w:rsidR="005A3338" w:rsidRDefault="005A3338" w:rsidP="005A3338"/>
    <w:p w14:paraId="169ED385" w14:textId="77777777" w:rsidR="00D94827" w:rsidRDefault="004E64AF" w:rsidP="005711D2">
      <w:r>
        <w:t xml:space="preserve">The sections below generally represent what I will attempt to cover during a class period, but they are only estimates.  We may move faster or slower depending on how the classes progress.  At some point after the end of each class, I will inform you of the reading I will attempt to cover during the next class.  Nevertheless, you can anticipate what the next class period’s reading assignment will be from the below chart if you wish to read ahead.  </w:t>
      </w:r>
    </w:p>
    <w:p w14:paraId="66254737" w14:textId="77777777" w:rsidR="00E112A2" w:rsidRDefault="00E112A2" w:rsidP="005711D2"/>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088"/>
      </w:tblGrid>
      <w:tr w:rsidR="004E64AF" w14:paraId="33D4AB4F" w14:textId="77777777" w:rsidTr="006A0415">
        <w:tc>
          <w:tcPr>
            <w:tcW w:w="5220" w:type="dxa"/>
            <w:shd w:val="clear" w:color="auto" w:fill="D9D9D9"/>
          </w:tcPr>
          <w:p w14:paraId="3F2A0822" w14:textId="77777777" w:rsidR="004E64AF" w:rsidRDefault="004E64AF" w:rsidP="006A0415">
            <w:pPr>
              <w:jc w:val="center"/>
            </w:pPr>
            <w:r>
              <w:t>TOPIC</w:t>
            </w:r>
          </w:p>
        </w:tc>
        <w:tc>
          <w:tcPr>
            <w:tcW w:w="2088" w:type="dxa"/>
            <w:shd w:val="clear" w:color="auto" w:fill="D9D9D9"/>
          </w:tcPr>
          <w:p w14:paraId="4A86E38E" w14:textId="77777777" w:rsidR="004E64AF" w:rsidRDefault="004E64AF" w:rsidP="006A0415">
            <w:pPr>
              <w:jc w:val="center"/>
            </w:pPr>
            <w:smartTag w:uri="urn:schemas-microsoft-com:office:smarttags" w:element="City">
              <w:smartTag w:uri="urn:schemas-microsoft-com:office:smarttags" w:element="place">
                <w:r>
                  <w:t>READING</w:t>
                </w:r>
              </w:smartTag>
            </w:smartTag>
          </w:p>
        </w:tc>
      </w:tr>
      <w:tr w:rsidR="004E64AF" w14:paraId="0694C68E" w14:textId="77777777" w:rsidTr="006A0415">
        <w:tc>
          <w:tcPr>
            <w:tcW w:w="5220" w:type="dxa"/>
          </w:tcPr>
          <w:p w14:paraId="00BCBEAF" w14:textId="77777777" w:rsidR="004E64AF" w:rsidRDefault="00C61560" w:rsidP="006A0415">
            <w:r>
              <w:t>Introduction to Education Law</w:t>
            </w:r>
          </w:p>
          <w:p w14:paraId="63EBEFE7" w14:textId="77777777" w:rsidR="004E64AF" w:rsidRDefault="004E64AF" w:rsidP="006A0415"/>
        </w:tc>
        <w:tc>
          <w:tcPr>
            <w:tcW w:w="2088" w:type="dxa"/>
          </w:tcPr>
          <w:p w14:paraId="6D5F50D3" w14:textId="77777777" w:rsidR="004E64AF" w:rsidRDefault="004E64AF" w:rsidP="006A0415">
            <w:r>
              <w:t xml:space="preserve">pp. </w:t>
            </w:r>
            <w:r w:rsidR="00C61560">
              <w:t>1–16</w:t>
            </w:r>
          </w:p>
          <w:p w14:paraId="7CACA722" w14:textId="77777777" w:rsidR="004E64AF" w:rsidRDefault="004E64AF" w:rsidP="004E64AF"/>
        </w:tc>
      </w:tr>
      <w:tr w:rsidR="004E64AF" w14:paraId="6FA40E96" w14:textId="77777777" w:rsidTr="006A0415">
        <w:tc>
          <w:tcPr>
            <w:tcW w:w="5220" w:type="dxa"/>
          </w:tcPr>
          <w:p w14:paraId="1491EB2A" w14:textId="77777777" w:rsidR="004E64AF" w:rsidRDefault="00C61560" w:rsidP="006A0415">
            <w:r>
              <w:t>Mandatory School Desegregation</w:t>
            </w:r>
          </w:p>
          <w:p w14:paraId="3CF758DD" w14:textId="77777777" w:rsidR="004E64AF" w:rsidRDefault="004E64AF" w:rsidP="006A0415"/>
        </w:tc>
        <w:tc>
          <w:tcPr>
            <w:tcW w:w="2088" w:type="dxa"/>
          </w:tcPr>
          <w:p w14:paraId="7818EF5F" w14:textId="77777777" w:rsidR="004E64AF" w:rsidRDefault="004E64AF" w:rsidP="00C61560">
            <w:r>
              <w:t xml:space="preserve">pp. </w:t>
            </w:r>
            <w:r w:rsidR="00C61560">
              <w:t>17–34</w:t>
            </w:r>
          </w:p>
        </w:tc>
      </w:tr>
      <w:tr w:rsidR="004E64AF" w14:paraId="4CD18F9B" w14:textId="77777777" w:rsidTr="006A0415">
        <w:tc>
          <w:tcPr>
            <w:tcW w:w="5220" w:type="dxa"/>
          </w:tcPr>
          <w:p w14:paraId="03D09319" w14:textId="77777777" w:rsidR="004E64AF" w:rsidRDefault="00C61560" w:rsidP="006A0415">
            <w:r>
              <w:t>Mandatory School Desegregation (cont.)</w:t>
            </w:r>
          </w:p>
          <w:p w14:paraId="73A7CA45" w14:textId="77777777" w:rsidR="004E64AF" w:rsidRDefault="004E64AF" w:rsidP="006A0415"/>
        </w:tc>
        <w:tc>
          <w:tcPr>
            <w:tcW w:w="2088" w:type="dxa"/>
          </w:tcPr>
          <w:p w14:paraId="0707AF02" w14:textId="73C87E72" w:rsidR="004E64AF" w:rsidRDefault="004E64AF" w:rsidP="00C61560">
            <w:r>
              <w:t xml:space="preserve">pp. </w:t>
            </w:r>
            <w:r w:rsidR="00C61560">
              <w:t>35–</w:t>
            </w:r>
            <w:r w:rsidR="00CD2CF3">
              <w:t>60</w:t>
            </w:r>
          </w:p>
        </w:tc>
      </w:tr>
      <w:tr w:rsidR="004E64AF" w14:paraId="4BFF0670" w14:textId="77777777" w:rsidTr="006A0415">
        <w:tc>
          <w:tcPr>
            <w:tcW w:w="5220" w:type="dxa"/>
          </w:tcPr>
          <w:p w14:paraId="1E7F09C6" w14:textId="77777777" w:rsidR="00C61560" w:rsidRDefault="00C61560" w:rsidP="00C61560">
            <w:r>
              <w:t>Mandatory School Desegregation (cont.)</w:t>
            </w:r>
          </w:p>
          <w:p w14:paraId="0AA6A9F4" w14:textId="77777777" w:rsidR="004E64AF" w:rsidRDefault="004E64AF" w:rsidP="006A0415"/>
        </w:tc>
        <w:tc>
          <w:tcPr>
            <w:tcW w:w="2088" w:type="dxa"/>
          </w:tcPr>
          <w:p w14:paraId="36D2B1E2" w14:textId="0C7F822E" w:rsidR="004E64AF" w:rsidRDefault="004E64AF" w:rsidP="00C61560">
            <w:r>
              <w:t xml:space="preserve">pp. </w:t>
            </w:r>
            <w:r w:rsidR="00CD2CF3">
              <w:t>60</w:t>
            </w:r>
            <w:r w:rsidR="00C61560">
              <w:t>–</w:t>
            </w:r>
            <w:r w:rsidR="00CD2CF3">
              <w:t>93</w:t>
            </w:r>
          </w:p>
        </w:tc>
      </w:tr>
      <w:tr w:rsidR="004E64AF" w14:paraId="3D251789" w14:textId="77777777" w:rsidTr="006A0415">
        <w:tc>
          <w:tcPr>
            <w:tcW w:w="5220" w:type="dxa"/>
          </w:tcPr>
          <w:p w14:paraId="1C727045" w14:textId="77777777" w:rsidR="004E64AF" w:rsidRDefault="00C61560" w:rsidP="006A0415">
            <w:r>
              <w:t>Voluntary Desegregation</w:t>
            </w:r>
          </w:p>
          <w:p w14:paraId="6D49B78B" w14:textId="77777777" w:rsidR="004E64AF" w:rsidRDefault="004E64AF" w:rsidP="006A0415"/>
        </w:tc>
        <w:tc>
          <w:tcPr>
            <w:tcW w:w="2088" w:type="dxa"/>
          </w:tcPr>
          <w:p w14:paraId="40133D57" w14:textId="05928FB1" w:rsidR="004E64AF" w:rsidRDefault="004E64AF" w:rsidP="00C61560">
            <w:r>
              <w:t xml:space="preserve">pp. </w:t>
            </w:r>
            <w:r w:rsidR="00495EFE">
              <w:t>93</w:t>
            </w:r>
            <w:r w:rsidR="00C61560">
              <w:t>–1</w:t>
            </w:r>
            <w:r w:rsidR="00495EFE">
              <w:t>13</w:t>
            </w:r>
          </w:p>
        </w:tc>
      </w:tr>
      <w:tr w:rsidR="004E64AF" w14:paraId="3FD1D861" w14:textId="77777777" w:rsidTr="006A0415">
        <w:tc>
          <w:tcPr>
            <w:tcW w:w="5220" w:type="dxa"/>
          </w:tcPr>
          <w:p w14:paraId="5304AFF2" w14:textId="77777777" w:rsidR="00C61560" w:rsidRDefault="00C61560" w:rsidP="00C61560">
            <w:r>
              <w:t>Voluntary Desegregation (cont.)</w:t>
            </w:r>
          </w:p>
          <w:p w14:paraId="75DEB432" w14:textId="77777777" w:rsidR="004E64AF" w:rsidRDefault="004E64AF" w:rsidP="006A0415"/>
        </w:tc>
        <w:tc>
          <w:tcPr>
            <w:tcW w:w="2088" w:type="dxa"/>
          </w:tcPr>
          <w:p w14:paraId="7BB3E7D5" w14:textId="0464C811" w:rsidR="004E64AF" w:rsidRDefault="004E64AF" w:rsidP="00C61560">
            <w:r>
              <w:t xml:space="preserve">pp. </w:t>
            </w:r>
            <w:r w:rsidR="00C61560">
              <w:t>1</w:t>
            </w:r>
            <w:r w:rsidR="00495EFE">
              <w:t>13</w:t>
            </w:r>
            <w:r w:rsidR="00C61560">
              <w:t>–1</w:t>
            </w:r>
            <w:r w:rsidR="00495EFE">
              <w:t>26</w:t>
            </w:r>
          </w:p>
        </w:tc>
      </w:tr>
      <w:tr w:rsidR="00495EFE" w14:paraId="1389995C" w14:textId="77777777" w:rsidTr="006A0415">
        <w:tc>
          <w:tcPr>
            <w:tcW w:w="5220" w:type="dxa"/>
          </w:tcPr>
          <w:p w14:paraId="0F6E9108" w14:textId="77777777" w:rsidR="00495EFE" w:rsidRDefault="00495EFE" w:rsidP="00C61560">
            <w:r>
              <w:t>Voluntary Desegregation (cont.)</w:t>
            </w:r>
          </w:p>
          <w:p w14:paraId="3703EB3B" w14:textId="7D7BBF80" w:rsidR="00495EFE" w:rsidRDefault="00495EFE" w:rsidP="00C61560"/>
        </w:tc>
        <w:tc>
          <w:tcPr>
            <w:tcW w:w="2088" w:type="dxa"/>
          </w:tcPr>
          <w:p w14:paraId="2C640110" w14:textId="2531AB0C" w:rsidR="00495EFE" w:rsidRDefault="00495EFE" w:rsidP="00C61560">
            <w:r>
              <w:t>pp. 126–148</w:t>
            </w:r>
          </w:p>
        </w:tc>
      </w:tr>
      <w:tr w:rsidR="004E64AF" w14:paraId="5F80B224" w14:textId="77777777" w:rsidTr="006A0415">
        <w:tc>
          <w:tcPr>
            <w:tcW w:w="5220" w:type="dxa"/>
          </w:tcPr>
          <w:p w14:paraId="7066E0C5" w14:textId="0D6D0C65" w:rsidR="004E64AF" w:rsidRPr="00AB1E0B" w:rsidRDefault="00902FF9" w:rsidP="006A0415">
            <w:r>
              <w:t>Limits of Federal Intervention</w:t>
            </w:r>
          </w:p>
          <w:p w14:paraId="35C9D61C" w14:textId="77777777" w:rsidR="004E64AF" w:rsidRPr="00995D78" w:rsidRDefault="004E64AF" w:rsidP="006A0415"/>
        </w:tc>
        <w:tc>
          <w:tcPr>
            <w:tcW w:w="2088" w:type="dxa"/>
          </w:tcPr>
          <w:p w14:paraId="1B27C36B" w14:textId="195F8B6A" w:rsidR="004E64AF" w:rsidRDefault="004E64AF" w:rsidP="00AB1E0B">
            <w:r>
              <w:t xml:space="preserve">pp. </w:t>
            </w:r>
            <w:r w:rsidR="00902FF9">
              <w:t>149</w:t>
            </w:r>
            <w:r w:rsidR="00AB1E0B">
              <w:t>–1</w:t>
            </w:r>
            <w:r w:rsidR="00902FF9">
              <w:t>68</w:t>
            </w:r>
          </w:p>
        </w:tc>
      </w:tr>
      <w:tr w:rsidR="004E64AF" w14:paraId="676F2E17" w14:textId="77777777" w:rsidTr="006A0415">
        <w:tc>
          <w:tcPr>
            <w:tcW w:w="5220" w:type="dxa"/>
          </w:tcPr>
          <w:p w14:paraId="673EF9D9" w14:textId="01740EFE" w:rsidR="004E64AF" w:rsidRDefault="00AB1E0B" w:rsidP="006A0415">
            <w:r>
              <w:t xml:space="preserve">State Constitutional Rights </w:t>
            </w:r>
          </w:p>
          <w:p w14:paraId="7603F3D0" w14:textId="77777777" w:rsidR="004E64AF" w:rsidRDefault="004E64AF" w:rsidP="006A0415"/>
        </w:tc>
        <w:tc>
          <w:tcPr>
            <w:tcW w:w="2088" w:type="dxa"/>
          </w:tcPr>
          <w:p w14:paraId="10AD67AE" w14:textId="4AFD962F" w:rsidR="004E64AF" w:rsidRDefault="004E64AF" w:rsidP="00AB1E0B">
            <w:r>
              <w:t xml:space="preserve">pp. </w:t>
            </w:r>
            <w:r w:rsidR="00AB1E0B">
              <w:t>1</w:t>
            </w:r>
            <w:r w:rsidR="00902FF9">
              <w:t>69</w:t>
            </w:r>
            <w:r w:rsidR="00AB1E0B">
              <w:t>–1</w:t>
            </w:r>
            <w:r w:rsidR="00902FF9">
              <w:t>84</w:t>
            </w:r>
          </w:p>
        </w:tc>
      </w:tr>
      <w:tr w:rsidR="004E64AF" w14:paraId="1EF14DAD" w14:textId="77777777" w:rsidTr="006A0415">
        <w:tc>
          <w:tcPr>
            <w:tcW w:w="5220" w:type="dxa"/>
          </w:tcPr>
          <w:p w14:paraId="00C92699" w14:textId="3FDA6C96" w:rsidR="00583A50" w:rsidRDefault="00AB1E0B" w:rsidP="00AB1E0B">
            <w:r>
              <w:t>State Constitutional Rights (cont.)</w:t>
            </w:r>
          </w:p>
          <w:p w14:paraId="78EDA54E" w14:textId="77777777" w:rsidR="004E64AF" w:rsidRDefault="004E64AF" w:rsidP="006A0415"/>
        </w:tc>
        <w:tc>
          <w:tcPr>
            <w:tcW w:w="2088" w:type="dxa"/>
          </w:tcPr>
          <w:p w14:paraId="4FEBAA4E" w14:textId="4A0A566C" w:rsidR="004E64AF" w:rsidRDefault="004E64AF" w:rsidP="00AB1E0B">
            <w:r>
              <w:t xml:space="preserve">pp. </w:t>
            </w:r>
            <w:r w:rsidR="00AB1E0B">
              <w:t>1</w:t>
            </w:r>
            <w:r w:rsidR="00902FF9">
              <w:t>84</w:t>
            </w:r>
            <w:r w:rsidR="00AB1E0B">
              <w:t>–20</w:t>
            </w:r>
            <w:r w:rsidR="00CD2CF3">
              <w:t>0</w:t>
            </w:r>
          </w:p>
        </w:tc>
      </w:tr>
      <w:tr w:rsidR="004E64AF" w14:paraId="51AA6DD1" w14:textId="77777777" w:rsidTr="006A0415">
        <w:tc>
          <w:tcPr>
            <w:tcW w:w="5220" w:type="dxa"/>
          </w:tcPr>
          <w:p w14:paraId="2A3DA96F" w14:textId="0311890B" w:rsidR="00AB1E0B" w:rsidRDefault="00AB1E0B" w:rsidP="00AB1E0B">
            <w:r>
              <w:t>State Constitutional Rights (cont.)</w:t>
            </w:r>
          </w:p>
          <w:p w14:paraId="1A99DB06" w14:textId="77777777" w:rsidR="004E64AF" w:rsidRDefault="004E64AF" w:rsidP="006A0415"/>
        </w:tc>
        <w:tc>
          <w:tcPr>
            <w:tcW w:w="2088" w:type="dxa"/>
          </w:tcPr>
          <w:p w14:paraId="1B742489" w14:textId="2FF547F1" w:rsidR="004E64AF" w:rsidRDefault="004E64AF" w:rsidP="00B71AE0">
            <w:r>
              <w:t xml:space="preserve">pp. </w:t>
            </w:r>
            <w:r w:rsidR="00AB1E0B">
              <w:t>2</w:t>
            </w:r>
            <w:r w:rsidR="00583A50">
              <w:t>0</w:t>
            </w:r>
            <w:r w:rsidR="00CD2CF3">
              <w:t>0</w:t>
            </w:r>
            <w:r w:rsidR="00AB1E0B">
              <w:t>–2</w:t>
            </w:r>
            <w:r w:rsidR="00902FF9">
              <w:t>2</w:t>
            </w:r>
            <w:r w:rsidR="00583A50">
              <w:t>7</w:t>
            </w:r>
          </w:p>
        </w:tc>
      </w:tr>
      <w:tr w:rsidR="001C12E8" w14:paraId="07DC7935" w14:textId="77777777" w:rsidTr="006A0415">
        <w:tc>
          <w:tcPr>
            <w:tcW w:w="5220" w:type="dxa"/>
          </w:tcPr>
          <w:p w14:paraId="4BCDCB97" w14:textId="77777777" w:rsidR="00583A50" w:rsidRDefault="00583A50" w:rsidP="00583A50">
            <w:r>
              <w:t>State Constitutional Rights (cont.)</w:t>
            </w:r>
          </w:p>
          <w:p w14:paraId="764B2F7E" w14:textId="77777777" w:rsidR="001C12E8" w:rsidRPr="001C12E8" w:rsidRDefault="001C12E8" w:rsidP="00B71AE0"/>
        </w:tc>
        <w:tc>
          <w:tcPr>
            <w:tcW w:w="2088" w:type="dxa"/>
          </w:tcPr>
          <w:p w14:paraId="3D69FCFE" w14:textId="3CC0635F" w:rsidR="001C12E8" w:rsidRPr="001C12E8" w:rsidRDefault="001C12E8" w:rsidP="001C12E8">
            <w:r w:rsidRPr="001C12E8">
              <w:t xml:space="preserve">pp. </w:t>
            </w:r>
            <w:r w:rsidR="00B71AE0">
              <w:t>2</w:t>
            </w:r>
            <w:r w:rsidR="00583A50">
              <w:t>44</w:t>
            </w:r>
            <w:r w:rsidR="00B71AE0">
              <w:t>–2</w:t>
            </w:r>
            <w:r w:rsidR="00583A50">
              <w:t>68</w:t>
            </w:r>
          </w:p>
          <w:p w14:paraId="261B7ECE" w14:textId="77777777" w:rsidR="001C12E8" w:rsidRPr="001C12E8" w:rsidRDefault="001C12E8" w:rsidP="001C12E8"/>
        </w:tc>
      </w:tr>
      <w:tr w:rsidR="00583A50" w14:paraId="727A14FE" w14:textId="77777777" w:rsidTr="006A0415">
        <w:tc>
          <w:tcPr>
            <w:tcW w:w="5220" w:type="dxa"/>
          </w:tcPr>
          <w:p w14:paraId="7BE6A950" w14:textId="77777777" w:rsidR="00583A50" w:rsidRDefault="00583A50" w:rsidP="00583A50">
            <w:r>
              <w:t>State Constitutional Rights (cont.)</w:t>
            </w:r>
          </w:p>
          <w:p w14:paraId="407850B1" w14:textId="77777777" w:rsidR="00583A50" w:rsidRDefault="00583A50" w:rsidP="00583A50"/>
        </w:tc>
        <w:tc>
          <w:tcPr>
            <w:tcW w:w="2088" w:type="dxa"/>
          </w:tcPr>
          <w:p w14:paraId="62BC724E" w14:textId="40F551E3" w:rsidR="00583A50" w:rsidRPr="001C12E8" w:rsidRDefault="00583A50" w:rsidP="001C12E8">
            <w:r>
              <w:t>pp. 268–282</w:t>
            </w:r>
          </w:p>
        </w:tc>
      </w:tr>
      <w:tr w:rsidR="00B71AE0" w14:paraId="4F1308D5" w14:textId="77777777" w:rsidTr="006A0415">
        <w:tc>
          <w:tcPr>
            <w:tcW w:w="5220" w:type="dxa"/>
          </w:tcPr>
          <w:p w14:paraId="2272379D" w14:textId="77777777" w:rsidR="00B71AE0" w:rsidRDefault="00B71AE0" w:rsidP="00B71AE0">
            <w:r>
              <w:t xml:space="preserve">Student Sexual Harassment </w:t>
            </w:r>
          </w:p>
          <w:p w14:paraId="12CC47F2" w14:textId="77777777" w:rsidR="00B71AE0" w:rsidRPr="006812C2" w:rsidRDefault="00B71AE0" w:rsidP="00B71AE0"/>
        </w:tc>
        <w:tc>
          <w:tcPr>
            <w:tcW w:w="2088" w:type="dxa"/>
          </w:tcPr>
          <w:p w14:paraId="41F0D473" w14:textId="7FB3B6AF" w:rsidR="00B71AE0" w:rsidRDefault="00B71AE0" w:rsidP="00B71AE0">
            <w:r>
              <w:t>pp. 42</w:t>
            </w:r>
            <w:r w:rsidR="00BF3D6B">
              <w:t>6</w:t>
            </w:r>
            <w:r>
              <w:t>–4</w:t>
            </w:r>
            <w:r w:rsidR="00BF3D6B">
              <w:t>41</w:t>
            </w:r>
          </w:p>
        </w:tc>
      </w:tr>
      <w:tr w:rsidR="00BF3D6B" w14:paraId="6F6E5C87" w14:textId="77777777" w:rsidTr="006A0415">
        <w:tc>
          <w:tcPr>
            <w:tcW w:w="5220" w:type="dxa"/>
          </w:tcPr>
          <w:p w14:paraId="323532B8" w14:textId="52878E60" w:rsidR="00BF3D6B" w:rsidRDefault="00BF3D6B" w:rsidP="00B71AE0">
            <w:r>
              <w:t>Sexual Orientation Discrimination/Gender Identity Discrimination</w:t>
            </w:r>
          </w:p>
          <w:p w14:paraId="2D3FFEAA" w14:textId="17C66C4B" w:rsidR="00BF3D6B" w:rsidRDefault="00BF3D6B" w:rsidP="00B71AE0"/>
        </w:tc>
        <w:tc>
          <w:tcPr>
            <w:tcW w:w="2088" w:type="dxa"/>
          </w:tcPr>
          <w:p w14:paraId="0B1994CE" w14:textId="3C3BC0C0" w:rsidR="00BF3D6B" w:rsidRDefault="00BF3D6B" w:rsidP="00B71AE0">
            <w:r>
              <w:t>pp. 440–468</w:t>
            </w:r>
          </w:p>
        </w:tc>
      </w:tr>
      <w:tr w:rsidR="00B71AE0" w14:paraId="46C4294F" w14:textId="77777777" w:rsidTr="006A0415">
        <w:tc>
          <w:tcPr>
            <w:tcW w:w="5220" w:type="dxa"/>
          </w:tcPr>
          <w:p w14:paraId="2846B10B" w14:textId="35203DDD" w:rsidR="00B71AE0" w:rsidRDefault="00B71AE0" w:rsidP="00B71AE0">
            <w:r>
              <w:t>Students with Disabilities</w:t>
            </w:r>
          </w:p>
          <w:p w14:paraId="3B02A86C" w14:textId="77777777" w:rsidR="00B71AE0" w:rsidRDefault="00B71AE0" w:rsidP="00B71AE0"/>
        </w:tc>
        <w:tc>
          <w:tcPr>
            <w:tcW w:w="2088" w:type="dxa"/>
          </w:tcPr>
          <w:p w14:paraId="7003FE44" w14:textId="0D32DC6A" w:rsidR="00B71AE0" w:rsidRDefault="00B71AE0" w:rsidP="00B71AE0">
            <w:r>
              <w:t>pp. 46</w:t>
            </w:r>
            <w:r w:rsidR="00BF3D6B">
              <w:t>9</w:t>
            </w:r>
            <w:r>
              <w:t>–4</w:t>
            </w:r>
            <w:r w:rsidR="00BF3D6B">
              <w:t>93</w:t>
            </w:r>
          </w:p>
          <w:p w14:paraId="643E5808" w14:textId="77777777" w:rsidR="00B71AE0" w:rsidRDefault="00B71AE0" w:rsidP="00B71AE0"/>
        </w:tc>
      </w:tr>
      <w:tr w:rsidR="00B71AE0" w14:paraId="46427392" w14:textId="77777777" w:rsidTr="006A0415">
        <w:tc>
          <w:tcPr>
            <w:tcW w:w="5220" w:type="dxa"/>
          </w:tcPr>
          <w:p w14:paraId="6E71A5F2" w14:textId="44CEB515" w:rsidR="00B71AE0" w:rsidRDefault="00B71AE0" w:rsidP="00B71AE0">
            <w:r>
              <w:t>Students with Disabilities</w:t>
            </w:r>
            <w:r w:rsidR="00E06C99">
              <w:t xml:space="preserve"> </w:t>
            </w:r>
            <w:r>
              <w:t>(cont.)</w:t>
            </w:r>
          </w:p>
          <w:p w14:paraId="18F8247C" w14:textId="77777777" w:rsidR="00B71AE0" w:rsidRDefault="00B71AE0" w:rsidP="00B71AE0"/>
        </w:tc>
        <w:tc>
          <w:tcPr>
            <w:tcW w:w="2088" w:type="dxa"/>
          </w:tcPr>
          <w:p w14:paraId="029C6E5C" w14:textId="04D970A6" w:rsidR="00B71AE0" w:rsidRDefault="00B71AE0" w:rsidP="00B71AE0">
            <w:r>
              <w:t>pp. 4</w:t>
            </w:r>
            <w:r w:rsidR="00E06C99">
              <w:t>9</w:t>
            </w:r>
            <w:r>
              <w:t>3–</w:t>
            </w:r>
            <w:r w:rsidR="00E06C99">
              <w:t>513</w:t>
            </w:r>
          </w:p>
        </w:tc>
      </w:tr>
      <w:tr w:rsidR="00B71AE0" w14:paraId="12AA1519" w14:textId="77777777" w:rsidTr="006A0415">
        <w:tc>
          <w:tcPr>
            <w:tcW w:w="5220" w:type="dxa"/>
          </w:tcPr>
          <w:p w14:paraId="7E589210" w14:textId="5069E263" w:rsidR="00B71AE0" w:rsidRDefault="00B71AE0" w:rsidP="00B71AE0">
            <w:r>
              <w:t>Students with Disabilities</w:t>
            </w:r>
            <w:r w:rsidR="00E06C99">
              <w:t xml:space="preserve"> </w:t>
            </w:r>
            <w:r>
              <w:t>(cont.)</w:t>
            </w:r>
          </w:p>
          <w:p w14:paraId="26E8617B" w14:textId="77777777" w:rsidR="00B71AE0" w:rsidRDefault="00B71AE0" w:rsidP="00B71AE0"/>
        </w:tc>
        <w:tc>
          <w:tcPr>
            <w:tcW w:w="2088" w:type="dxa"/>
          </w:tcPr>
          <w:p w14:paraId="3BF0744A" w14:textId="3D693B6E" w:rsidR="00B71AE0" w:rsidRPr="00E06C99" w:rsidRDefault="00B71AE0" w:rsidP="00B71AE0">
            <w:r>
              <w:t xml:space="preserve">pp. </w:t>
            </w:r>
            <w:r w:rsidR="00E06C99">
              <w:t>513</w:t>
            </w:r>
            <w:r>
              <w:t>–</w:t>
            </w:r>
            <w:r w:rsidR="00E06C99">
              <w:t xml:space="preserve">517 &amp; </w:t>
            </w:r>
            <w:proofErr w:type="spellStart"/>
            <w:r w:rsidR="00E06C99">
              <w:rPr>
                <w:i/>
                <w:iCs/>
              </w:rPr>
              <w:t>Endrew</w:t>
            </w:r>
            <w:proofErr w:type="spellEnd"/>
            <w:r w:rsidR="00E06C99">
              <w:rPr>
                <w:i/>
                <w:iCs/>
              </w:rPr>
              <w:t xml:space="preserve"> F. v. Douglas County</w:t>
            </w:r>
            <w:r w:rsidR="00E06C99">
              <w:t xml:space="preserve">, 137 S. Ct. 988 (2017). </w:t>
            </w:r>
          </w:p>
        </w:tc>
      </w:tr>
      <w:tr w:rsidR="00B71AE0" w14:paraId="04C64ECF" w14:textId="77777777" w:rsidTr="006A0415">
        <w:tc>
          <w:tcPr>
            <w:tcW w:w="5220" w:type="dxa"/>
          </w:tcPr>
          <w:p w14:paraId="5CC6530E" w14:textId="77777777" w:rsidR="00E06C99" w:rsidRDefault="00E06C99" w:rsidP="00E06C99">
            <w:r>
              <w:t>Students with Disabilities (cont.)</w:t>
            </w:r>
          </w:p>
          <w:p w14:paraId="49127895" w14:textId="77777777" w:rsidR="00B71AE0" w:rsidRDefault="00B71AE0" w:rsidP="00B71AE0"/>
        </w:tc>
        <w:tc>
          <w:tcPr>
            <w:tcW w:w="2088" w:type="dxa"/>
          </w:tcPr>
          <w:p w14:paraId="64A8BC3A" w14:textId="546C0DBF" w:rsidR="00B71AE0" w:rsidRDefault="00B71AE0" w:rsidP="00B71AE0">
            <w:r>
              <w:t xml:space="preserve">pp. </w:t>
            </w:r>
            <w:r w:rsidR="00E06C99">
              <w:t>517–534</w:t>
            </w:r>
          </w:p>
          <w:p w14:paraId="3849DD94" w14:textId="77777777" w:rsidR="00B71AE0" w:rsidRDefault="00B71AE0" w:rsidP="00B71AE0"/>
        </w:tc>
      </w:tr>
      <w:tr w:rsidR="00B71AE0" w14:paraId="1A764963" w14:textId="77777777" w:rsidTr="006A0415">
        <w:tc>
          <w:tcPr>
            <w:tcW w:w="5220" w:type="dxa"/>
          </w:tcPr>
          <w:p w14:paraId="3F6D1D13" w14:textId="77777777" w:rsidR="00E06C99" w:rsidRDefault="00E06C99" w:rsidP="00E06C99">
            <w:r>
              <w:t>Students with Disabilities (cont.)</w:t>
            </w:r>
          </w:p>
          <w:p w14:paraId="53175832" w14:textId="77777777" w:rsidR="00B71AE0" w:rsidRDefault="00B71AE0" w:rsidP="00B71AE0"/>
        </w:tc>
        <w:tc>
          <w:tcPr>
            <w:tcW w:w="2088" w:type="dxa"/>
          </w:tcPr>
          <w:p w14:paraId="419F61C3" w14:textId="152ABDFD" w:rsidR="00B71AE0" w:rsidRDefault="00B71AE0" w:rsidP="00B71AE0">
            <w:r>
              <w:t>pp. 5</w:t>
            </w:r>
            <w:r w:rsidR="00E06C99">
              <w:t>34</w:t>
            </w:r>
            <w:r>
              <w:t>–54</w:t>
            </w:r>
            <w:r w:rsidR="00E06C99">
              <w:t>6</w:t>
            </w:r>
          </w:p>
        </w:tc>
      </w:tr>
      <w:tr w:rsidR="00B71AE0" w14:paraId="44F3B2C2" w14:textId="77777777" w:rsidTr="006A0415">
        <w:tc>
          <w:tcPr>
            <w:tcW w:w="5220" w:type="dxa"/>
          </w:tcPr>
          <w:p w14:paraId="46EA22BF" w14:textId="77777777" w:rsidR="00B71AE0" w:rsidRDefault="00B71AE0" w:rsidP="00B71AE0">
            <w:r>
              <w:t>Procedural Due Process</w:t>
            </w:r>
          </w:p>
          <w:p w14:paraId="1F43D3AD" w14:textId="77777777" w:rsidR="00B71AE0" w:rsidRDefault="00B71AE0" w:rsidP="00B71AE0"/>
        </w:tc>
        <w:tc>
          <w:tcPr>
            <w:tcW w:w="2088" w:type="dxa"/>
          </w:tcPr>
          <w:p w14:paraId="081C68F8" w14:textId="05FB4628" w:rsidR="00B71AE0" w:rsidRDefault="00B71AE0" w:rsidP="00B71AE0">
            <w:r>
              <w:t>pp. 54</w:t>
            </w:r>
            <w:r w:rsidR="00E06C99">
              <w:t>7</w:t>
            </w:r>
            <w:r>
              <w:t>–56</w:t>
            </w:r>
            <w:r w:rsidR="00E06C99">
              <w:t>8</w:t>
            </w:r>
          </w:p>
        </w:tc>
      </w:tr>
      <w:tr w:rsidR="00B71AE0" w14:paraId="2CB049D6" w14:textId="77777777" w:rsidTr="006A0415">
        <w:tc>
          <w:tcPr>
            <w:tcW w:w="5220" w:type="dxa"/>
          </w:tcPr>
          <w:p w14:paraId="541D8CF3" w14:textId="77777777" w:rsidR="00B71AE0" w:rsidRDefault="00B71AE0" w:rsidP="00B71AE0">
            <w:r>
              <w:t>Procedural Due Process (cont.)</w:t>
            </w:r>
          </w:p>
          <w:p w14:paraId="0CB52344" w14:textId="77777777" w:rsidR="00B71AE0" w:rsidRDefault="00B71AE0" w:rsidP="00B71AE0"/>
        </w:tc>
        <w:tc>
          <w:tcPr>
            <w:tcW w:w="2088" w:type="dxa"/>
          </w:tcPr>
          <w:p w14:paraId="1C16AB24" w14:textId="7A76EB99" w:rsidR="00B71AE0" w:rsidRDefault="00B71AE0" w:rsidP="00B71AE0">
            <w:r>
              <w:t>pp. 56</w:t>
            </w:r>
            <w:r w:rsidR="00E06C99">
              <w:t>8</w:t>
            </w:r>
            <w:r>
              <w:t>–58</w:t>
            </w:r>
            <w:r w:rsidR="00E06C99">
              <w:t>3</w:t>
            </w:r>
            <w:r>
              <w:t xml:space="preserve"> </w:t>
            </w:r>
          </w:p>
        </w:tc>
      </w:tr>
      <w:tr w:rsidR="00B71AE0" w14:paraId="5C9928AA" w14:textId="77777777" w:rsidTr="006A0415">
        <w:tc>
          <w:tcPr>
            <w:tcW w:w="5220" w:type="dxa"/>
          </w:tcPr>
          <w:p w14:paraId="020D74B5" w14:textId="77777777" w:rsidR="00B71AE0" w:rsidRDefault="00B71AE0" w:rsidP="00B71AE0">
            <w:r>
              <w:t>Substantive Due Process; Due Process when Education is a Constitutional Right</w:t>
            </w:r>
          </w:p>
          <w:p w14:paraId="5942EEB0" w14:textId="77777777" w:rsidR="00B71AE0" w:rsidRDefault="00B71AE0" w:rsidP="00B71AE0"/>
        </w:tc>
        <w:tc>
          <w:tcPr>
            <w:tcW w:w="2088" w:type="dxa"/>
          </w:tcPr>
          <w:p w14:paraId="77CBB2D9" w14:textId="757B937E" w:rsidR="00B71AE0" w:rsidRDefault="00B71AE0" w:rsidP="00B71AE0">
            <w:r>
              <w:t>pp. 58</w:t>
            </w:r>
            <w:r w:rsidR="00E06C99">
              <w:t>3</w:t>
            </w:r>
            <w:r>
              <w:t>–6</w:t>
            </w:r>
            <w:r w:rsidR="00E06C99">
              <w:t>16</w:t>
            </w:r>
          </w:p>
        </w:tc>
      </w:tr>
      <w:tr w:rsidR="00B71AE0" w14:paraId="36AF67CF" w14:textId="77777777" w:rsidTr="006A0415">
        <w:tc>
          <w:tcPr>
            <w:tcW w:w="5220" w:type="dxa"/>
          </w:tcPr>
          <w:p w14:paraId="7AB9E915" w14:textId="77777777" w:rsidR="00B71AE0" w:rsidRDefault="00B71AE0" w:rsidP="00B71AE0">
            <w:r>
              <w:t>Search and Seizure</w:t>
            </w:r>
          </w:p>
          <w:p w14:paraId="492FB6FA" w14:textId="77777777" w:rsidR="00B71AE0" w:rsidRDefault="00B71AE0" w:rsidP="00B71AE0"/>
        </w:tc>
        <w:tc>
          <w:tcPr>
            <w:tcW w:w="2088" w:type="dxa"/>
          </w:tcPr>
          <w:p w14:paraId="468B6179" w14:textId="47C7994E" w:rsidR="00B71AE0" w:rsidRDefault="00B71AE0" w:rsidP="00B71AE0">
            <w:r>
              <w:t>pp. 6</w:t>
            </w:r>
            <w:r w:rsidR="00EC4571">
              <w:t>16</w:t>
            </w:r>
            <w:r>
              <w:t>–6</w:t>
            </w:r>
            <w:r w:rsidR="00EC4571">
              <w:t>32</w:t>
            </w:r>
          </w:p>
          <w:p w14:paraId="6C2731D3" w14:textId="77777777" w:rsidR="00B71AE0" w:rsidRDefault="00B71AE0" w:rsidP="00B71AE0"/>
        </w:tc>
      </w:tr>
      <w:tr w:rsidR="00B71AE0" w14:paraId="682F72C5" w14:textId="77777777" w:rsidTr="006A0415">
        <w:tc>
          <w:tcPr>
            <w:tcW w:w="5220" w:type="dxa"/>
          </w:tcPr>
          <w:p w14:paraId="022E494B" w14:textId="726EEDCE" w:rsidR="00B71AE0" w:rsidRDefault="00B71AE0" w:rsidP="00B71AE0">
            <w:r>
              <w:t>Search and Seizure (cont.)</w:t>
            </w:r>
            <w:r w:rsidR="00EC4571">
              <w:t>; Student Interrogation</w:t>
            </w:r>
          </w:p>
          <w:p w14:paraId="44BE7499" w14:textId="77777777" w:rsidR="00B71AE0" w:rsidRDefault="00B71AE0" w:rsidP="00B71AE0"/>
        </w:tc>
        <w:tc>
          <w:tcPr>
            <w:tcW w:w="2088" w:type="dxa"/>
          </w:tcPr>
          <w:p w14:paraId="598BEDD2" w14:textId="6DE96DBA" w:rsidR="00B71AE0" w:rsidRDefault="00B71AE0" w:rsidP="00B71AE0">
            <w:r>
              <w:t>pp. 6</w:t>
            </w:r>
            <w:r w:rsidR="00EC4571">
              <w:t>32</w:t>
            </w:r>
            <w:r>
              <w:t>–6</w:t>
            </w:r>
            <w:r w:rsidR="00EC4571">
              <w:t>52</w:t>
            </w:r>
          </w:p>
        </w:tc>
      </w:tr>
      <w:tr w:rsidR="00B71AE0" w14:paraId="73DDBB25" w14:textId="77777777" w:rsidTr="006A0415">
        <w:tc>
          <w:tcPr>
            <w:tcW w:w="5220" w:type="dxa"/>
          </w:tcPr>
          <w:p w14:paraId="7F52D577" w14:textId="77777777" w:rsidR="00B71AE0" w:rsidRDefault="00B71AE0" w:rsidP="00B71AE0">
            <w:r>
              <w:t>The Supreme Court’s Student Speech Framework</w:t>
            </w:r>
          </w:p>
        </w:tc>
        <w:tc>
          <w:tcPr>
            <w:tcW w:w="2088" w:type="dxa"/>
          </w:tcPr>
          <w:p w14:paraId="27D437A2" w14:textId="4C9CF077" w:rsidR="00B71AE0" w:rsidRDefault="00B71AE0" w:rsidP="00B71AE0">
            <w:r>
              <w:t>pp. 6</w:t>
            </w:r>
            <w:r w:rsidR="00EC4571">
              <w:t>53</w:t>
            </w:r>
            <w:r>
              <w:t>–66</w:t>
            </w:r>
            <w:r w:rsidR="00EC4571">
              <w:t>8</w:t>
            </w:r>
          </w:p>
          <w:p w14:paraId="13671001" w14:textId="77777777" w:rsidR="00B71AE0" w:rsidRDefault="00B71AE0" w:rsidP="00B71AE0"/>
        </w:tc>
      </w:tr>
      <w:tr w:rsidR="00B71AE0" w14:paraId="1F6A385B" w14:textId="77777777" w:rsidTr="006A0415">
        <w:tc>
          <w:tcPr>
            <w:tcW w:w="5220" w:type="dxa"/>
          </w:tcPr>
          <w:p w14:paraId="1C6170E8" w14:textId="77777777" w:rsidR="00B71AE0" w:rsidRDefault="00B71AE0" w:rsidP="00B71AE0">
            <w:r>
              <w:t>The Supreme Court’s Student Speech Framework  (cont.)</w:t>
            </w:r>
          </w:p>
          <w:p w14:paraId="61352E80" w14:textId="77777777" w:rsidR="00B71AE0" w:rsidRDefault="00B71AE0" w:rsidP="00B71AE0"/>
        </w:tc>
        <w:tc>
          <w:tcPr>
            <w:tcW w:w="2088" w:type="dxa"/>
          </w:tcPr>
          <w:p w14:paraId="5045C382" w14:textId="40859AEE" w:rsidR="00B71AE0" w:rsidRDefault="00B71AE0" w:rsidP="00B71AE0">
            <w:r>
              <w:t>pp. 66</w:t>
            </w:r>
            <w:r w:rsidR="00EC4571">
              <w:t>8</w:t>
            </w:r>
            <w:r>
              <w:t>–6</w:t>
            </w:r>
            <w:r w:rsidR="00EC4571">
              <w:t>91</w:t>
            </w:r>
          </w:p>
        </w:tc>
      </w:tr>
      <w:tr w:rsidR="00B71AE0" w14:paraId="5F671817" w14:textId="77777777" w:rsidTr="006A0415">
        <w:tc>
          <w:tcPr>
            <w:tcW w:w="5220" w:type="dxa"/>
          </w:tcPr>
          <w:p w14:paraId="4900C4A3" w14:textId="77777777" w:rsidR="00B71AE0" w:rsidRDefault="00B71AE0" w:rsidP="00B71AE0">
            <w:r>
              <w:t>Authority to Restrict Student Speech that is Hurtful to Other Members of the School Community</w:t>
            </w:r>
          </w:p>
          <w:p w14:paraId="3D84894A" w14:textId="77777777" w:rsidR="00B71AE0" w:rsidRDefault="00B71AE0" w:rsidP="00B71AE0"/>
        </w:tc>
        <w:tc>
          <w:tcPr>
            <w:tcW w:w="2088" w:type="dxa"/>
          </w:tcPr>
          <w:p w14:paraId="2093C130" w14:textId="3A0C7A5A" w:rsidR="00B71AE0" w:rsidRDefault="00B71AE0" w:rsidP="00B71AE0">
            <w:r>
              <w:t>pp. 6</w:t>
            </w:r>
            <w:r w:rsidR="00EC4571">
              <w:t>91</w:t>
            </w:r>
            <w:r>
              <w:t>–705</w:t>
            </w:r>
          </w:p>
        </w:tc>
      </w:tr>
      <w:tr w:rsidR="00B71AE0" w14:paraId="416B09F6" w14:textId="77777777" w:rsidTr="006A0415">
        <w:tc>
          <w:tcPr>
            <w:tcW w:w="5220" w:type="dxa"/>
          </w:tcPr>
          <w:p w14:paraId="11141967" w14:textId="77777777" w:rsidR="00B71AE0" w:rsidRDefault="00B71AE0" w:rsidP="00B71AE0">
            <w:pPr>
              <w:rPr>
                <w:i/>
              </w:rPr>
            </w:pPr>
            <w:r>
              <w:t>School Authority Over Students’ Off-Campus Speech</w:t>
            </w:r>
          </w:p>
          <w:p w14:paraId="4B1F3F3D" w14:textId="77777777" w:rsidR="00B71AE0" w:rsidRDefault="00B71AE0" w:rsidP="00B71AE0"/>
        </w:tc>
        <w:tc>
          <w:tcPr>
            <w:tcW w:w="2088" w:type="dxa"/>
          </w:tcPr>
          <w:p w14:paraId="08C9D131" w14:textId="77777777" w:rsidR="00B71AE0" w:rsidRDefault="00B71AE0" w:rsidP="00B71AE0">
            <w:r>
              <w:t>pp. 705–727</w:t>
            </w:r>
          </w:p>
        </w:tc>
      </w:tr>
      <w:tr w:rsidR="00B71AE0" w14:paraId="013FA0A9" w14:textId="77777777" w:rsidTr="006A0415">
        <w:tc>
          <w:tcPr>
            <w:tcW w:w="5220" w:type="dxa"/>
          </w:tcPr>
          <w:p w14:paraId="4269EEF2" w14:textId="77777777" w:rsidR="00B71AE0" w:rsidRDefault="00B71AE0" w:rsidP="00B71AE0">
            <w:pPr>
              <w:rPr>
                <w:i/>
              </w:rPr>
            </w:pPr>
            <w:r>
              <w:t>School Authority Over Students’ Off-Campus Speech (cont.); School Dress Codes</w:t>
            </w:r>
          </w:p>
          <w:p w14:paraId="750085D0" w14:textId="77777777" w:rsidR="00B71AE0" w:rsidRDefault="00B71AE0" w:rsidP="00B71AE0"/>
        </w:tc>
        <w:tc>
          <w:tcPr>
            <w:tcW w:w="2088" w:type="dxa"/>
          </w:tcPr>
          <w:p w14:paraId="301A7CD7" w14:textId="6B4F7616" w:rsidR="00B71AE0" w:rsidRDefault="00B71AE0" w:rsidP="00B71AE0">
            <w:r>
              <w:t>pp. 727–7</w:t>
            </w:r>
            <w:r w:rsidR="00E46800">
              <w:t>5</w:t>
            </w:r>
            <w:r>
              <w:t>2</w:t>
            </w:r>
          </w:p>
          <w:p w14:paraId="03341CC0" w14:textId="77777777" w:rsidR="00B71AE0" w:rsidRDefault="00B71AE0" w:rsidP="00B71AE0"/>
        </w:tc>
      </w:tr>
      <w:tr w:rsidR="00B71AE0" w14:paraId="7DA89C02" w14:textId="77777777" w:rsidTr="006A0415">
        <w:tc>
          <w:tcPr>
            <w:tcW w:w="5220" w:type="dxa"/>
          </w:tcPr>
          <w:p w14:paraId="01031BA3" w14:textId="77777777" w:rsidR="00B71AE0" w:rsidRDefault="00B71AE0" w:rsidP="00B71AE0">
            <w:r>
              <w:t>Every Student Succeeds Act; Standardized Testing</w:t>
            </w:r>
          </w:p>
          <w:p w14:paraId="6F47F514" w14:textId="77777777" w:rsidR="00B71AE0" w:rsidRDefault="00B71AE0" w:rsidP="00B71AE0"/>
        </w:tc>
        <w:tc>
          <w:tcPr>
            <w:tcW w:w="2088" w:type="dxa"/>
          </w:tcPr>
          <w:p w14:paraId="3691E82C" w14:textId="45476288" w:rsidR="00B71AE0" w:rsidRDefault="00A211C8" w:rsidP="00B71AE0">
            <w:r>
              <w:t xml:space="preserve">pp. </w:t>
            </w:r>
            <w:r w:rsidR="00E46800">
              <w:t>951–</w:t>
            </w:r>
            <w:r>
              <w:t>1004 (skim the ESSA)</w:t>
            </w:r>
          </w:p>
          <w:p w14:paraId="1684BF39" w14:textId="77777777" w:rsidR="00B71AE0" w:rsidRDefault="00B71AE0" w:rsidP="00B71AE0"/>
        </w:tc>
      </w:tr>
      <w:tr w:rsidR="00B71AE0" w14:paraId="5A262C7F" w14:textId="77777777" w:rsidTr="006A0415">
        <w:tc>
          <w:tcPr>
            <w:tcW w:w="5220" w:type="dxa"/>
          </w:tcPr>
          <w:p w14:paraId="487602AB" w14:textId="77777777" w:rsidR="00B71AE0" w:rsidRDefault="00B71AE0" w:rsidP="00B71AE0">
            <w:r>
              <w:t>Charter Schools</w:t>
            </w:r>
          </w:p>
          <w:p w14:paraId="72514365" w14:textId="77777777" w:rsidR="00B71AE0" w:rsidRDefault="00B71AE0" w:rsidP="00B71AE0"/>
        </w:tc>
        <w:tc>
          <w:tcPr>
            <w:tcW w:w="2088" w:type="dxa"/>
          </w:tcPr>
          <w:p w14:paraId="32935B66" w14:textId="3F4E89EC" w:rsidR="00B71AE0" w:rsidRDefault="00B71AE0" w:rsidP="00B71AE0">
            <w:r>
              <w:t xml:space="preserve">pp. </w:t>
            </w:r>
            <w:r w:rsidR="007073A7">
              <w:t>1053–1073</w:t>
            </w:r>
          </w:p>
        </w:tc>
      </w:tr>
      <w:tr w:rsidR="00B71AE0" w14:paraId="61799B16" w14:textId="77777777" w:rsidTr="006A0415">
        <w:tc>
          <w:tcPr>
            <w:tcW w:w="5220" w:type="dxa"/>
          </w:tcPr>
          <w:p w14:paraId="0585F92E" w14:textId="77777777" w:rsidR="00B71AE0" w:rsidRDefault="00B71AE0" w:rsidP="00B71AE0">
            <w:r>
              <w:t>Charter Schools (cont.)</w:t>
            </w:r>
          </w:p>
          <w:p w14:paraId="7FB5028B" w14:textId="77777777" w:rsidR="00B71AE0" w:rsidRDefault="00B71AE0" w:rsidP="00B71AE0"/>
        </w:tc>
        <w:tc>
          <w:tcPr>
            <w:tcW w:w="2088" w:type="dxa"/>
          </w:tcPr>
          <w:p w14:paraId="5E2F8E79" w14:textId="5F232391" w:rsidR="00B71AE0" w:rsidRDefault="00B71AE0" w:rsidP="00B71AE0">
            <w:r>
              <w:t xml:space="preserve">pp. </w:t>
            </w:r>
            <w:r w:rsidR="007073A7">
              <w:t>1073</w:t>
            </w:r>
            <w:r>
              <w:t>–</w:t>
            </w:r>
            <w:r w:rsidR="007073A7">
              <w:t>1087</w:t>
            </w:r>
          </w:p>
        </w:tc>
      </w:tr>
      <w:tr w:rsidR="00B71AE0" w14:paraId="13A5BC01" w14:textId="77777777" w:rsidTr="006A0415">
        <w:tc>
          <w:tcPr>
            <w:tcW w:w="5220" w:type="dxa"/>
          </w:tcPr>
          <w:p w14:paraId="113F80BF" w14:textId="77777777" w:rsidR="00B71AE0" w:rsidRDefault="00B71AE0" w:rsidP="00B71AE0">
            <w:r>
              <w:t xml:space="preserve">Vouchers </w:t>
            </w:r>
          </w:p>
          <w:p w14:paraId="4C3AEC7D" w14:textId="77777777" w:rsidR="00B71AE0" w:rsidRDefault="00B71AE0" w:rsidP="00B71AE0"/>
        </w:tc>
        <w:tc>
          <w:tcPr>
            <w:tcW w:w="2088" w:type="dxa"/>
          </w:tcPr>
          <w:p w14:paraId="0B8F4DBB" w14:textId="6FAC576B" w:rsidR="00B71AE0" w:rsidRDefault="00B71AE0" w:rsidP="00B71AE0">
            <w:r>
              <w:t xml:space="preserve">pp. </w:t>
            </w:r>
            <w:r w:rsidR="007073A7">
              <w:t>1087–1101</w:t>
            </w:r>
          </w:p>
        </w:tc>
      </w:tr>
      <w:tr w:rsidR="00B71AE0" w14:paraId="7F6EE4A6" w14:textId="77777777" w:rsidTr="006A0415">
        <w:tc>
          <w:tcPr>
            <w:tcW w:w="5220" w:type="dxa"/>
          </w:tcPr>
          <w:p w14:paraId="582A2743" w14:textId="77777777" w:rsidR="00B71AE0" w:rsidRDefault="00B71AE0" w:rsidP="00B71AE0">
            <w:r>
              <w:t>School Prayer; Moments of Silence</w:t>
            </w:r>
          </w:p>
          <w:p w14:paraId="64311851" w14:textId="77777777" w:rsidR="00B71AE0" w:rsidRDefault="00B71AE0" w:rsidP="00B71AE0"/>
        </w:tc>
        <w:tc>
          <w:tcPr>
            <w:tcW w:w="2088" w:type="dxa"/>
          </w:tcPr>
          <w:p w14:paraId="4A7ED99B" w14:textId="24E89B0A" w:rsidR="00B71AE0" w:rsidRDefault="00B71AE0" w:rsidP="00B71AE0">
            <w:r>
              <w:t>pp. 7</w:t>
            </w:r>
            <w:r w:rsidR="007073A7">
              <w:t>53</w:t>
            </w:r>
            <w:r>
              <w:t>–7</w:t>
            </w:r>
            <w:r w:rsidR="007073A7">
              <w:t>87</w:t>
            </w:r>
          </w:p>
        </w:tc>
      </w:tr>
      <w:tr w:rsidR="00B71AE0" w14:paraId="60494A5C" w14:textId="77777777" w:rsidTr="006A0415">
        <w:tc>
          <w:tcPr>
            <w:tcW w:w="5220" w:type="dxa"/>
          </w:tcPr>
          <w:p w14:paraId="5C46B03C" w14:textId="77777777" w:rsidR="00B71AE0" w:rsidRDefault="00B71AE0" w:rsidP="00B71AE0">
            <w:r>
              <w:t>Establishment Clause Limits on Funding of Private Religious Education</w:t>
            </w:r>
          </w:p>
          <w:p w14:paraId="1EE3D86C" w14:textId="77777777" w:rsidR="00B71AE0" w:rsidRDefault="00B71AE0" w:rsidP="00B71AE0"/>
        </w:tc>
        <w:tc>
          <w:tcPr>
            <w:tcW w:w="2088" w:type="dxa"/>
          </w:tcPr>
          <w:p w14:paraId="25F26CEB" w14:textId="3C623ACE" w:rsidR="00B71AE0" w:rsidRDefault="00B71AE0" w:rsidP="00B71AE0">
            <w:r>
              <w:t xml:space="preserve">pp. </w:t>
            </w:r>
            <w:r w:rsidR="00FD07B8">
              <w:t>800–825</w:t>
            </w:r>
          </w:p>
        </w:tc>
      </w:tr>
      <w:tr w:rsidR="00B71AE0" w14:paraId="101FF9A3" w14:textId="77777777" w:rsidTr="006A0415">
        <w:tc>
          <w:tcPr>
            <w:tcW w:w="5220" w:type="dxa"/>
          </w:tcPr>
          <w:p w14:paraId="76B6A733" w14:textId="77777777" w:rsidR="00B71AE0" w:rsidRDefault="00B71AE0" w:rsidP="00B71AE0">
            <w:r>
              <w:t>Free Exercise of Religion in the Public Schools</w:t>
            </w:r>
          </w:p>
          <w:p w14:paraId="5839526D" w14:textId="77777777" w:rsidR="00B71AE0" w:rsidRDefault="00B71AE0" w:rsidP="00B71AE0"/>
        </w:tc>
        <w:tc>
          <w:tcPr>
            <w:tcW w:w="2088" w:type="dxa"/>
          </w:tcPr>
          <w:p w14:paraId="2A1C0607" w14:textId="51BD0BD1" w:rsidR="00B71AE0" w:rsidRDefault="00B71AE0" w:rsidP="00B71AE0">
            <w:r>
              <w:t xml:space="preserve">pp. </w:t>
            </w:r>
            <w:r w:rsidR="00FD07B8">
              <w:t>825</w:t>
            </w:r>
            <w:r>
              <w:t>–8</w:t>
            </w:r>
            <w:r w:rsidR="00FD07B8">
              <w:t>52</w:t>
            </w:r>
          </w:p>
        </w:tc>
      </w:tr>
      <w:tr w:rsidR="00B71AE0" w14:paraId="61AC09F9" w14:textId="77777777" w:rsidTr="006A0415">
        <w:tc>
          <w:tcPr>
            <w:tcW w:w="5220" w:type="dxa"/>
          </w:tcPr>
          <w:p w14:paraId="35B89372" w14:textId="77777777" w:rsidR="00B71AE0" w:rsidRDefault="00B71AE0" w:rsidP="00B71AE0">
            <w:r>
              <w:t>Equal Access: The Public School as Public Forum</w:t>
            </w:r>
          </w:p>
          <w:p w14:paraId="04FD3CDB" w14:textId="77777777" w:rsidR="00B71AE0" w:rsidRDefault="00B71AE0" w:rsidP="00B71AE0"/>
        </w:tc>
        <w:tc>
          <w:tcPr>
            <w:tcW w:w="2088" w:type="dxa"/>
          </w:tcPr>
          <w:p w14:paraId="02145921" w14:textId="720D61BF" w:rsidR="00B71AE0" w:rsidRDefault="00B71AE0" w:rsidP="00B71AE0">
            <w:r>
              <w:t>pp. 8</w:t>
            </w:r>
            <w:r w:rsidR="00FD07B8">
              <w:t>52</w:t>
            </w:r>
            <w:r>
              <w:t>–8</w:t>
            </w:r>
            <w:r w:rsidR="00FD07B8">
              <w:t>82</w:t>
            </w:r>
          </w:p>
        </w:tc>
      </w:tr>
      <w:tr w:rsidR="00B71AE0" w14:paraId="5C60CCAA" w14:textId="77777777" w:rsidTr="006A0415">
        <w:tc>
          <w:tcPr>
            <w:tcW w:w="5220" w:type="dxa"/>
          </w:tcPr>
          <w:p w14:paraId="20077E23" w14:textId="77777777" w:rsidR="00B71AE0" w:rsidRDefault="00B71AE0" w:rsidP="00B71AE0">
            <w:r>
              <w:t>Practice Exam Problems</w:t>
            </w:r>
          </w:p>
          <w:p w14:paraId="5A7EC5AD" w14:textId="77777777" w:rsidR="00B71AE0" w:rsidRDefault="00B71AE0" w:rsidP="00B71AE0"/>
        </w:tc>
        <w:tc>
          <w:tcPr>
            <w:tcW w:w="2088" w:type="dxa"/>
          </w:tcPr>
          <w:p w14:paraId="4C726A32" w14:textId="77777777" w:rsidR="00B71AE0" w:rsidRDefault="00B71AE0" w:rsidP="00B71AE0">
            <w:r>
              <w:t>Handout</w:t>
            </w:r>
          </w:p>
        </w:tc>
      </w:tr>
    </w:tbl>
    <w:p w14:paraId="0898810F" w14:textId="77777777" w:rsidR="005711D2" w:rsidRPr="00B862A0" w:rsidRDefault="005711D2" w:rsidP="0073498F"/>
    <w:sectPr w:rsidR="005711D2" w:rsidRPr="00B862A0" w:rsidSect="007577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0027" w14:textId="77777777" w:rsidR="008B1B3E" w:rsidRDefault="008B1B3E">
      <w:r>
        <w:separator/>
      </w:r>
    </w:p>
  </w:endnote>
  <w:endnote w:type="continuationSeparator" w:id="0">
    <w:p w14:paraId="40B8088B" w14:textId="77777777" w:rsidR="008B1B3E" w:rsidRDefault="008B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27F7" w14:textId="77777777" w:rsidR="008B1B3E" w:rsidRDefault="008B1B3E">
      <w:r>
        <w:separator/>
      </w:r>
    </w:p>
  </w:footnote>
  <w:footnote w:type="continuationSeparator" w:id="0">
    <w:p w14:paraId="00AC68F1" w14:textId="77777777" w:rsidR="008B1B3E" w:rsidRDefault="008B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3486"/>
    <w:multiLevelType w:val="hybridMultilevel"/>
    <w:tmpl w:val="4E1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83103"/>
    <w:multiLevelType w:val="hybridMultilevel"/>
    <w:tmpl w:val="1068E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CA"/>
    <w:rsid w:val="000012DF"/>
    <w:rsid w:val="00011DB1"/>
    <w:rsid w:val="00022E7C"/>
    <w:rsid w:val="00034664"/>
    <w:rsid w:val="00037A3C"/>
    <w:rsid w:val="00043FC4"/>
    <w:rsid w:val="00053F00"/>
    <w:rsid w:val="00057F66"/>
    <w:rsid w:val="00065FD8"/>
    <w:rsid w:val="000942CD"/>
    <w:rsid w:val="000945C3"/>
    <w:rsid w:val="000C04AC"/>
    <w:rsid w:val="000C4817"/>
    <w:rsid w:val="000D71AA"/>
    <w:rsid w:val="000E4A61"/>
    <w:rsid w:val="000E4CC0"/>
    <w:rsid w:val="000F2D79"/>
    <w:rsid w:val="000F2E5C"/>
    <w:rsid w:val="000F7D8C"/>
    <w:rsid w:val="00102696"/>
    <w:rsid w:val="0013573F"/>
    <w:rsid w:val="0013653B"/>
    <w:rsid w:val="00163B0F"/>
    <w:rsid w:val="0016775C"/>
    <w:rsid w:val="001863FB"/>
    <w:rsid w:val="001C0FB8"/>
    <w:rsid w:val="001C12E8"/>
    <w:rsid w:val="001D4190"/>
    <w:rsid w:val="001E6F7A"/>
    <w:rsid w:val="001E73E9"/>
    <w:rsid w:val="002043C2"/>
    <w:rsid w:val="002062BC"/>
    <w:rsid w:val="0023447B"/>
    <w:rsid w:val="002417A2"/>
    <w:rsid w:val="00244F4B"/>
    <w:rsid w:val="00266A87"/>
    <w:rsid w:val="00285CA2"/>
    <w:rsid w:val="002862FE"/>
    <w:rsid w:val="00295961"/>
    <w:rsid w:val="00295BCF"/>
    <w:rsid w:val="002A6EA7"/>
    <w:rsid w:val="002B5FB6"/>
    <w:rsid w:val="002B787D"/>
    <w:rsid w:val="002E4EA3"/>
    <w:rsid w:val="002F7E08"/>
    <w:rsid w:val="003150D4"/>
    <w:rsid w:val="003174EB"/>
    <w:rsid w:val="003368E9"/>
    <w:rsid w:val="00351664"/>
    <w:rsid w:val="00362E2A"/>
    <w:rsid w:val="00371681"/>
    <w:rsid w:val="00383182"/>
    <w:rsid w:val="00385B16"/>
    <w:rsid w:val="00397F44"/>
    <w:rsid w:val="003A1D2A"/>
    <w:rsid w:val="003E06C7"/>
    <w:rsid w:val="003E1E7A"/>
    <w:rsid w:val="003E2FCA"/>
    <w:rsid w:val="003E43EE"/>
    <w:rsid w:val="003F5CD6"/>
    <w:rsid w:val="00412401"/>
    <w:rsid w:val="00417934"/>
    <w:rsid w:val="004518D8"/>
    <w:rsid w:val="00461D9F"/>
    <w:rsid w:val="0046458D"/>
    <w:rsid w:val="00483810"/>
    <w:rsid w:val="00495E7B"/>
    <w:rsid w:val="00495EFE"/>
    <w:rsid w:val="004A1E97"/>
    <w:rsid w:val="004A33EC"/>
    <w:rsid w:val="004B164D"/>
    <w:rsid w:val="004C2DDD"/>
    <w:rsid w:val="004D108A"/>
    <w:rsid w:val="004D48DD"/>
    <w:rsid w:val="004D57C4"/>
    <w:rsid w:val="004E4B28"/>
    <w:rsid w:val="004E64AF"/>
    <w:rsid w:val="004F257B"/>
    <w:rsid w:val="00501B24"/>
    <w:rsid w:val="005109EB"/>
    <w:rsid w:val="00542901"/>
    <w:rsid w:val="00545DEF"/>
    <w:rsid w:val="005477E1"/>
    <w:rsid w:val="00550E07"/>
    <w:rsid w:val="005541FB"/>
    <w:rsid w:val="0056331B"/>
    <w:rsid w:val="00563C04"/>
    <w:rsid w:val="00564087"/>
    <w:rsid w:val="005711D2"/>
    <w:rsid w:val="0057288D"/>
    <w:rsid w:val="00573221"/>
    <w:rsid w:val="00583A50"/>
    <w:rsid w:val="00597C7E"/>
    <w:rsid w:val="005A3338"/>
    <w:rsid w:val="005A4635"/>
    <w:rsid w:val="005A7807"/>
    <w:rsid w:val="005E7635"/>
    <w:rsid w:val="00600C63"/>
    <w:rsid w:val="00604B01"/>
    <w:rsid w:val="006108F5"/>
    <w:rsid w:val="006167EA"/>
    <w:rsid w:val="006245BD"/>
    <w:rsid w:val="00627AEB"/>
    <w:rsid w:val="006449D8"/>
    <w:rsid w:val="00652D53"/>
    <w:rsid w:val="00677F67"/>
    <w:rsid w:val="006812C2"/>
    <w:rsid w:val="006837D7"/>
    <w:rsid w:val="006963BE"/>
    <w:rsid w:val="00697A7C"/>
    <w:rsid w:val="00697FE4"/>
    <w:rsid w:val="006A1974"/>
    <w:rsid w:val="006B3125"/>
    <w:rsid w:val="006C2EDE"/>
    <w:rsid w:val="006D27D7"/>
    <w:rsid w:val="006E3792"/>
    <w:rsid w:val="006E5532"/>
    <w:rsid w:val="006E7BF2"/>
    <w:rsid w:val="006F52C9"/>
    <w:rsid w:val="006F759D"/>
    <w:rsid w:val="007073A7"/>
    <w:rsid w:val="007204BF"/>
    <w:rsid w:val="00733217"/>
    <w:rsid w:val="0073498F"/>
    <w:rsid w:val="007436B7"/>
    <w:rsid w:val="00750FB4"/>
    <w:rsid w:val="007521AF"/>
    <w:rsid w:val="00757720"/>
    <w:rsid w:val="00757E0F"/>
    <w:rsid w:val="007C246B"/>
    <w:rsid w:val="007C763C"/>
    <w:rsid w:val="007F089F"/>
    <w:rsid w:val="00811DC6"/>
    <w:rsid w:val="00850F7B"/>
    <w:rsid w:val="00860C8C"/>
    <w:rsid w:val="00867D4D"/>
    <w:rsid w:val="008709EC"/>
    <w:rsid w:val="0089566E"/>
    <w:rsid w:val="008B0CC4"/>
    <w:rsid w:val="008B1B3E"/>
    <w:rsid w:val="008B27AF"/>
    <w:rsid w:val="008B7180"/>
    <w:rsid w:val="008D1131"/>
    <w:rsid w:val="008D5FC8"/>
    <w:rsid w:val="008E4D91"/>
    <w:rsid w:val="008F0BF7"/>
    <w:rsid w:val="00902FF9"/>
    <w:rsid w:val="0090668C"/>
    <w:rsid w:val="0091101E"/>
    <w:rsid w:val="00964BA6"/>
    <w:rsid w:val="0097006C"/>
    <w:rsid w:val="0097326F"/>
    <w:rsid w:val="00995D78"/>
    <w:rsid w:val="009D61AA"/>
    <w:rsid w:val="009F255D"/>
    <w:rsid w:val="009F3F2B"/>
    <w:rsid w:val="00A054BA"/>
    <w:rsid w:val="00A211C8"/>
    <w:rsid w:val="00A25007"/>
    <w:rsid w:val="00A409E1"/>
    <w:rsid w:val="00A41B9E"/>
    <w:rsid w:val="00A43F46"/>
    <w:rsid w:val="00A65A5D"/>
    <w:rsid w:val="00A73F86"/>
    <w:rsid w:val="00A84A3B"/>
    <w:rsid w:val="00A90C99"/>
    <w:rsid w:val="00AA40EF"/>
    <w:rsid w:val="00AB1E0B"/>
    <w:rsid w:val="00AC46DA"/>
    <w:rsid w:val="00AC5942"/>
    <w:rsid w:val="00AE7DBA"/>
    <w:rsid w:val="00AF3EB5"/>
    <w:rsid w:val="00B001BF"/>
    <w:rsid w:val="00B25366"/>
    <w:rsid w:val="00B25A77"/>
    <w:rsid w:val="00B61102"/>
    <w:rsid w:val="00B6553A"/>
    <w:rsid w:val="00B7004A"/>
    <w:rsid w:val="00B71462"/>
    <w:rsid w:val="00B71AE0"/>
    <w:rsid w:val="00B72379"/>
    <w:rsid w:val="00B862A0"/>
    <w:rsid w:val="00B912E6"/>
    <w:rsid w:val="00B91374"/>
    <w:rsid w:val="00B952BF"/>
    <w:rsid w:val="00B974F3"/>
    <w:rsid w:val="00BD6E50"/>
    <w:rsid w:val="00BF1FB2"/>
    <w:rsid w:val="00BF2239"/>
    <w:rsid w:val="00BF3B5B"/>
    <w:rsid w:val="00BF3D6B"/>
    <w:rsid w:val="00C02AE4"/>
    <w:rsid w:val="00C06FF2"/>
    <w:rsid w:val="00C16362"/>
    <w:rsid w:val="00C259CE"/>
    <w:rsid w:val="00C32F05"/>
    <w:rsid w:val="00C43D06"/>
    <w:rsid w:val="00C61560"/>
    <w:rsid w:val="00C64D74"/>
    <w:rsid w:val="00C6763B"/>
    <w:rsid w:val="00C80CE3"/>
    <w:rsid w:val="00C906C9"/>
    <w:rsid w:val="00C94B61"/>
    <w:rsid w:val="00CA67A2"/>
    <w:rsid w:val="00CB406E"/>
    <w:rsid w:val="00CD1B1D"/>
    <w:rsid w:val="00CD2CF3"/>
    <w:rsid w:val="00CF0B44"/>
    <w:rsid w:val="00D034CC"/>
    <w:rsid w:val="00D041A9"/>
    <w:rsid w:val="00D063E4"/>
    <w:rsid w:val="00D15253"/>
    <w:rsid w:val="00D250DC"/>
    <w:rsid w:val="00D271E2"/>
    <w:rsid w:val="00D35D22"/>
    <w:rsid w:val="00D439E0"/>
    <w:rsid w:val="00D451E2"/>
    <w:rsid w:val="00D50229"/>
    <w:rsid w:val="00D572CF"/>
    <w:rsid w:val="00D62292"/>
    <w:rsid w:val="00D824EF"/>
    <w:rsid w:val="00D90063"/>
    <w:rsid w:val="00D94204"/>
    <w:rsid w:val="00D94827"/>
    <w:rsid w:val="00DC6375"/>
    <w:rsid w:val="00DD1C17"/>
    <w:rsid w:val="00DD46B6"/>
    <w:rsid w:val="00DD6C95"/>
    <w:rsid w:val="00DE65D9"/>
    <w:rsid w:val="00DE682F"/>
    <w:rsid w:val="00DF407B"/>
    <w:rsid w:val="00E01E20"/>
    <w:rsid w:val="00E02A54"/>
    <w:rsid w:val="00E06C99"/>
    <w:rsid w:val="00E070AC"/>
    <w:rsid w:val="00E112A2"/>
    <w:rsid w:val="00E24369"/>
    <w:rsid w:val="00E25086"/>
    <w:rsid w:val="00E339EF"/>
    <w:rsid w:val="00E4481D"/>
    <w:rsid w:val="00E46800"/>
    <w:rsid w:val="00E53289"/>
    <w:rsid w:val="00E657EF"/>
    <w:rsid w:val="00E66C23"/>
    <w:rsid w:val="00E702CF"/>
    <w:rsid w:val="00E71053"/>
    <w:rsid w:val="00E74B88"/>
    <w:rsid w:val="00E82499"/>
    <w:rsid w:val="00EA00BE"/>
    <w:rsid w:val="00EA1063"/>
    <w:rsid w:val="00EA2D66"/>
    <w:rsid w:val="00EB679F"/>
    <w:rsid w:val="00EC4571"/>
    <w:rsid w:val="00EC66B8"/>
    <w:rsid w:val="00ED69A6"/>
    <w:rsid w:val="00EE4B8F"/>
    <w:rsid w:val="00EF265E"/>
    <w:rsid w:val="00F235B1"/>
    <w:rsid w:val="00F41B92"/>
    <w:rsid w:val="00F44EC0"/>
    <w:rsid w:val="00F6543F"/>
    <w:rsid w:val="00F8677A"/>
    <w:rsid w:val="00F95C2C"/>
    <w:rsid w:val="00F96B0A"/>
    <w:rsid w:val="00FA018F"/>
    <w:rsid w:val="00FB36E6"/>
    <w:rsid w:val="00FB5411"/>
    <w:rsid w:val="00FC78CE"/>
    <w:rsid w:val="00FD07B8"/>
    <w:rsid w:val="00FD0855"/>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DF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72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1063"/>
    <w:pPr>
      <w:tabs>
        <w:tab w:val="center" w:pos="4320"/>
        <w:tab w:val="right" w:pos="8640"/>
      </w:tabs>
    </w:pPr>
  </w:style>
  <w:style w:type="paragraph" w:styleId="Footer">
    <w:name w:val="footer"/>
    <w:basedOn w:val="Normal"/>
    <w:rsid w:val="00EA1063"/>
    <w:pPr>
      <w:tabs>
        <w:tab w:val="center" w:pos="4320"/>
        <w:tab w:val="right" w:pos="8640"/>
      </w:tabs>
    </w:pPr>
  </w:style>
  <w:style w:type="paragraph" w:styleId="ListParagraph">
    <w:name w:val="List Paragraph"/>
    <w:basedOn w:val="Normal"/>
    <w:uiPriority w:val="34"/>
    <w:qFormat/>
    <w:rsid w:val="006F52C9"/>
    <w:pPr>
      <w:ind w:left="720"/>
      <w:contextualSpacing/>
    </w:pPr>
  </w:style>
  <w:style w:type="character" w:styleId="Hyperlink">
    <w:name w:val="Hyperlink"/>
    <w:basedOn w:val="DefaultParagraphFont"/>
    <w:uiPriority w:val="99"/>
    <w:unhideWhenUsed/>
    <w:rsid w:val="00F41B92"/>
    <w:rPr>
      <w:color w:val="0000FF"/>
      <w:u w:val="single"/>
    </w:rPr>
  </w:style>
  <w:style w:type="character" w:styleId="FollowedHyperlink">
    <w:name w:val="FollowedHyperlink"/>
    <w:basedOn w:val="DefaultParagraphFont"/>
    <w:rsid w:val="002B787D"/>
    <w:rPr>
      <w:color w:val="800080" w:themeColor="followedHyperlink"/>
      <w:u w:val="single"/>
    </w:rPr>
  </w:style>
  <w:style w:type="paragraph" w:styleId="BalloonText">
    <w:name w:val="Balloon Text"/>
    <w:basedOn w:val="Normal"/>
    <w:link w:val="BalloonTextChar"/>
    <w:semiHidden/>
    <w:unhideWhenUsed/>
    <w:rsid w:val="00C32F05"/>
    <w:rPr>
      <w:rFonts w:ascii="Segoe UI" w:hAnsi="Segoe UI" w:cs="Segoe UI"/>
      <w:sz w:val="18"/>
      <w:szCs w:val="18"/>
    </w:rPr>
  </w:style>
  <w:style w:type="character" w:customStyle="1" w:styleId="BalloonTextChar">
    <w:name w:val="Balloon Text Char"/>
    <w:basedOn w:val="DefaultParagraphFont"/>
    <w:link w:val="BalloonText"/>
    <w:semiHidden/>
    <w:rsid w:val="00C32F05"/>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B9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ntTable" Target="fontTable.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ufl.bluera.com/uf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law.ufl.edu/student-affairs/current-students/forms-applications/exam-delays-accommodations-form"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http://www.law.ufl.edu/student-affairs/current-students/academic-polic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FC38-889B-4309-8C0C-68C01C71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Words>
  <Characters>9114</Characters>
  <Application>Microsoft Office Word</Application>
  <DocSecurity>4</DocSecurity>
  <PresentationFormat/>
  <Lines>75</Lines>
  <Paragraphs>20</Paragraphs>
  <ScaleCrop>false</ScaleCrop>
  <HeadingPairs>
    <vt:vector size="2" baseType="variant">
      <vt:variant>
        <vt:lpstr>Title</vt:lpstr>
      </vt:variant>
      <vt:variant>
        <vt:i4>1</vt:i4>
      </vt:variant>
    </vt:vector>
  </HeadingPairs>
  <TitlesOfParts>
    <vt:vector size="1" baseType="lpstr">
      <vt:lpstr>VILLANOVA UNIVERSITY SCHOOL OF LAW</vt:lpstr>
    </vt:vector>
  </TitlesOfParts>
  <LinksUpToDate>false</LinksUpToDate>
  <CharactersWithSpaces>10420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VILLANOVA UNIVERSITY SCHOOL OF LAW</dc:title>
  <dc:creator/>
  <cp:lastModifiedBy/>
  <cp:revision>1</cp:revision>
  <cp:lastPrinted>2010-08-18T19:41:00Z</cp:lastPrinted>
  <dcterms:created xsi:type="dcterms:W3CDTF">2019-08-13T15:46:00Z</dcterms:created>
  <dcterms:modified xsi:type="dcterms:W3CDTF">2019-08-13T15:46:00Z</dcterms:modified>
</cp:coreProperties>
</file>