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108A3" w14:textId="77777777" w:rsidR="00EA00BE" w:rsidRPr="003E2FCA" w:rsidRDefault="0097006C" w:rsidP="003E2FCA">
      <w:pPr>
        <w:jc w:val="center"/>
        <w:rPr>
          <w:b/>
        </w:rPr>
      </w:pPr>
      <w:r>
        <w:rPr>
          <w:b/>
        </w:rPr>
        <w:t>UNIVERSITY OF FLORIDA LEVIN COLLEGE OF LAW</w:t>
      </w:r>
    </w:p>
    <w:p w14:paraId="560514C1" w14:textId="56475B58" w:rsidR="003E2FCA" w:rsidRPr="003E2FCA" w:rsidRDefault="003E2FCA" w:rsidP="003E2FCA">
      <w:pPr>
        <w:jc w:val="center"/>
        <w:rPr>
          <w:b/>
        </w:rPr>
      </w:pPr>
      <w:r w:rsidRPr="003E2FCA">
        <w:rPr>
          <w:b/>
        </w:rPr>
        <w:t xml:space="preserve">TORTS </w:t>
      </w:r>
      <w:r w:rsidR="0097006C">
        <w:rPr>
          <w:b/>
        </w:rPr>
        <w:t xml:space="preserve">SECTION </w:t>
      </w:r>
      <w:r w:rsidR="00C3528C">
        <w:rPr>
          <w:b/>
        </w:rPr>
        <w:t>6</w:t>
      </w:r>
    </w:p>
    <w:p w14:paraId="1BFA0B27" w14:textId="1ED4326E" w:rsidR="003E2FCA" w:rsidRPr="003E2FCA" w:rsidRDefault="0097006C" w:rsidP="003E2FCA">
      <w:pPr>
        <w:jc w:val="center"/>
        <w:rPr>
          <w:b/>
        </w:rPr>
      </w:pPr>
      <w:r>
        <w:rPr>
          <w:b/>
        </w:rPr>
        <w:t xml:space="preserve">FALL </w:t>
      </w:r>
      <w:r w:rsidR="00C3528C">
        <w:rPr>
          <w:b/>
        </w:rPr>
        <w:t>2020</w:t>
      </w:r>
    </w:p>
    <w:p w14:paraId="628AA53E" w14:textId="77777777" w:rsidR="003E2FCA" w:rsidRPr="003E2FCA" w:rsidRDefault="003E2FCA" w:rsidP="003E2FCA">
      <w:pPr>
        <w:jc w:val="center"/>
        <w:rPr>
          <w:b/>
        </w:rPr>
      </w:pPr>
    </w:p>
    <w:p w14:paraId="7BF21FB3" w14:textId="77777777" w:rsidR="003E2FCA" w:rsidRPr="003E2FCA" w:rsidRDefault="000E4CC0" w:rsidP="003E2FCA">
      <w:r>
        <w:t>Professor Jason P. Nance</w:t>
      </w:r>
    </w:p>
    <w:p w14:paraId="140510CF" w14:textId="77777777" w:rsidR="003E2FCA" w:rsidRDefault="006E7BF2" w:rsidP="003E2FCA">
      <w:r>
        <w:t xml:space="preserve">Office Phone: </w:t>
      </w:r>
      <w:r w:rsidR="003E2FCA">
        <w:t>(</w:t>
      </w:r>
      <w:r w:rsidR="0097006C">
        <w:t>352</w:t>
      </w:r>
      <w:r w:rsidR="003E2FCA">
        <w:t xml:space="preserve">) </w:t>
      </w:r>
      <w:r w:rsidR="0097006C">
        <w:t>273-0992</w:t>
      </w:r>
    </w:p>
    <w:p w14:paraId="21628A67" w14:textId="77777777" w:rsidR="003E2FCA" w:rsidRDefault="006E7BF2" w:rsidP="003E2FCA">
      <w:r>
        <w:t xml:space="preserve">Email: </w:t>
      </w:r>
      <w:r w:rsidR="00A84A3B">
        <w:t>nance@law.</w:t>
      </w:r>
      <w:r w:rsidR="0097006C">
        <w:t>ufl.edu</w:t>
      </w:r>
    </w:p>
    <w:p w14:paraId="5C64438B" w14:textId="039E304E" w:rsidR="00B91374" w:rsidRDefault="006E7BF2" w:rsidP="003E2FCA">
      <w:r>
        <w:t xml:space="preserve">Office hours: </w:t>
      </w:r>
      <w:r w:rsidR="00C3528C">
        <w:t xml:space="preserve">Wednesdays from 3 to 5pm or by appointment </w:t>
      </w:r>
      <w:r w:rsidR="005F3041">
        <w:t xml:space="preserve"> </w:t>
      </w:r>
    </w:p>
    <w:p w14:paraId="0D801932" w14:textId="77777777" w:rsidR="00B91374" w:rsidRDefault="00B91374" w:rsidP="003E2FCA"/>
    <w:p w14:paraId="065343A6" w14:textId="77777777" w:rsidR="006E7BF2" w:rsidRDefault="007436B7" w:rsidP="003E2FCA">
      <w:pPr>
        <w:rPr>
          <w:u w:val="single"/>
        </w:rPr>
      </w:pPr>
      <w:r w:rsidRPr="007436B7">
        <w:rPr>
          <w:b/>
          <w:u w:val="single"/>
        </w:rPr>
        <w:t>MEETING TIME AND LOCATION</w:t>
      </w:r>
      <w:r w:rsidR="006E7BF2" w:rsidRPr="007436B7">
        <w:rPr>
          <w:u w:val="single"/>
        </w:rPr>
        <w:t xml:space="preserve"> </w:t>
      </w:r>
    </w:p>
    <w:p w14:paraId="4356D86C" w14:textId="77777777" w:rsidR="008D1131" w:rsidRDefault="008D1131" w:rsidP="003E2FCA"/>
    <w:p w14:paraId="75B98C03" w14:textId="0313F3C5" w:rsidR="007436B7" w:rsidRDefault="00F0402C" w:rsidP="003E2FCA">
      <w:r>
        <w:t>Monday</w:t>
      </w:r>
      <w:r w:rsidR="00C3528C">
        <w:t xml:space="preserve"> (10:30 to 11:45am); Tuesday (10:30 to 11:45am); Wednesday (9 to 10:15am)</w:t>
      </w:r>
    </w:p>
    <w:p w14:paraId="6A3D34B1" w14:textId="77777777" w:rsidR="00867D4D" w:rsidRDefault="00867D4D" w:rsidP="003E2FCA"/>
    <w:p w14:paraId="491B4FD4" w14:textId="77777777" w:rsidR="007436B7" w:rsidRDefault="007436B7" w:rsidP="003E2FCA">
      <w:r>
        <w:rPr>
          <w:b/>
          <w:u w:val="single"/>
        </w:rPr>
        <w:t>REQUIRED TEXTS</w:t>
      </w:r>
    </w:p>
    <w:p w14:paraId="37D25693" w14:textId="77777777" w:rsidR="007436B7" w:rsidRDefault="007436B7" w:rsidP="003E2FCA"/>
    <w:p w14:paraId="1B502816" w14:textId="3DCAA427" w:rsidR="007436B7" w:rsidRDefault="008D1131" w:rsidP="003E2FCA">
      <w:r>
        <w:rPr>
          <w:smallCaps/>
        </w:rPr>
        <w:t>Goldberg, Sebok &amp; Zipursky, Tort Law: Responsibilities and Redress</w:t>
      </w:r>
      <w:r w:rsidR="00CD7001">
        <w:t xml:space="preserve"> </w:t>
      </w:r>
      <w:r w:rsidR="00C3528C">
        <w:t>(4th</w:t>
      </w:r>
      <w:r>
        <w:t xml:space="preserve"> ed.</w:t>
      </w:r>
      <w:r w:rsidR="00C3528C">
        <w:t xml:space="preserve"> 2016).</w:t>
      </w:r>
      <w:r>
        <w:t xml:space="preserve"> </w:t>
      </w:r>
      <w:r w:rsidR="006E12F8">
        <w:t xml:space="preserve"> </w:t>
      </w:r>
      <w:r w:rsidR="00135F36">
        <w:t>Please make sure that you purchase the correct edition of the book</w:t>
      </w:r>
      <w:r w:rsidR="00C3528C">
        <w:t xml:space="preserve">. </w:t>
      </w:r>
      <w:r w:rsidR="00135F36">
        <w:t xml:space="preserve"> </w:t>
      </w:r>
    </w:p>
    <w:p w14:paraId="6D1E8FEF" w14:textId="77777777" w:rsidR="008D1131" w:rsidRDefault="008D1131" w:rsidP="003E2FCA"/>
    <w:p w14:paraId="4884A9A7" w14:textId="77777777" w:rsidR="008D1131" w:rsidRDefault="00417934" w:rsidP="003E2FCA">
      <w:pPr>
        <w:rPr>
          <w:b/>
          <w:u w:val="single"/>
        </w:rPr>
      </w:pPr>
      <w:r>
        <w:rPr>
          <w:b/>
          <w:u w:val="single"/>
        </w:rPr>
        <w:t xml:space="preserve">OPTIONAL </w:t>
      </w:r>
      <w:r w:rsidR="0097006C">
        <w:rPr>
          <w:b/>
          <w:u w:val="single"/>
        </w:rPr>
        <w:t>SUPPLEMENTAL REFERENCE TEXT</w:t>
      </w:r>
    </w:p>
    <w:p w14:paraId="246D3FD0" w14:textId="77777777" w:rsidR="008D1131" w:rsidRDefault="008D1131" w:rsidP="003E2FCA">
      <w:pPr>
        <w:rPr>
          <w:b/>
          <w:u w:val="single"/>
        </w:rPr>
      </w:pPr>
    </w:p>
    <w:p w14:paraId="0E35E7BB" w14:textId="77777777" w:rsidR="008D1131" w:rsidRDefault="007521AF" w:rsidP="003E2FCA">
      <w:proofErr w:type="spellStart"/>
      <w:r>
        <w:rPr>
          <w:smallCaps/>
        </w:rPr>
        <w:t>Glannon</w:t>
      </w:r>
      <w:proofErr w:type="spellEnd"/>
      <w:r>
        <w:rPr>
          <w:smallCaps/>
        </w:rPr>
        <w:t>, The Law of Torts: Examples and Explanations</w:t>
      </w:r>
      <w:r w:rsidR="00417934">
        <w:rPr>
          <w:smallCaps/>
        </w:rPr>
        <w:t xml:space="preserve"> </w:t>
      </w:r>
      <w:r w:rsidR="00417934" w:rsidRPr="00417934">
        <w:t>(any edition)</w:t>
      </w:r>
    </w:p>
    <w:p w14:paraId="4507AA41" w14:textId="77777777" w:rsidR="00FB36E6" w:rsidRDefault="00FB36E6" w:rsidP="003E2FCA"/>
    <w:p w14:paraId="521B57BA" w14:textId="77777777" w:rsidR="00FD3DA8" w:rsidRDefault="00FD3DA8" w:rsidP="00FD3DA8">
      <w:pPr>
        <w:rPr>
          <w:b/>
          <w:u w:val="single"/>
        </w:rPr>
      </w:pPr>
      <w:r>
        <w:rPr>
          <w:b/>
          <w:u w:val="single"/>
        </w:rPr>
        <w:t>COURSE OBJECTIVES</w:t>
      </w:r>
    </w:p>
    <w:p w14:paraId="7E016BC9" w14:textId="77777777" w:rsidR="00FD3DA8" w:rsidRDefault="00FD3DA8" w:rsidP="00FD3DA8">
      <w:pPr>
        <w:rPr>
          <w:b/>
          <w:u w:val="single"/>
        </w:rPr>
      </w:pPr>
    </w:p>
    <w:p w14:paraId="56B772CF" w14:textId="77777777" w:rsidR="006E12F8" w:rsidRDefault="00FD3DA8" w:rsidP="00545DEF">
      <w:r>
        <w:t xml:space="preserve">The objective of this course is for you to develop a greater understanding of civil liability for harm caused by wrongful acts that violate non-contractual duties imposed by law.  We will cover intentional torts, </w:t>
      </w:r>
      <w:r w:rsidR="009904ED">
        <w:t xml:space="preserve">negligence, </w:t>
      </w:r>
      <w:r>
        <w:t xml:space="preserve">intentional and negligent infliction of emotional distress, defenses, damages, strict liability, trespass, </w:t>
      </w:r>
      <w:r w:rsidR="009904ED">
        <w:t xml:space="preserve">wrongful death, and </w:t>
      </w:r>
      <w:r>
        <w:t>products liability, among other topics.</w:t>
      </w:r>
    </w:p>
    <w:p w14:paraId="0F22C3A1" w14:textId="77777777" w:rsidR="006E12F8" w:rsidRDefault="006E12F8" w:rsidP="00545DEF"/>
    <w:p w14:paraId="43B7ACFD" w14:textId="77777777" w:rsidR="006E12F8" w:rsidRDefault="006E12F8" w:rsidP="006E12F8">
      <w:r>
        <w:rPr>
          <w:b/>
          <w:bCs/>
          <w:u w:val="single"/>
        </w:rPr>
        <w:t>LEARNING OUTCOMES</w:t>
      </w:r>
    </w:p>
    <w:p w14:paraId="787433E8" w14:textId="77777777" w:rsidR="006E12F8" w:rsidRDefault="006E12F8" w:rsidP="006E12F8"/>
    <w:p w14:paraId="1CF84EDC" w14:textId="77777777" w:rsidR="006E12F8" w:rsidRDefault="006E12F8" w:rsidP="006E12F8">
      <w:r>
        <w:t>After completing this course, students should be able to:</w:t>
      </w:r>
    </w:p>
    <w:p w14:paraId="7CF5FFE5" w14:textId="77777777" w:rsidR="006E12F8" w:rsidRDefault="006E12F8" w:rsidP="006E12F8"/>
    <w:p w14:paraId="0466FA51" w14:textId="537B3035" w:rsidR="006E12F8" w:rsidRDefault="006E12F8" w:rsidP="006E12F8">
      <w:pPr>
        <w:pStyle w:val="ListParagraph"/>
        <w:numPr>
          <w:ilvl w:val="0"/>
          <w:numId w:val="2"/>
        </w:numPr>
      </w:pPr>
      <w:r>
        <w:t xml:space="preserve">correctly identify and analyze many legal issues relating to tort law; </w:t>
      </w:r>
    </w:p>
    <w:p w14:paraId="7D9DAE4B" w14:textId="77777777" w:rsidR="006E12F8" w:rsidRDefault="006E12F8" w:rsidP="006E12F8">
      <w:pPr>
        <w:pStyle w:val="ListParagraph"/>
        <w:ind w:left="780"/>
      </w:pPr>
    </w:p>
    <w:p w14:paraId="25346E48" w14:textId="33DD3E58" w:rsidR="006E12F8" w:rsidRDefault="006E12F8" w:rsidP="006E12F8">
      <w:pPr>
        <w:pStyle w:val="ListParagraph"/>
        <w:numPr>
          <w:ilvl w:val="0"/>
          <w:numId w:val="2"/>
        </w:numPr>
      </w:pPr>
      <w:r>
        <w:t>analyze various statues and cases involving tort law; and</w:t>
      </w:r>
    </w:p>
    <w:p w14:paraId="67777D85" w14:textId="77777777" w:rsidR="006E12F8" w:rsidRDefault="006E12F8" w:rsidP="006E12F8">
      <w:pPr>
        <w:pStyle w:val="ListParagraph"/>
      </w:pPr>
    </w:p>
    <w:p w14:paraId="6E174E73" w14:textId="0114163F" w:rsidR="006E12F8" w:rsidRDefault="006E12F8" w:rsidP="006E12F8">
      <w:pPr>
        <w:pStyle w:val="ListParagraph"/>
        <w:numPr>
          <w:ilvl w:val="0"/>
          <w:numId w:val="2"/>
        </w:numPr>
      </w:pPr>
      <w:r>
        <w:t>understand various policy issues related to tort law and how to use policy to strengthen legal arguments.</w:t>
      </w:r>
    </w:p>
    <w:p w14:paraId="0F298AA4" w14:textId="77777777" w:rsidR="006E12F8" w:rsidRDefault="006E12F8" w:rsidP="006E12F8">
      <w:pPr>
        <w:rPr>
          <w:b/>
          <w:u w:val="single"/>
        </w:rPr>
      </w:pPr>
    </w:p>
    <w:p w14:paraId="1293C655" w14:textId="63782A4F" w:rsidR="00545DEF" w:rsidRPr="006E12F8" w:rsidRDefault="006E12F8" w:rsidP="00545DEF">
      <w:pPr>
        <w:rPr>
          <w:b/>
          <w:bCs/>
          <w:u w:val="single"/>
        </w:rPr>
      </w:pPr>
      <w:r w:rsidRPr="006E12F8">
        <w:rPr>
          <w:b/>
          <w:bCs/>
          <w:u w:val="single"/>
        </w:rPr>
        <w:t>CANVAS</w:t>
      </w:r>
    </w:p>
    <w:p w14:paraId="13FBFE9B" w14:textId="77777777" w:rsidR="006E12F8" w:rsidRPr="006E12F8" w:rsidRDefault="006E12F8" w:rsidP="00545DEF"/>
    <w:p w14:paraId="23A2756E" w14:textId="289CEE6C" w:rsidR="00634FDE" w:rsidRDefault="006E12F8" w:rsidP="00545DEF">
      <w:r>
        <w:t xml:space="preserve">Please make sure that you can access the Canvas site for this course, where I will post various class materials and announcements.   </w:t>
      </w:r>
    </w:p>
    <w:p w14:paraId="27F3A25A" w14:textId="77777777" w:rsidR="006E12F8" w:rsidRPr="00634FDE" w:rsidRDefault="006E12F8" w:rsidP="00545DEF"/>
    <w:p w14:paraId="72F4DA6A" w14:textId="77777777" w:rsidR="00FB36E6" w:rsidRDefault="0097326F" w:rsidP="003E2FCA">
      <w:pPr>
        <w:rPr>
          <w:b/>
          <w:u w:val="single"/>
        </w:rPr>
      </w:pPr>
      <w:r>
        <w:rPr>
          <w:b/>
          <w:u w:val="single"/>
        </w:rPr>
        <w:lastRenderedPageBreak/>
        <w:t>CLASS PARTICIPATION</w:t>
      </w:r>
    </w:p>
    <w:p w14:paraId="366C0C78" w14:textId="77777777" w:rsidR="0097326F" w:rsidRDefault="0097326F" w:rsidP="003E2FCA">
      <w:pPr>
        <w:rPr>
          <w:b/>
          <w:u w:val="single"/>
        </w:rPr>
      </w:pPr>
    </w:p>
    <w:p w14:paraId="6A272A16" w14:textId="0F6B2C54" w:rsidR="0097326F" w:rsidRDefault="00BF3B5B" w:rsidP="003E2FCA">
      <w:r>
        <w:t xml:space="preserve">You will maximize </w:t>
      </w:r>
      <w:r w:rsidR="0097326F">
        <w:t xml:space="preserve">the benefit of this course </w:t>
      </w:r>
      <w:r w:rsidR="00AC5942">
        <w:t>by coming prepared to discuss the a</w:t>
      </w:r>
      <w:r w:rsidR="00C11589">
        <w:t xml:space="preserve">ssigned readings for that day. </w:t>
      </w:r>
      <w:r w:rsidR="00AC5942">
        <w:t xml:space="preserve">I intend </w:t>
      </w:r>
      <w:r w:rsidR="00867D4D">
        <w:t xml:space="preserve">to </w:t>
      </w:r>
      <w:r w:rsidR="007F089F">
        <w:t xml:space="preserve">randomly </w:t>
      </w:r>
      <w:r w:rsidR="00867D4D">
        <w:t xml:space="preserve">call on </w:t>
      </w:r>
      <w:r w:rsidR="007F089F">
        <w:t>a number of students each class.  Please be prepared to discuss t</w:t>
      </w:r>
      <w:r w:rsidR="00C11589">
        <w:t xml:space="preserve">he assigned material each day. </w:t>
      </w:r>
      <w:r w:rsidR="00677F67">
        <w:t>I may lower your final grade base</w:t>
      </w:r>
      <w:r w:rsidR="00850F7B">
        <w:t>d on your class pa</w:t>
      </w:r>
      <w:r w:rsidR="00C11589">
        <w:t xml:space="preserve">rticipation. </w:t>
      </w:r>
      <w:r w:rsidR="00867D4D">
        <w:t xml:space="preserve">Students who are frequently absent or are unprepared when called </w:t>
      </w:r>
      <w:r w:rsidR="006A1974">
        <w:t>upon</w:t>
      </w:r>
      <w:r w:rsidR="00867D4D">
        <w:t xml:space="preserve"> may have their final grade </w:t>
      </w:r>
      <w:r w:rsidR="006A1974">
        <w:t>reduced</w:t>
      </w:r>
      <w:r w:rsidR="00C11589">
        <w:t xml:space="preserve">. </w:t>
      </w:r>
      <w:r w:rsidR="00FD6116">
        <w:t>To be “prepared,” you must have read the assignment and have made a good faith effort t</w:t>
      </w:r>
      <w:r w:rsidR="00C11589">
        <w:t xml:space="preserve">o think through the materials. </w:t>
      </w:r>
      <w:r w:rsidR="00FD6116">
        <w:t>You do not have</w:t>
      </w:r>
      <w:r w:rsidR="00FF43C7">
        <w:t xml:space="preserve"> to have perfect answers to my </w:t>
      </w:r>
      <w:r w:rsidR="00FD6116">
        <w:t xml:space="preserve">questions, but you must be willing to discuss the assigned reading and work through the questions with the class. </w:t>
      </w:r>
    </w:p>
    <w:p w14:paraId="3D6363DC" w14:textId="77777777" w:rsidR="005128D1" w:rsidRDefault="005128D1" w:rsidP="003E2FCA">
      <w:pPr>
        <w:rPr>
          <w:b/>
          <w:u w:val="single"/>
        </w:rPr>
      </w:pPr>
    </w:p>
    <w:p w14:paraId="28FAD5A6" w14:textId="77777777" w:rsidR="006F52C9" w:rsidRDefault="006F52C9" w:rsidP="003E2FCA">
      <w:pPr>
        <w:rPr>
          <w:b/>
          <w:u w:val="single"/>
        </w:rPr>
      </w:pPr>
      <w:r>
        <w:rPr>
          <w:b/>
          <w:u w:val="single"/>
        </w:rPr>
        <w:t>COMMON COURTESY</w:t>
      </w:r>
    </w:p>
    <w:p w14:paraId="39E31C45" w14:textId="77777777" w:rsidR="006F52C9" w:rsidRDefault="006F52C9" w:rsidP="003E2FCA">
      <w:pPr>
        <w:rPr>
          <w:b/>
          <w:u w:val="single"/>
        </w:rPr>
      </w:pPr>
    </w:p>
    <w:p w14:paraId="12524AEF" w14:textId="77777777" w:rsidR="006E12F8" w:rsidRPr="006F52C9" w:rsidRDefault="006E12F8" w:rsidP="006E12F8">
      <w:r>
        <w:t xml:space="preserve">Please do not arrive late to class, leave early, or leave to take a break during class absent extenuating circumstances.  Please turn off your cell phone during class.  I reserve the right to deduct points from your final grade if you engage in behavior that disrupts the learning environment for your classmates.  </w:t>
      </w:r>
    </w:p>
    <w:p w14:paraId="63EA6248" w14:textId="77777777" w:rsidR="00994FC8" w:rsidRDefault="00994FC8" w:rsidP="003E2FCA">
      <w:pPr>
        <w:rPr>
          <w:b/>
          <w:u w:val="single"/>
        </w:rPr>
      </w:pPr>
    </w:p>
    <w:p w14:paraId="31C95E5E" w14:textId="77777777" w:rsidR="00994FC8" w:rsidRDefault="00994FC8" w:rsidP="00994FC8">
      <w:pPr>
        <w:rPr>
          <w:b/>
          <w:u w:val="single"/>
        </w:rPr>
      </w:pPr>
      <w:r>
        <w:rPr>
          <w:b/>
          <w:u w:val="single"/>
        </w:rPr>
        <w:t>CLASS ATTENDANCE POLICY</w:t>
      </w:r>
    </w:p>
    <w:p w14:paraId="1535F971" w14:textId="77777777" w:rsidR="00994FC8" w:rsidRDefault="00994FC8" w:rsidP="00994FC8">
      <w:pPr>
        <w:rPr>
          <w:b/>
          <w:u w:val="single"/>
        </w:rPr>
      </w:pPr>
    </w:p>
    <w:p w14:paraId="33DA19B4" w14:textId="00879BF2" w:rsidR="006E12F8" w:rsidRDefault="006E12F8" w:rsidP="006E12F8">
      <w:r>
        <w:t xml:space="preserve">Attendance in class is required by both the ABA and the Law School.  If you miss more than six classes, your grade for the semester may be adversely affected.  If you have a medical reason for missing class, you should contact me before or soon after class for your absence to be excused.  Students who miss class for religious holidays must contact me beforehand by email to be excused from class.  </w:t>
      </w:r>
    </w:p>
    <w:p w14:paraId="6D4F0F90" w14:textId="77777777" w:rsidR="00545DEF" w:rsidRDefault="00545DEF" w:rsidP="003E2FCA"/>
    <w:p w14:paraId="0D14F815" w14:textId="77777777" w:rsidR="002E772B" w:rsidRDefault="002E772B" w:rsidP="003E2FCA">
      <w:r>
        <w:rPr>
          <w:b/>
          <w:u w:val="single"/>
        </w:rPr>
        <w:t>CLASS CANCELLATIONS</w:t>
      </w:r>
    </w:p>
    <w:p w14:paraId="787DFF57" w14:textId="77777777" w:rsidR="002E772B" w:rsidRDefault="002E772B" w:rsidP="003E2FCA"/>
    <w:p w14:paraId="14B991E9" w14:textId="77777777" w:rsidR="002E772B" w:rsidRDefault="002E772B" w:rsidP="003E2FCA">
      <w:r>
        <w:t xml:space="preserve">At this time, I do not anticipate cancelling </w:t>
      </w:r>
      <w:r w:rsidR="00CF24F8">
        <w:t>any</w:t>
      </w:r>
      <w:r>
        <w:t xml:space="preserve"> classes</w:t>
      </w:r>
      <w:r w:rsidR="00CF24F8">
        <w:t xml:space="preserve"> this semester</w:t>
      </w:r>
      <w:r>
        <w:t>, but if that changes, I will attempt to give</w:t>
      </w:r>
      <w:r w:rsidR="00CF24F8">
        <w:t xml:space="preserve"> you as much notice as possible and we will schedule a make-up class.</w:t>
      </w:r>
    </w:p>
    <w:p w14:paraId="2E1F614D" w14:textId="77777777" w:rsidR="00867D4D" w:rsidRDefault="00867D4D" w:rsidP="003E2FCA"/>
    <w:p w14:paraId="04E48FA8" w14:textId="77777777" w:rsidR="00867D4D" w:rsidRDefault="007E249D" w:rsidP="003E2FCA">
      <w:pPr>
        <w:rPr>
          <w:b/>
          <w:u w:val="single"/>
        </w:rPr>
      </w:pPr>
      <w:r>
        <w:rPr>
          <w:b/>
          <w:u w:val="single"/>
        </w:rPr>
        <w:t>EVAULATION</w:t>
      </w:r>
    </w:p>
    <w:p w14:paraId="4F67DAD9" w14:textId="77777777" w:rsidR="00867D4D" w:rsidRDefault="00867D4D" w:rsidP="003E2FCA">
      <w:pPr>
        <w:rPr>
          <w:b/>
          <w:u w:val="single"/>
        </w:rPr>
      </w:pPr>
    </w:p>
    <w:p w14:paraId="6D773C00" w14:textId="185E64BF" w:rsidR="006E12F8" w:rsidRPr="005E3975" w:rsidRDefault="006E12F8" w:rsidP="003E2FCA">
      <w:pPr>
        <w:rPr>
          <w:sz w:val="22"/>
          <w:szCs w:val="22"/>
          <w:u w:val="single"/>
        </w:rPr>
      </w:pPr>
      <w:r>
        <w:t xml:space="preserve">Your grade will be </w:t>
      </w:r>
      <w:r w:rsidR="00071039">
        <w:t xml:space="preserve">primarily </w:t>
      </w:r>
      <w:r>
        <w:t xml:space="preserve">based on a final examination administered on </w:t>
      </w:r>
      <w:r w:rsidR="005E3975">
        <w:t>Friday, December 4.</w:t>
      </w:r>
      <w:r>
        <w:t xml:space="preserve">  I will distribute </w:t>
      </w:r>
      <w:r w:rsidR="005E3975">
        <w:t xml:space="preserve">several </w:t>
      </w:r>
      <w:r>
        <w:t>practice exam problems in November that we will go over</w:t>
      </w:r>
      <w:r w:rsidR="005E3975">
        <w:t xml:space="preserve"> together to help you prepare for the final exam</w:t>
      </w:r>
      <w:r>
        <w:t xml:space="preserve">. </w:t>
      </w:r>
      <w:r w:rsidR="005E3975">
        <w:t xml:space="preserve">We will also engage in practice problems throughout the semester. </w:t>
      </w:r>
    </w:p>
    <w:p w14:paraId="16A167B7" w14:textId="77777777" w:rsidR="006E12F8" w:rsidRDefault="006E12F8" w:rsidP="003E2FCA"/>
    <w:p w14:paraId="6AA6E656" w14:textId="77777777" w:rsidR="005E3975" w:rsidRPr="00566E67" w:rsidRDefault="005E3975" w:rsidP="005E3975">
      <w:pPr>
        <w:rPr>
          <w:b/>
          <w:u w:val="single"/>
        </w:rPr>
      </w:pPr>
      <w:r>
        <w:rPr>
          <w:b/>
          <w:u w:val="single"/>
        </w:rPr>
        <w:t xml:space="preserve">POLICY RELATED TO MAKE-UP EXAMS </w:t>
      </w:r>
    </w:p>
    <w:p w14:paraId="1FDF55A6" w14:textId="77777777" w:rsidR="005E3975" w:rsidRDefault="005E3975" w:rsidP="005E3975">
      <w:pPr>
        <w:rPr>
          <w:u w:val="single"/>
        </w:rPr>
      </w:pPr>
    </w:p>
    <w:p w14:paraId="55E58411" w14:textId="77777777" w:rsidR="005E3975" w:rsidRDefault="005E3975" w:rsidP="005E3975">
      <w:r>
        <w:t xml:space="preserve">The law school policy on delay in taking exams can be found at: </w:t>
      </w:r>
      <w:hyperlink r:id="rId8" w:history="1">
        <w:r>
          <w:rPr>
            <w:rStyle w:val="Hyperlink"/>
          </w:rPr>
          <w:t>http://www.law.ufl.edu/student-affairs/current-students/forms-applications/exam-delays-accommodations-form</w:t>
        </w:r>
      </w:hyperlink>
    </w:p>
    <w:p w14:paraId="128E715F" w14:textId="77777777" w:rsidR="00CE2B59" w:rsidRDefault="00CE2B59" w:rsidP="003E2FCA"/>
    <w:p w14:paraId="5130907D" w14:textId="77777777" w:rsidR="00933F5C" w:rsidRDefault="00933F5C" w:rsidP="00566E67">
      <w:pPr>
        <w:rPr>
          <w:b/>
          <w:u w:val="single"/>
        </w:rPr>
      </w:pPr>
    </w:p>
    <w:p w14:paraId="2FF3505A" w14:textId="77777777" w:rsidR="00933F5C" w:rsidRDefault="00933F5C" w:rsidP="00566E67">
      <w:pPr>
        <w:rPr>
          <w:b/>
          <w:u w:val="single"/>
        </w:rPr>
      </w:pPr>
    </w:p>
    <w:p w14:paraId="7DA011BD" w14:textId="4F23EACB" w:rsidR="00566E67" w:rsidRPr="00566E67" w:rsidRDefault="00566E67" w:rsidP="00566E67">
      <w:pPr>
        <w:rPr>
          <w:b/>
          <w:u w:val="single"/>
        </w:rPr>
      </w:pPr>
      <w:r w:rsidRPr="00566E67">
        <w:rPr>
          <w:b/>
          <w:u w:val="single"/>
        </w:rPr>
        <w:lastRenderedPageBreak/>
        <w:t>INFORMATION ON UF LAW GRADING POLICIES</w:t>
      </w:r>
    </w:p>
    <w:p w14:paraId="00D583C3" w14:textId="77777777" w:rsidR="00566E67" w:rsidRPr="00150075" w:rsidRDefault="00566E67" w:rsidP="00566E67">
      <w:pPr>
        <w:rPr>
          <w:u w:val="single"/>
        </w:rPr>
      </w:pPr>
    </w:p>
    <w:p w14:paraId="1A2C8C4F" w14:textId="77777777" w:rsidR="00566E67" w:rsidRDefault="00566E67" w:rsidP="00566E67">
      <w:pPr>
        <w:tabs>
          <w:tab w:val="left" w:pos="1872"/>
        </w:tabs>
        <w:rPr>
          <w:u w:val="single"/>
        </w:rPr>
      </w:pPr>
      <w:r w:rsidRPr="00CF235D">
        <w:rPr>
          <w:u w:val="single"/>
        </w:rPr>
        <w:t>Grade</w:t>
      </w:r>
      <w:r w:rsidRPr="00CF235D">
        <w:tab/>
      </w:r>
      <w:r w:rsidRPr="00CF235D">
        <w:rPr>
          <w:u w:val="single"/>
        </w:rPr>
        <w:t>Points</w:t>
      </w:r>
      <w:r w:rsidRPr="00CF235D">
        <w:tab/>
      </w:r>
      <w:r w:rsidRPr="00CF235D">
        <w:tab/>
      </w:r>
      <w:r w:rsidRPr="00CF235D">
        <w:rPr>
          <w:u w:val="single"/>
        </w:rPr>
        <w:t>Grade</w:t>
      </w:r>
      <w:r>
        <w:tab/>
      </w:r>
      <w:r>
        <w:tab/>
        <w:t xml:space="preserve"> </w:t>
      </w:r>
      <w:r w:rsidRPr="00CF235D">
        <w:rPr>
          <w:u w:val="single"/>
        </w:rPr>
        <w:t>Point</w:t>
      </w:r>
      <w:r>
        <w:rPr>
          <w:u w:val="single"/>
        </w:rPr>
        <w:t>s</w:t>
      </w:r>
      <w:r w:rsidRPr="00CF235D">
        <w:tab/>
      </w:r>
      <w:r w:rsidRPr="00CF235D">
        <w:tab/>
      </w:r>
      <w:r w:rsidRPr="00CF235D">
        <w:rPr>
          <w:u w:val="single"/>
        </w:rPr>
        <w:t>Grade</w:t>
      </w:r>
      <w:r w:rsidRPr="00CF235D">
        <w:tab/>
      </w:r>
      <w:r w:rsidRPr="00CF235D">
        <w:tab/>
      </w:r>
      <w:r w:rsidRPr="00CF235D">
        <w:rPr>
          <w:u w:val="single"/>
        </w:rPr>
        <w:t>Point</w:t>
      </w:r>
      <w:r>
        <w:rPr>
          <w:u w:val="single"/>
        </w:rPr>
        <w:t>s</w:t>
      </w:r>
    </w:p>
    <w:p w14:paraId="3A0F7C95" w14:textId="77777777" w:rsidR="00566E67" w:rsidRPr="00CF235D" w:rsidRDefault="00566E67" w:rsidP="00566E67">
      <w:pPr>
        <w:tabs>
          <w:tab w:val="left" w:pos="1872"/>
        </w:tabs>
      </w:pPr>
    </w:p>
    <w:p w14:paraId="7F2B22D9" w14:textId="77777777" w:rsidR="00566E67" w:rsidRDefault="00566E67" w:rsidP="00566E67">
      <w:pPr>
        <w:tabs>
          <w:tab w:val="left" w:pos="1872"/>
        </w:tabs>
      </w:pPr>
      <w:r>
        <w:t>A (Excellent)</w:t>
      </w:r>
      <w:r>
        <w:tab/>
        <w:t>4.0</w:t>
      </w:r>
      <w:r>
        <w:tab/>
      </w:r>
      <w:r>
        <w:tab/>
        <w:t>C+</w:t>
      </w:r>
      <w:r>
        <w:tab/>
      </w:r>
      <w:r>
        <w:tab/>
        <w:t xml:space="preserve">   </w:t>
      </w:r>
      <w:r w:rsidRPr="00CF235D">
        <w:t>2.33</w:t>
      </w:r>
      <w:r w:rsidRPr="00CF235D">
        <w:tab/>
      </w:r>
      <w:r w:rsidRPr="00CF235D">
        <w:tab/>
        <w:t>D-</w:t>
      </w:r>
      <w:r w:rsidRPr="00CF235D">
        <w:tab/>
      </w:r>
      <w:r w:rsidRPr="00CF235D">
        <w:tab/>
        <w:t>0.67</w:t>
      </w:r>
    </w:p>
    <w:p w14:paraId="34E4E8B3" w14:textId="77777777" w:rsidR="00566E67" w:rsidRPr="00CF235D" w:rsidRDefault="00566E67" w:rsidP="00566E67">
      <w:pPr>
        <w:tabs>
          <w:tab w:val="left" w:pos="1872"/>
        </w:tabs>
      </w:pPr>
    </w:p>
    <w:p w14:paraId="4CBFFD42" w14:textId="77777777" w:rsidR="00566E67" w:rsidRDefault="00566E67" w:rsidP="00566E67">
      <w:pPr>
        <w:tabs>
          <w:tab w:val="left" w:pos="1872"/>
        </w:tabs>
      </w:pPr>
      <w:r>
        <w:t>A-</w:t>
      </w:r>
      <w:r>
        <w:tab/>
        <w:t>3.67</w:t>
      </w:r>
      <w:r>
        <w:tab/>
      </w:r>
      <w:r>
        <w:tab/>
        <w:t xml:space="preserve">C (Satisfactory) </w:t>
      </w:r>
      <w:r w:rsidRPr="00CF235D">
        <w:t>2.00</w:t>
      </w:r>
      <w:r w:rsidRPr="00CF235D">
        <w:tab/>
      </w:r>
      <w:r w:rsidRPr="00CF235D">
        <w:tab/>
        <w:t>E (Failure)</w:t>
      </w:r>
      <w:r w:rsidRPr="00CF235D">
        <w:tab/>
        <w:t>0.0</w:t>
      </w:r>
    </w:p>
    <w:p w14:paraId="7C63ABD5" w14:textId="77777777" w:rsidR="00566E67" w:rsidRPr="00CF235D" w:rsidRDefault="00566E67" w:rsidP="00566E67">
      <w:pPr>
        <w:tabs>
          <w:tab w:val="left" w:pos="1872"/>
        </w:tabs>
      </w:pPr>
    </w:p>
    <w:p w14:paraId="16C408F0" w14:textId="77777777" w:rsidR="00566E67" w:rsidRDefault="00566E67" w:rsidP="00566E67">
      <w:pPr>
        <w:tabs>
          <w:tab w:val="left" w:pos="1872"/>
        </w:tabs>
      </w:pPr>
      <w:r w:rsidRPr="00CF235D">
        <w:t>B+</w:t>
      </w:r>
      <w:r w:rsidRPr="00CF235D">
        <w:tab/>
        <w:t>3.33</w:t>
      </w:r>
      <w:r w:rsidRPr="00CF235D">
        <w:tab/>
      </w:r>
      <w:r w:rsidRPr="00CF235D">
        <w:tab/>
        <w:t>C</w:t>
      </w:r>
      <w:r>
        <w:t>-</w:t>
      </w:r>
      <w:r>
        <w:tab/>
      </w:r>
      <w:r>
        <w:tab/>
        <w:t xml:space="preserve">  </w:t>
      </w:r>
      <w:r w:rsidRPr="00CF235D">
        <w:t>1.67</w:t>
      </w:r>
    </w:p>
    <w:p w14:paraId="79978AB8" w14:textId="77777777" w:rsidR="00566E67" w:rsidRPr="00CF235D" w:rsidRDefault="00566E67" w:rsidP="00566E67">
      <w:pPr>
        <w:tabs>
          <w:tab w:val="left" w:pos="1872"/>
        </w:tabs>
      </w:pPr>
    </w:p>
    <w:p w14:paraId="45B1A323" w14:textId="77777777" w:rsidR="00566E67" w:rsidRDefault="00566E67" w:rsidP="00566E67">
      <w:pPr>
        <w:tabs>
          <w:tab w:val="left" w:pos="1872"/>
        </w:tabs>
      </w:pPr>
      <w:r>
        <w:t>B (Good)</w:t>
      </w:r>
      <w:r>
        <w:tab/>
        <w:t>3.00</w:t>
      </w:r>
      <w:r>
        <w:tab/>
      </w:r>
      <w:r>
        <w:tab/>
        <w:t>D+</w:t>
      </w:r>
      <w:r>
        <w:tab/>
      </w:r>
      <w:r>
        <w:tab/>
        <w:t xml:space="preserve">  </w:t>
      </w:r>
      <w:r w:rsidRPr="00CF235D">
        <w:t>1.33</w:t>
      </w:r>
    </w:p>
    <w:p w14:paraId="4ACC5DF1" w14:textId="77777777" w:rsidR="00566E67" w:rsidRPr="00CF235D" w:rsidRDefault="00566E67" w:rsidP="00566E67">
      <w:pPr>
        <w:tabs>
          <w:tab w:val="left" w:pos="1872"/>
        </w:tabs>
      </w:pPr>
    </w:p>
    <w:p w14:paraId="1D3CB36E" w14:textId="77777777" w:rsidR="00566E67" w:rsidRPr="00CF235D" w:rsidRDefault="00566E67" w:rsidP="00566E67">
      <w:r>
        <w:t>B-</w:t>
      </w:r>
      <w:r>
        <w:tab/>
      </w:r>
      <w:r>
        <w:tab/>
        <w:t xml:space="preserve">        2.67</w:t>
      </w:r>
      <w:r>
        <w:tab/>
      </w:r>
      <w:r>
        <w:tab/>
        <w:t>D (Poor)</w:t>
      </w:r>
      <w:r>
        <w:tab/>
        <w:t xml:space="preserve">  </w:t>
      </w:r>
      <w:r w:rsidRPr="00CF235D">
        <w:t>1.00</w:t>
      </w:r>
    </w:p>
    <w:p w14:paraId="3CBC4460" w14:textId="77777777" w:rsidR="00566E67" w:rsidRDefault="00566E67" w:rsidP="00566E67"/>
    <w:p w14:paraId="1D97E04F" w14:textId="77777777" w:rsidR="00566E67" w:rsidRPr="00B43A89" w:rsidRDefault="00566E67" w:rsidP="00566E67">
      <w:r w:rsidRPr="00B43A89">
        <w:t>Th</w:t>
      </w:r>
      <w:r>
        <w:t>e</w:t>
      </w:r>
      <w:r w:rsidRPr="00B43A89">
        <w:t xml:space="preserve"> </w:t>
      </w:r>
      <w:r>
        <w:t xml:space="preserve">law school grading policy </w:t>
      </w:r>
      <w:r w:rsidRPr="00B43A89">
        <w:t xml:space="preserve">is </w:t>
      </w:r>
      <w:r>
        <w:t xml:space="preserve">available at: </w:t>
      </w:r>
      <w:hyperlink r:id="rId9" w:anchor="9" w:history="1">
        <w:r w:rsidR="009F0257">
          <w:rPr>
            <w:rStyle w:val="Hyperlink"/>
          </w:rPr>
          <w:t>http://www.law.ufl.edu/student-affairs/current-students/academic-policies#9</w:t>
        </w:r>
      </w:hyperlink>
    </w:p>
    <w:p w14:paraId="714A461F" w14:textId="784BB5FF" w:rsidR="005E3975" w:rsidRDefault="00566E67" w:rsidP="00566E67">
      <w:r>
        <w:t xml:space="preserve"> </w:t>
      </w:r>
    </w:p>
    <w:p w14:paraId="7147D5FD" w14:textId="77777777" w:rsidR="005E3975" w:rsidRDefault="005E3975" w:rsidP="005E3975">
      <w:pPr>
        <w:rPr>
          <w:b/>
          <w:bCs/>
          <w:u w:val="single"/>
        </w:rPr>
      </w:pPr>
      <w:r>
        <w:rPr>
          <w:b/>
          <w:bCs/>
          <w:u w:val="single"/>
        </w:rPr>
        <w:t>ACADEMIC HONESTY</w:t>
      </w:r>
    </w:p>
    <w:p w14:paraId="6BE942DE" w14:textId="77777777" w:rsidR="005E3975" w:rsidRDefault="005E3975" w:rsidP="005E3975">
      <w:pPr>
        <w:rPr>
          <w:b/>
          <w:bCs/>
          <w:u w:val="single"/>
        </w:rPr>
      </w:pPr>
    </w:p>
    <w:p w14:paraId="6EB73781" w14:textId="6F20D6AC" w:rsidR="005E3975" w:rsidRDefault="005E3975" w:rsidP="005E3975">
      <w:r w:rsidRPr="009A3F06">
        <w:t xml:space="preserve">Academic honesty and integrity are fundamental values of the University community. Students should be sure that they understand the UF Student Honor Code at </w:t>
      </w:r>
      <w:hyperlink r:id="rId10" w:history="1">
        <w:r w:rsidRPr="009A3F06">
          <w:rPr>
            <w:rStyle w:val="Hyperlink"/>
          </w:rPr>
          <w:t>http</w:t>
        </w:r>
      </w:hyperlink>
      <w:hyperlink r:id="rId11" w:history="1">
        <w:r w:rsidRPr="009A3F06">
          <w:rPr>
            <w:rStyle w:val="Hyperlink"/>
          </w:rPr>
          <w:t>://</w:t>
        </w:r>
      </w:hyperlink>
      <w:hyperlink r:id="rId12" w:history="1">
        <w:r w:rsidRPr="009A3F06">
          <w:rPr>
            <w:rStyle w:val="Hyperlink"/>
          </w:rPr>
          <w:t>www</w:t>
        </w:r>
      </w:hyperlink>
      <w:hyperlink r:id="rId13" w:history="1">
        <w:r w:rsidRPr="009A3F06">
          <w:rPr>
            <w:rStyle w:val="Hyperlink"/>
          </w:rPr>
          <w:t>.</w:t>
        </w:r>
      </w:hyperlink>
      <w:hyperlink r:id="rId14" w:history="1">
        <w:r w:rsidRPr="009A3F06">
          <w:rPr>
            <w:rStyle w:val="Hyperlink"/>
          </w:rPr>
          <w:t>dso</w:t>
        </w:r>
      </w:hyperlink>
      <w:hyperlink r:id="rId15" w:history="1">
        <w:r w:rsidRPr="009A3F06">
          <w:rPr>
            <w:rStyle w:val="Hyperlink"/>
          </w:rPr>
          <w:t>.</w:t>
        </w:r>
      </w:hyperlink>
      <w:hyperlink r:id="rId16" w:history="1">
        <w:r w:rsidRPr="009A3F06">
          <w:rPr>
            <w:rStyle w:val="Hyperlink"/>
          </w:rPr>
          <w:t>ufl</w:t>
        </w:r>
      </w:hyperlink>
      <w:hyperlink r:id="rId17" w:history="1">
        <w:r w:rsidRPr="009A3F06">
          <w:rPr>
            <w:rStyle w:val="Hyperlink"/>
          </w:rPr>
          <w:t>.</w:t>
        </w:r>
      </w:hyperlink>
      <w:hyperlink r:id="rId18" w:history="1">
        <w:r w:rsidRPr="009A3F06">
          <w:rPr>
            <w:rStyle w:val="Hyperlink"/>
          </w:rPr>
          <w:t>edu</w:t>
        </w:r>
      </w:hyperlink>
      <w:hyperlink r:id="rId19" w:history="1">
        <w:r w:rsidRPr="009A3F06">
          <w:rPr>
            <w:rStyle w:val="Hyperlink"/>
          </w:rPr>
          <w:t>/</w:t>
        </w:r>
      </w:hyperlink>
      <w:hyperlink r:id="rId20" w:history="1">
        <w:r w:rsidRPr="009A3F06">
          <w:rPr>
            <w:rStyle w:val="Hyperlink"/>
          </w:rPr>
          <w:t>students</w:t>
        </w:r>
      </w:hyperlink>
      <w:hyperlink r:id="rId21" w:history="1">
        <w:r w:rsidRPr="009A3F06">
          <w:rPr>
            <w:rStyle w:val="Hyperlink"/>
          </w:rPr>
          <w:t>.</w:t>
        </w:r>
      </w:hyperlink>
      <w:hyperlink r:id="rId22" w:history="1">
        <w:r w:rsidRPr="009A3F06">
          <w:rPr>
            <w:rStyle w:val="Hyperlink"/>
          </w:rPr>
          <w:t>php</w:t>
        </w:r>
      </w:hyperlink>
      <w:r w:rsidRPr="009A3F06">
        <w:t>.</w:t>
      </w:r>
    </w:p>
    <w:p w14:paraId="59D86BE2" w14:textId="5EAFB06A" w:rsidR="005E3975" w:rsidRDefault="005E3975" w:rsidP="005E3975"/>
    <w:p w14:paraId="18759FED" w14:textId="77777777" w:rsidR="005E3975" w:rsidRDefault="005E3975" w:rsidP="005E3975">
      <w:pPr>
        <w:rPr>
          <w:b/>
          <w:u w:val="single"/>
        </w:rPr>
      </w:pPr>
      <w:r>
        <w:rPr>
          <w:b/>
          <w:u w:val="single"/>
        </w:rPr>
        <w:t>STATEMENT RELATED TO ACCOMODATIONS FOR STUDENTS WITH DISABILITIES</w:t>
      </w:r>
    </w:p>
    <w:p w14:paraId="7384FB3F" w14:textId="77777777" w:rsidR="005E3975" w:rsidRPr="00C906C9" w:rsidRDefault="005E3975" w:rsidP="005E3975">
      <w:pPr>
        <w:rPr>
          <w:b/>
          <w:u w:val="single"/>
        </w:rPr>
      </w:pPr>
    </w:p>
    <w:p w14:paraId="4FA789E9" w14:textId="77777777" w:rsidR="005E3975" w:rsidRDefault="005E3975" w:rsidP="005E3975">
      <w:r w:rsidRPr="00FA7B0F">
        <w:t xml:space="preserve">Students requesting accommodation for disabilities must first register with the </w:t>
      </w:r>
      <w:r>
        <w:t xml:space="preserve">Disability Resource Center </w:t>
      </w:r>
      <w:r w:rsidRPr="00FA7B0F">
        <w:t xml:space="preserve"> (</w:t>
      </w:r>
      <w:hyperlink r:id="rId23" w:history="1">
        <w:r w:rsidRPr="00FA7B0F">
          <w:rPr>
            <w:rStyle w:val="Hyperlink"/>
          </w:rPr>
          <w:t>http</w:t>
        </w:r>
      </w:hyperlink>
      <w:hyperlink r:id="rId24" w:history="1">
        <w:r w:rsidRPr="00FA7B0F">
          <w:rPr>
            <w:rStyle w:val="Hyperlink"/>
          </w:rPr>
          <w:t>://</w:t>
        </w:r>
      </w:hyperlink>
      <w:hyperlink r:id="rId25" w:history="1">
        <w:r w:rsidRPr="00FA7B0F">
          <w:rPr>
            <w:rStyle w:val="Hyperlink"/>
          </w:rPr>
          <w:t>www</w:t>
        </w:r>
      </w:hyperlink>
      <w:hyperlink r:id="rId26" w:history="1">
        <w:r w:rsidRPr="00FA7B0F">
          <w:rPr>
            <w:rStyle w:val="Hyperlink"/>
          </w:rPr>
          <w:t>.</w:t>
        </w:r>
      </w:hyperlink>
      <w:hyperlink r:id="rId27" w:history="1">
        <w:r w:rsidRPr="00FA7B0F">
          <w:rPr>
            <w:rStyle w:val="Hyperlink"/>
          </w:rPr>
          <w:t>ds</w:t>
        </w:r>
      </w:hyperlink>
      <w:hyperlink r:id="rId28" w:history="1">
        <w:r w:rsidRPr="00FA7B0F">
          <w:rPr>
            <w:rStyle w:val="Hyperlink"/>
          </w:rPr>
          <w:t>o</w:t>
        </w:r>
      </w:hyperlink>
      <w:hyperlink r:id="rId29" w:history="1">
        <w:r w:rsidRPr="00FA7B0F">
          <w:rPr>
            <w:rStyle w:val="Hyperlink"/>
          </w:rPr>
          <w:t>.</w:t>
        </w:r>
      </w:hyperlink>
      <w:hyperlink r:id="rId30" w:history="1">
        <w:r w:rsidRPr="00FA7B0F">
          <w:rPr>
            <w:rStyle w:val="Hyperlink"/>
          </w:rPr>
          <w:t>ufl</w:t>
        </w:r>
      </w:hyperlink>
      <w:hyperlink r:id="rId31" w:history="1">
        <w:r w:rsidRPr="00FA7B0F">
          <w:rPr>
            <w:rStyle w:val="Hyperlink"/>
          </w:rPr>
          <w:t>.</w:t>
        </w:r>
      </w:hyperlink>
      <w:hyperlink r:id="rId32" w:history="1">
        <w:r w:rsidRPr="00FA7B0F">
          <w:rPr>
            <w:rStyle w:val="Hyperlink"/>
          </w:rPr>
          <w:t>edu</w:t>
        </w:r>
      </w:hyperlink>
      <w:hyperlink r:id="rId33" w:history="1">
        <w:r w:rsidRPr="00FA7B0F">
          <w:rPr>
            <w:rStyle w:val="Hyperlink"/>
          </w:rPr>
          <w:t>/</w:t>
        </w:r>
      </w:hyperlink>
      <w:hyperlink r:id="rId34" w:history="1">
        <w:r w:rsidRPr="00FA7B0F">
          <w:rPr>
            <w:rStyle w:val="Hyperlink"/>
          </w:rPr>
          <w:t>drc</w:t>
        </w:r>
      </w:hyperlink>
      <w:hyperlink r:id="rId35" w:history="1">
        <w:r w:rsidRPr="00FA7B0F">
          <w:rPr>
            <w:rStyle w:val="Hyperlink"/>
          </w:rPr>
          <w:t>/</w:t>
        </w:r>
      </w:hyperlink>
      <w:r w:rsidRPr="00FA7B0F">
        <w:t xml:space="preserve">). </w:t>
      </w:r>
      <w:r>
        <w:t>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50FC141" w14:textId="77777777" w:rsidR="005E3975" w:rsidRPr="0013573F" w:rsidRDefault="005E3975" w:rsidP="005E3975"/>
    <w:p w14:paraId="1D9F6FAE" w14:textId="77777777" w:rsidR="005E3975" w:rsidRDefault="005E3975" w:rsidP="005E3975">
      <w:r>
        <w:rPr>
          <w:b/>
          <w:bCs/>
          <w:u w:val="single"/>
        </w:rPr>
        <w:t>ONLINE COURSE EVALUATION PROCESS</w:t>
      </w:r>
    </w:p>
    <w:p w14:paraId="088C3736" w14:textId="77777777" w:rsidR="005E3975" w:rsidRDefault="005E3975" w:rsidP="005E3975"/>
    <w:p w14:paraId="062ED3A9" w14:textId="5DE1B6BC" w:rsidR="005E3975" w:rsidRPr="00993B84" w:rsidRDefault="005E3975" w:rsidP="005E3975">
      <w:r w:rsidRPr="00993B84">
        <w:t>Students are expected to provide professional and respectful feedback on the quality of</w:t>
      </w:r>
      <w:r>
        <w:t xml:space="preserve"> </w:t>
      </w:r>
      <w:r w:rsidRPr="00993B84">
        <w:t>instruction in this course by completing course evaluations online via GatorEvals. Guidance on how to give feedback in a professional and respectful manner is available</w:t>
      </w:r>
      <w:r>
        <w:t xml:space="preserve"> at </w:t>
      </w:r>
      <w:hyperlink r:id="rId36" w:history="1">
        <w:r w:rsidRPr="003517E7">
          <w:rPr>
            <w:rStyle w:val="Hyperlink"/>
          </w:rPr>
          <w:t>https://gatorevals.aa.ufl.edu/students/</w:t>
        </w:r>
      </w:hyperlink>
      <w:r w:rsidRPr="00993B84">
        <w:t>. Students will be notified when the evaluation period opens</w:t>
      </w:r>
      <w:r>
        <w:t xml:space="preserve"> </w:t>
      </w:r>
      <w:r w:rsidRPr="00993B84">
        <w:t>and can complete evaluations through the email they receive from GatorEvals</w:t>
      </w:r>
      <w:r>
        <w:t xml:space="preserve">, </w:t>
      </w:r>
      <w:r w:rsidRPr="00993B84">
        <w:t>in their Canvas course menu under GatorEvals</w:t>
      </w:r>
      <w:r>
        <w:t xml:space="preserve">, </w:t>
      </w:r>
      <w:r w:rsidRPr="00993B84">
        <w:t>or</w:t>
      </w:r>
      <w:r>
        <w:t xml:space="preserve"> via </w:t>
      </w:r>
      <w:hyperlink r:id="rId37" w:history="1">
        <w:r w:rsidR="00BE1462">
          <w:rPr>
            <w:rStyle w:val="Hyperlink"/>
          </w:rPr>
          <w:t>https://gatorevals.aa.ufl.edu/</w:t>
        </w:r>
      </w:hyperlink>
      <w:r w:rsidR="00BE1462" w:rsidRPr="00993B84">
        <w:t>.</w:t>
      </w:r>
      <w:r w:rsidRPr="00993B84">
        <w:t xml:space="preserve"> Summaries of course evaluation results are available to students at </w:t>
      </w:r>
      <w:hyperlink r:id="rId38" w:history="1">
        <w:r w:rsidRPr="00993B84">
          <w:rPr>
            <w:rStyle w:val="Hyperlink"/>
          </w:rPr>
          <w:t>https://gatorevals.aa.ufl.edu/public-results/</w:t>
        </w:r>
      </w:hyperlink>
      <w:r w:rsidRPr="00993B84">
        <w:t>.</w:t>
      </w:r>
    </w:p>
    <w:p w14:paraId="123E0B65" w14:textId="77777777" w:rsidR="005E3975" w:rsidRDefault="005E3975" w:rsidP="00566E67"/>
    <w:p w14:paraId="76DE474E" w14:textId="77777777" w:rsidR="00071039" w:rsidRDefault="00071039" w:rsidP="005E3975">
      <w:pPr>
        <w:rPr>
          <w:b/>
          <w:bCs/>
          <w:u w:val="single"/>
        </w:rPr>
      </w:pPr>
    </w:p>
    <w:p w14:paraId="034464D1" w14:textId="77777777" w:rsidR="00071039" w:rsidRDefault="00071039" w:rsidP="005E3975">
      <w:pPr>
        <w:rPr>
          <w:b/>
          <w:bCs/>
          <w:u w:val="single"/>
        </w:rPr>
      </w:pPr>
    </w:p>
    <w:p w14:paraId="2A8756D0" w14:textId="77777777" w:rsidR="00071039" w:rsidRDefault="00071039" w:rsidP="005E3975">
      <w:pPr>
        <w:rPr>
          <w:b/>
          <w:bCs/>
          <w:u w:val="single"/>
        </w:rPr>
      </w:pPr>
    </w:p>
    <w:p w14:paraId="4FFB9F03" w14:textId="71DC4671" w:rsidR="005E3975" w:rsidRDefault="005E3975" w:rsidP="005E3975">
      <w:r>
        <w:rPr>
          <w:b/>
          <w:bCs/>
          <w:u w:val="single"/>
        </w:rPr>
        <w:lastRenderedPageBreak/>
        <w:t>CLASSROOM SAFETY</w:t>
      </w:r>
    </w:p>
    <w:p w14:paraId="18C76014" w14:textId="77777777" w:rsidR="005E3975" w:rsidRDefault="005E3975" w:rsidP="005E3975"/>
    <w:p w14:paraId="509256E8" w14:textId="7A3FA79B" w:rsidR="005E3975" w:rsidRDefault="005E3975" w:rsidP="005E3975">
      <w:r>
        <w:t>Many students</w:t>
      </w:r>
      <w:r w:rsidRPr="002032E2">
        <w:t xml:space="preserve"> will have face-to-face instructional sessions to accomplish the student learning objectives of this course. </w:t>
      </w:r>
      <w:r>
        <w:t xml:space="preserve"> </w:t>
      </w:r>
      <w:r w:rsidRPr="002032E2">
        <w:t>In response to COVID-19, the following policies and requirements are in place to maintain your learning environment and to enhance the safety of our in-classroom interactions</w:t>
      </w:r>
      <w:r>
        <w:t xml:space="preserve">. </w:t>
      </w:r>
      <w:r w:rsidR="00071039">
        <w:t>I</w:t>
      </w:r>
      <w:r>
        <w:t xml:space="preserve"> may take noncompliance into account when grading students or determining if a student may remain in the course. </w:t>
      </w:r>
    </w:p>
    <w:p w14:paraId="0B0C87B1" w14:textId="77777777" w:rsidR="005E3975" w:rsidRPr="002032E2" w:rsidRDefault="005E3975" w:rsidP="005E3975"/>
    <w:p w14:paraId="191CD647" w14:textId="77777777" w:rsidR="005E3975" w:rsidRPr="002032E2" w:rsidRDefault="005E3975" w:rsidP="005E3975">
      <w:pPr>
        <w:numPr>
          <w:ilvl w:val="0"/>
          <w:numId w:val="3"/>
        </w:numPr>
      </w:pPr>
      <w:r w:rsidRPr="002032E2">
        <w:t>You are required to wear approved face coverings at all times during class and within buildings. Following and enforcing these policies and requirements are all of our responsibility.</w:t>
      </w:r>
      <w:r>
        <w:t xml:space="preserve"> </w:t>
      </w:r>
      <w:r w:rsidRPr="002032E2">
        <w:t xml:space="preserve"> Failure to do so will lead to a report to the Office of Student Conduct and Conflict Resolution</w:t>
      </w:r>
      <w:r>
        <w:t xml:space="preserve">.  You also </w:t>
      </w:r>
      <w:r w:rsidRPr="002032E2">
        <w:t>will no longer be permitted on the UF</w:t>
      </w:r>
      <w:r>
        <w:t xml:space="preserve"> Law</w:t>
      </w:r>
      <w:r w:rsidRPr="002032E2">
        <w:t xml:space="preserve"> campus. </w:t>
      </w:r>
      <w:r>
        <w:t xml:space="preserve"> Finally, Dean Inman</w:t>
      </w:r>
      <w:r w:rsidRPr="002032E2">
        <w:t xml:space="preserve"> will also report </w:t>
      </w:r>
      <w:r>
        <w:t xml:space="preserve">your </w:t>
      </w:r>
      <w:r w:rsidRPr="002032E2">
        <w:t xml:space="preserve">noncompliance to the relevant state board of bar examiners.  </w:t>
      </w:r>
    </w:p>
    <w:p w14:paraId="02552D06" w14:textId="77777777" w:rsidR="005E3975" w:rsidRPr="002032E2" w:rsidRDefault="005E3975" w:rsidP="005E3975">
      <w:pPr>
        <w:numPr>
          <w:ilvl w:val="0"/>
          <w:numId w:val="3"/>
        </w:numPr>
      </w:pPr>
      <w:r w:rsidRPr="002032E2">
        <w:t xml:space="preserve">This course has been assigned a physical classroom with enough capacity to maintain physical distancing (6 feet between individuals) requirements. </w:t>
      </w:r>
      <w:r>
        <w:t xml:space="preserve"> </w:t>
      </w:r>
      <w:r w:rsidRPr="002032E2">
        <w:t xml:space="preserve">Please utilize designated seats and maintain appropriate spacing between students. </w:t>
      </w:r>
      <w:r>
        <w:t xml:space="preserve"> </w:t>
      </w:r>
      <w:r w:rsidRPr="002032E2">
        <w:t>Please do not move desks or stations.</w:t>
      </w:r>
    </w:p>
    <w:p w14:paraId="18AD00BF" w14:textId="77777777" w:rsidR="005E3975" w:rsidRPr="002032E2" w:rsidRDefault="005E3975" w:rsidP="005E3975">
      <w:pPr>
        <w:numPr>
          <w:ilvl w:val="0"/>
          <w:numId w:val="3"/>
        </w:numPr>
      </w:pPr>
      <w:r w:rsidRPr="002032E2">
        <w:t>Sanitizing supplies are available in the classroom if you wish to wipe down your desks prior to sitting down and at the end of the class.</w:t>
      </w:r>
    </w:p>
    <w:p w14:paraId="40025064" w14:textId="77777777" w:rsidR="005E3975" w:rsidRPr="002032E2" w:rsidRDefault="005E3975" w:rsidP="005E3975">
      <w:pPr>
        <w:numPr>
          <w:ilvl w:val="0"/>
          <w:numId w:val="3"/>
        </w:numPr>
      </w:pPr>
      <w:r>
        <w:t xml:space="preserve">Be mindful of how to properly </w:t>
      </w:r>
      <w:r w:rsidRPr="002032E2">
        <w:t>enter and exit the classroom.  Practice physical distancing to the extent possible when entering and exiting the classroom.</w:t>
      </w:r>
    </w:p>
    <w:p w14:paraId="33D2F53B" w14:textId="77777777" w:rsidR="005E3975" w:rsidRPr="002032E2" w:rsidRDefault="005E3975" w:rsidP="005E3975">
      <w:pPr>
        <w:numPr>
          <w:ilvl w:val="0"/>
          <w:numId w:val="3"/>
        </w:numPr>
      </w:pPr>
      <w:r w:rsidRPr="002032E2">
        <w:t>If you are experiencing COVID-19 symptoms (</w:t>
      </w:r>
      <w:hyperlink r:id="rId39" w:history="1">
        <w:r w:rsidRPr="002032E2">
          <w:rPr>
            <w:rStyle w:val="Hyperlink"/>
          </w:rPr>
          <w:t>https://www.cdc.gov/coronavirus/2019-ncov/symptoms-testing/symptoms.html</w:t>
        </w:r>
      </w:hyperlink>
      <w:r w:rsidRPr="002032E2">
        <w:t xml:space="preserve">), </w:t>
      </w:r>
      <w:r>
        <w:t>please do not come to campus or, if you are already on campus, please immediately leave campus.  P</w:t>
      </w:r>
      <w:r w:rsidRPr="007A21D8">
        <w:t xml:space="preserve">lease use the UF Health screening system and follow the instructions </w:t>
      </w:r>
      <w:r>
        <w:t>about when</w:t>
      </w:r>
      <w:r w:rsidRPr="007A21D8">
        <w:t xml:space="preserve"> you are able to </w:t>
      </w:r>
      <w:r>
        <w:t xml:space="preserve">return to </w:t>
      </w:r>
      <w:r w:rsidRPr="007A21D8">
        <w:t>c</w:t>
      </w:r>
      <w:r>
        <w:t>ampus</w:t>
      </w:r>
      <w:r w:rsidRPr="007A21D8">
        <w:t>. </w:t>
      </w:r>
      <w:r>
        <w:t xml:space="preserve"> </w:t>
      </w:r>
      <w:hyperlink r:id="rId40" w:history="1">
        <w:r w:rsidRPr="00231791">
          <w:rPr>
            <w:rStyle w:val="Hyperlink"/>
          </w:rPr>
          <w:t>https://coronavirus.ufhealth.org/screen-test-protect/covid-19-exposure-and-symptoms-who-do-i-call-if/</w:t>
        </w:r>
      </w:hyperlink>
      <w:r>
        <w:t>.</w:t>
      </w:r>
    </w:p>
    <w:p w14:paraId="3F16974C" w14:textId="77777777" w:rsidR="005E3975" w:rsidRDefault="005E3975" w:rsidP="005E3975">
      <w:pPr>
        <w:numPr>
          <w:ilvl w:val="0"/>
          <w:numId w:val="3"/>
        </w:numPr>
      </w:pPr>
      <w:r w:rsidRPr="002032E2">
        <w:t>Course materials will be provided to you with an excused absence, and you will be given a reasonable amount of time to make up work.</w:t>
      </w:r>
      <w:hyperlink r:id="rId41" w:history="1">
        <w:r w:rsidRPr="002032E2">
          <w:rPr>
            <w:rStyle w:val="Hyperlink"/>
          </w:rPr>
          <w:t>https://catalog.ufl.edu/UGRD/academic-regulations/attendance-policies/</w:t>
        </w:r>
      </w:hyperlink>
      <w:r w:rsidRPr="002032E2">
        <w:t>.</w:t>
      </w:r>
    </w:p>
    <w:p w14:paraId="60B727A8" w14:textId="77777777" w:rsidR="005E3975" w:rsidRDefault="005E3975" w:rsidP="005E3975"/>
    <w:p w14:paraId="3B08D530" w14:textId="0BAF483F" w:rsidR="005003F6" w:rsidRDefault="005003F6" w:rsidP="005E3975">
      <w:r>
        <w:rPr>
          <w:b/>
          <w:bCs/>
          <w:u w:val="single"/>
        </w:rPr>
        <w:t>RECORDING OF CLASS DISCUSSIONS</w:t>
      </w:r>
    </w:p>
    <w:p w14:paraId="31A27A76" w14:textId="77777777" w:rsidR="005003F6" w:rsidRDefault="005003F6" w:rsidP="005E3975"/>
    <w:p w14:paraId="6D794B32" w14:textId="1EC40D83" w:rsidR="005E3975" w:rsidRDefault="005E3975" w:rsidP="005E3975">
      <w:r>
        <w:t xml:space="preserve">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  </w:t>
      </w:r>
    </w:p>
    <w:p w14:paraId="624717CE" w14:textId="5C692309" w:rsidR="00A858AB" w:rsidRDefault="00A858AB" w:rsidP="005E3975"/>
    <w:p w14:paraId="5551844A" w14:textId="77777777" w:rsidR="00A858AB" w:rsidRDefault="00A858AB" w:rsidP="00A858AB">
      <w:pPr>
        <w:rPr>
          <w:b/>
          <w:bCs/>
          <w:u w:val="single"/>
        </w:rPr>
      </w:pPr>
      <w:r w:rsidRPr="0013573F">
        <w:rPr>
          <w:b/>
          <w:bCs/>
          <w:u w:val="single"/>
        </w:rPr>
        <w:t>COURSE WORKLOAD AND CLASS PREPARATION</w:t>
      </w:r>
    </w:p>
    <w:p w14:paraId="334CFF8C" w14:textId="77777777" w:rsidR="00A858AB" w:rsidRDefault="00A858AB" w:rsidP="00A858AB">
      <w:pPr>
        <w:rPr>
          <w:b/>
          <w:bCs/>
          <w:u w:val="single"/>
        </w:rPr>
      </w:pPr>
    </w:p>
    <w:p w14:paraId="2BF47095" w14:textId="77777777" w:rsidR="00A858AB" w:rsidRPr="0013573F" w:rsidRDefault="00A858AB" w:rsidP="00A858AB">
      <w:r>
        <w:t xml:space="preserve">Students should expect to spend at least two hours outside of class reading and preparing for every hour of class.  </w:t>
      </w:r>
    </w:p>
    <w:p w14:paraId="4871EB02" w14:textId="77777777" w:rsidR="00A858AB" w:rsidRPr="001C1331" w:rsidRDefault="00A858AB" w:rsidP="005E3975"/>
    <w:p w14:paraId="6131367C" w14:textId="77777777" w:rsidR="005003F6" w:rsidRDefault="005003F6" w:rsidP="003E2FCA">
      <w:bookmarkStart w:id="0" w:name="_GoBack"/>
      <w:bookmarkEnd w:id="0"/>
    </w:p>
    <w:p w14:paraId="74C636F4" w14:textId="77777777" w:rsidR="005711D2" w:rsidRDefault="00472C1A" w:rsidP="003E2FCA">
      <w:r>
        <w:rPr>
          <w:b/>
          <w:u w:val="single"/>
        </w:rPr>
        <w:lastRenderedPageBreak/>
        <w:t xml:space="preserve">COURSE SCHEDULE OF TOPICS AND ASSIGNMENTS </w:t>
      </w:r>
      <w:r w:rsidR="00566E67">
        <w:rPr>
          <w:b/>
          <w:u w:val="single"/>
        </w:rPr>
        <w:t>(TENATIVE)</w:t>
      </w:r>
    </w:p>
    <w:p w14:paraId="7337210E" w14:textId="77777777" w:rsidR="005711D2" w:rsidRDefault="005711D2" w:rsidP="003E2FCA"/>
    <w:p w14:paraId="24FBFE03" w14:textId="7878B8A4" w:rsidR="005711D2" w:rsidRDefault="005711D2" w:rsidP="005711D2">
      <w:bookmarkStart w:id="1" w:name="_Hlk48831418"/>
      <w:r>
        <w:t xml:space="preserve">All assignments are in </w:t>
      </w:r>
      <w:r>
        <w:rPr>
          <w:smallCaps/>
        </w:rPr>
        <w:t>Goldberg, Sebok &amp; Zipursky, To</w:t>
      </w:r>
      <w:r w:rsidR="00A65A5D">
        <w:rPr>
          <w:smallCaps/>
        </w:rPr>
        <w:t xml:space="preserve">rt </w:t>
      </w:r>
      <w:r>
        <w:rPr>
          <w:smallCaps/>
        </w:rPr>
        <w:t>Law: Responsibilities and Redress</w:t>
      </w:r>
      <w:r w:rsidR="00933F5C">
        <w:t xml:space="preserve"> (4</w:t>
      </w:r>
      <w:r w:rsidR="00933F5C" w:rsidRPr="00933F5C">
        <w:rPr>
          <w:vertAlign w:val="superscript"/>
        </w:rPr>
        <w:t>th</w:t>
      </w:r>
      <w:r w:rsidR="00933F5C">
        <w:t xml:space="preserve"> ed. 2016). </w:t>
      </w:r>
    </w:p>
    <w:p w14:paraId="724C9087" w14:textId="77777777" w:rsidR="00A65A5D" w:rsidRDefault="00A65A5D" w:rsidP="005711D2"/>
    <w:p w14:paraId="7E518A45" w14:textId="770DE0DD" w:rsidR="00472C1A" w:rsidRDefault="006963BE" w:rsidP="005711D2">
      <w:r>
        <w:t>The sections</w:t>
      </w:r>
      <w:r w:rsidR="00A65A5D">
        <w:t xml:space="preserve"> </w:t>
      </w:r>
      <w:r w:rsidR="006812C2">
        <w:t xml:space="preserve">below generally </w:t>
      </w:r>
      <w:r w:rsidR="00A65A5D">
        <w:t xml:space="preserve">represent what I will attempt to cover during a class period, </w:t>
      </w:r>
      <w:r w:rsidR="006812C2">
        <w:t>but they are only estimates.  We</w:t>
      </w:r>
      <w:r>
        <w:t xml:space="preserve"> may move faster or slower depending on how </w:t>
      </w:r>
      <w:r w:rsidR="00F44EC0">
        <w:t>the classes progress</w:t>
      </w:r>
      <w:r>
        <w:t xml:space="preserve">.  </w:t>
      </w:r>
    </w:p>
    <w:bookmarkEnd w:id="1"/>
    <w:p w14:paraId="19326364" w14:textId="77777777" w:rsidR="00AD2CC4" w:rsidRDefault="008506F3" w:rsidP="005711D2">
      <w:r>
        <w:t xml:space="preserve"> </w:t>
      </w:r>
    </w:p>
    <w:tbl>
      <w:tblPr>
        <w:tblpPr w:leftFromText="180" w:rightFromText="180" w:vertAnchor="text" w:horzAnchor="margin" w:tblpXSpec="center"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088"/>
      </w:tblGrid>
      <w:tr w:rsidR="0073498F" w14:paraId="1E0170A2" w14:textId="77777777" w:rsidTr="0073498F">
        <w:tc>
          <w:tcPr>
            <w:tcW w:w="5220" w:type="dxa"/>
            <w:shd w:val="clear" w:color="auto" w:fill="D9D9D9"/>
          </w:tcPr>
          <w:p w14:paraId="3D1BC394" w14:textId="77777777" w:rsidR="0073498F" w:rsidRDefault="0073498F" w:rsidP="0073498F">
            <w:pPr>
              <w:jc w:val="center"/>
            </w:pPr>
            <w:r>
              <w:t>TOPIC</w:t>
            </w:r>
          </w:p>
        </w:tc>
        <w:tc>
          <w:tcPr>
            <w:tcW w:w="2088" w:type="dxa"/>
            <w:shd w:val="clear" w:color="auto" w:fill="D9D9D9"/>
          </w:tcPr>
          <w:p w14:paraId="6D2ACCD8" w14:textId="77777777" w:rsidR="0073498F" w:rsidRDefault="0073498F" w:rsidP="0073498F">
            <w:pPr>
              <w:jc w:val="center"/>
            </w:pPr>
            <w:smartTag w:uri="urn:schemas-microsoft-com:office:smarttags" w:element="City">
              <w:smartTag w:uri="urn:schemas-microsoft-com:office:smarttags" w:element="place">
                <w:r>
                  <w:t>READING</w:t>
                </w:r>
              </w:smartTag>
            </w:smartTag>
          </w:p>
        </w:tc>
      </w:tr>
      <w:tr w:rsidR="0073498F" w14:paraId="68D2A84B" w14:textId="77777777" w:rsidTr="0073498F">
        <w:tc>
          <w:tcPr>
            <w:tcW w:w="5220" w:type="dxa"/>
          </w:tcPr>
          <w:p w14:paraId="384ABB90" w14:textId="77777777" w:rsidR="0073498F" w:rsidRDefault="0073498F" w:rsidP="0073498F">
            <w:r>
              <w:t xml:space="preserve">Introduction to Torts </w:t>
            </w:r>
          </w:p>
          <w:p w14:paraId="260A4C72" w14:textId="77777777" w:rsidR="0073498F" w:rsidRDefault="0073498F" w:rsidP="00600C63"/>
        </w:tc>
        <w:tc>
          <w:tcPr>
            <w:tcW w:w="2088" w:type="dxa"/>
          </w:tcPr>
          <w:p w14:paraId="74236FAD" w14:textId="6E352D9E" w:rsidR="00CE2B59" w:rsidRDefault="0073498F" w:rsidP="003A204F">
            <w:r>
              <w:t xml:space="preserve">pp. </w:t>
            </w:r>
            <w:r w:rsidR="003A204F">
              <w:t>3</w:t>
            </w:r>
            <w:r w:rsidR="00933F5C">
              <w:t>-42</w:t>
            </w:r>
          </w:p>
          <w:p w14:paraId="0E803DE1" w14:textId="77777777" w:rsidR="0073498F" w:rsidRDefault="0073498F" w:rsidP="0073498F"/>
        </w:tc>
      </w:tr>
      <w:tr w:rsidR="00600C63" w14:paraId="28A5C75D" w14:textId="77777777" w:rsidTr="0073498F">
        <w:tc>
          <w:tcPr>
            <w:tcW w:w="5220" w:type="dxa"/>
          </w:tcPr>
          <w:p w14:paraId="748F30FD" w14:textId="77777777" w:rsidR="00600C63" w:rsidRDefault="005231D9" w:rsidP="0073498F">
            <w:r>
              <w:t>Battery: Elements</w:t>
            </w:r>
            <w:r w:rsidR="009816BC">
              <w:t>, Intent</w:t>
            </w:r>
          </w:p>
          <w:p w14:paraId="345761C2" w14:textId="77777777" w:rsidR="00E702CF" w:rsidRDefault="00E702CF" w:rsidP="0073498F"/>
        </w:tc>
        <w:tc>
          <w:tcPr>
            <w:tcW w:w="2088" w:type="dxa"/>
          </w:tcPr>
          <w:p w14:paraId="174E0F18" w14:textId="5C6A003F" w:rsidR="00600C63" w:rsidRDefault="005541FB" w:rsidP="003A204F">
            <w:r>
              <w:t xml:space="preserve">pp. </w:t>
            </w:r>
            <w:r w:rsidR="00933F5C">
              <w:t>601-622</w:t>
            </w:r>
          </w:p>
        </w:tc>
      </w:tr>
      <w:tr w:rsidR="00600C63" w14:paraId="0D49FF08" w14:textId="77777777" w:rsidTr="0073498F">
        <w:tc>
          <w:tcPr>
            <w:tcW w:w="5220" w:type="dxa"/>
          </w:tcPr>
          <w:p w14:paraId="7ADE04BC" w14:textId="77777777" w:rsidR="006310A0" w:rsidRDefault="005541FB" w:rsidP="006310A0">
            <w:r>
              <w:t>Battery: Intent</w:t>
            </w:r>
            <w:r w:rsidR="005F4724">
              <w:t xml:space="preserve"> (continued)</w:t>
            </w:r>
            <w:r w:rsidR="006310A0">
              <w:t>;  and Knowledge;</w:t>
            </w:r>
          </w:p>
          <w:p w14:paraId="3268AB37" w14:textId="77777777" w:rsidR="00E702CF" w:rsidRDefault="006310A0" w:rsidP="0073498F">
            <w:r>
              <w:t>Assault</w:t>
            </w:r>
          </w:p>
          <w:p w14:paraId="747D2DD3" w14:textId="77777777" w:rsidR="005F4724" w:rsidRDefault="005F4724" w:rsidP="0073498F"/>
        </w:tc>
        <w:tc>
          <w:tcPr>
            <w:tcW w:w="2088" w:type="dxa"/>
          </w:tcPr>
          <w:p w14:paraId="0153F77C" w14:textId="76CC9370" w:rsidR="00600C63" w:rsidRDefault="005541FB" w:rsidP="006310A0">
            <w:r>
              <w:t xml:space="preserve">pp. </w:t>
            </w:r>
            <w:r w:rsidR="00933F5C">
              <w:t>623-648</w:t>
            </w:r>
          </w:p>
        </w:tc>
      </w:tr>
      <w:tr w:rsidR="005541FB" w14:paraId="16766CFB" w14:textId="77777777" w:rsidTr="0073498F">
        <w:tc>
          <w:tcPr>
            <w:tcW w:w="5220" w:type="dxa"/>
          </w:tcPr>
          <w:p w14:paraId="6AC9851C" w14:textId="77777777" w:rsidR="005541FB" w:rsidRDefault="005F4724" w:rsidP="0073498F">
            <w:r>
              <w:t xml:space="preserve">Transferred Intent; </w:t>
            </w:r>
            <w:r w:rsidR="005541FB">
              <w:t xml:space="preserve">Defenses to </w:t>
            </w:r>
            <w:r>
              <w:t xml:space="preserve">Battery and </w:t>
            </w:r>
            <w:r w:rsidR="006310A0">
              <w:t>Assault: Consent, Self Defense; Defense and Recapture of Property</w:t>
            </w:r>
          </w:p>
          <w:p w14:paraId="50047925" w14:textId="77777777" w:rsidR="00E702CF" w:rsidRDefault="00E702CF" w:rsidP="0073498F"/>
        </w:tc>
        <w:tc>
          <w:tcPr>
            <w:tcW w:w="2088" w:type="dxa"/>
          </w:tcPr>
          <w:p w14:paraId="56A86D50" w14:textId="3FB6FEA4" w:rsidR="005541FB" w:rsidRDefault="005541FB" w:rsidP="005F4724">
            <w:r>
              <w:t xml:space="preserve">pp. </w:t>
            </w:r>
            <w:r w:rsidR="00933F5C">
              <w:t>648-676</w:t>
            </w:r>
          </w:p>
        </w:tc>
      </w:tr>
      <w:tr w:rsidR="005541FB" w14:paraId="33EACBE6" w14:textId="77777777" w:rsidTr="0073498F">
        <w:tc>
          <w:tcPr>
            <w:tcW w:w="5220" w:type="dxa"/>
          </w:tcPr>
          <w:p w14:paraId="583FA7A2" w14:textId="44DCD3D7" w:rsidR="006310A0" w:rsidRDefault="006310A0" w:rsidP="006310A0">
            <w:r>
              <w:t>False Imprisonment</w:t>
            </w:r>
            <w:r w:rsidR="008A72A1">
              <w:t>; go over exercise on intentional torts</w:t>
            </w:r>
            <w:r w:rsidR="00071039">
              <w:t xml:space="preserve"> (posted on Canvas)</w:t>
            </w:r>
          </w:p>
          <w:p w14:paraId="1D0ED283" w14:textId="77777777" w:rsidR="00E702CF" w:rsidRDefault="00E702CF" w:rsidP="005541FB"/>
        </w:tc>
        <w:tc>
          <w:tcPr>
            <w:tcW w:w="2088" w:type="dxa"/>
          </w:tcPr>
          <w:p w14:paraId="5CAEAB34" w14:textId="309C6FBA" w:rsidR="005541FB" w:rsidRDefault="005541FB" w:rsidP="006310A0">
            <w:r>
              <w:t xml:space="preserve">pp. </w:t>
            </w:r>
            <w:r w:rsidR="00933F5C">
              <w:t>676-692</w:t>
            </w:r>
          </w:p>
        </w:tc>
      </w:tr>
      <w:tr w:rsidR="00995D78" w14:paraId="271A0A97" w14:textId="77777777" w:rsidTr="0073498F">
        <w:tc>
          <w:tcPr>
            <w:tcW w:w="5220" w:type="dxa"/>
          </w:tcPr>
          <w:p w14:paraId="519D0082" w14:textId="77777777" w:rsidR="00995D78" w:rsidRDefault="00995D78" w:rsidP="00995D78">
            <w:r>
              <w:t>Intentional Infliction of Emotional Distress</w:t>
            </w:r>
          </w:p>
          <w:p w14:paraId="0F295FC9" w14:textId="77777777" w:rsidR="00995D78" w:rsidRDefault="00995D78" w:rsidP="00995D78"/>
        </w:tc>
        <w:tc>
          <w:tcPr>
            <w:tcW w:w="2088" w:type="dxa"/>
          </w:tcPr>
          <w:p w14:paraId="414C4C5B" w14:textId="1F416FE9" w:rsidR="00995D78" w:rsidRDefault="00995D78" w:rsidP="005F4724">
            <w:r>
              <w:t xml:space="preserve">pp. </w:t>
            </w:r>
            <w:r w:rsidR="00933F5C">
              <w:t>695-727</w:t>
            </w:r>
          </w:p>
        </w:tc>
      </w:tr>
      <w:tr w:rsidR="00995D78" w14:paraId="08D5FECF" w14:textId="77777777" w:rsidTr="0073498F">
        <w:tc>
          <w:tcPr>
            <w:tcW w:w="5220" w:type="dxa"/>
          </w:tcPr>
          <w:p w14:paraId="2D14F9EE" w14:textId="0F550AEC" w:rsidR="00995D78" w:rsidRDefault="00995D78" w:rsidP="00995D78">
            <w:r>
              <w:rPr>
                <w:i/>
              </w:rPr>
              <w:t>Hamaker v. Ivy</w:t>
            </w:r>
            <w:r>
              <w:t>, 51 F.3d 108 (8th Cir. 1995)</w:t>
            </w:r>
            <w:r w:rsidR="006310A0">
              <w:t>; Introduction to Negligence</w:t>
            </w:r>
          </w:p>
          <w:p w14:paraId="18C4E659" w14:textId="77777777" w:rsidR="00E702CF" w:rsidRPr="00995D78" w:rsidRDefault="00E702CF" w:rsidP="00995D78"/>
        </w:tc>
        <w:tc>
          <w:tcPr>
            <w:tcW w:w="2088" w:type="dxa"/>
          </w:tcPr>
          <w:p w14:paraId="3A667CFE" w14:textId="3351E2E6" w:rsidR="00995D78" w:rsidRPr="006310A0" w:rsidRDefault="00995D78" w:rsidP="006310A0">
            <w:r>
              <w:t xml:space="preserve">Read </w:t>
            </w:r>
            <w:r w:rsidR="006310A0">
              <w:rPr>
                <w:i/>
              </w:rPr>
              <w:t xml:space="preserve">Hamaker </w:t>
            </w:r>
            <w:r w:rsidR="006310A0">
              <w:t>online; pp. 47–</w:t>
            </w:r>
            <w:r w:rsidR="00933F5C">
              <w:t>68</w:t>
            </w:r>
          </w:p>
        </w:tc>
      </w:tr>
      <w:tr w:rsidR="00995D78" w14:paraId="78097E2D" w14:textId="77777777" w:rsidTr="0073498F">
        <w:tc>
          <w:tcPr>
            <w:tcW w:w="5220" w:type="dxa"/>
          </w:tcPr>
          <w:p w14:paraId="149CF935" w14:textId="40716F1F" w:rsidR="00995D78" w:rsidRDefault="00995D78" w:rsidP="00995D78">
            <w:r>
              <w:t>Introduction to Negligence</w:t>
            </w:r>
            <w:r w:rsidR="006310A0">
              <w:t xml:space="preserve"> (cont.)</w:t>
            </w:r>
            <w:r>
              <w:t xml:space="preserve">; </w:t>
            </w:r>
            <w:r w:rsidR="00071039">
              <w:t>Affirmative Duties to Rescue and Protect</w:t>
            </w:r>
          </w:p>
          <w:p w14:paraId="65112DF5" w14:textId="77777777" w:rsidR="00E702CF" w:rsidRDefault="00E702CF" w:rsidP="00995D78"/>
        </w:tc>
        <w:tc>
          <w:tcPr>
            <w:tcW w:w="2088" w:type="dxa"/>
          </w:tcPr>
          <w:p w14:paraId="5F1D09B0" w14:textId="36060E8F" w:rsidR="00995D78" w:rsidRDefault="00995D78" w:rsidP="006310A0">
            <w:r>
              <w:t xml:space="preserve">pp. </w:t>
            </w:r>
            <w:r w:rsidR="00933F5C">
              <w:t>68-89</w:t>
            </w:r>
          </w:p>
        </w:tc>
      </w:tr>
      <w:tr w:rsidR="00995D78" w14:paraId="7DFCF8FD" w14:textId="77777777" w:rsidTr="0073498F">
        <w:tc>
          <w:tcPr>
            <w:tcW w:w="5220" w:type="dxa"/>
          </w:tcPr>
          <w:p w14:paraId="1F3A6B00" w14:textId="026B5385" w:rsidR="00995D78" w:rsidRDefault="00995D78" w:rsidP="00995D78">
            <w:r>
              <w:t>Premises Liability</w:t>
            </w:r>
            <w:r w:rsidR="00933F5C">
              <w:t>; Pure Economic Loss</w:t>
            </w:r>
          </w:p>
          <w:p w14:paraId="1F27B326" w14:textId="77777777" w:rsidR="00E702CF" w:rsidRDefault="00E702CF" w:rsidP="00995D78"/>
        </w:tc>
        <w:tc>
          <w:tcPr>
            <w:tcW w:w="2088" w:type="dxa"/>
          </w:tcPr>
          <w:p w14:paraId="51106B9B" w14:textId="0A647186" w:rsidR="00995D78" w:rsidRDefault="00EE5B1E" w:rsidP="00995D78">
            <w:r>
              <w:t xml:space="preserve">pp. </w:t>
            </w:r>
            <w:r w:rsidR="00933F5C">
              <w:t>90-115</w:t>
            </w:r>
          </w:p>
        </w:tc>
      </w:tr>
      <w:tr w:rsidR="00995D78" w14:paraId="2A5BC3C7" w14:textId="77777777" w:rsidTr="0073498F">
        <w:tc>
          <w:tcPr>
            <w:tcW w:w="5220" w:type="dxa"/>
          </w:tcPr>
          <w:p w14:paraId="6CE90063" w14:textId="31CE0744" w:rsidR="00995D78" w:rsidRPr="00933F5C" w:rsidRDefault="00933F5C" w:rsidP="00EE5B1E">
            <w:r>
              <w:rPr>
                <w:i/>
                <w:iCs/>
              </w:rPr>
              <w:t>Rowland</w:t>
            </w:r>
            <w:r>
              <w:t xml:space="preserve">, </w:t>
            </w:r>
            <w:r>
              <w:rPr>
                <w:i/>
                <w:iCs/>
              </w:rPr>
              <w:t>Tarasoff</w:t>
            </w:r>
            <w:r>
              <w:t>, and the Meaning of Duty</w:t>
            </w:r>
          </w:p>
          <w:p w14:paraId="41C0C72F" w14:textId="77777777" w:rsidR="00C11589" w:rsidRPr="000945C3" w:rsidRDefault="00C11589" w:rsidP="00EE5B1E"/>
        </w:tc>
        <w:tc>
          <w:tcPr>
            <w:tcW w:w="2088" w:type="dxa"/>
          </w:tcPr>
          <w:p w14:paraId="1BA61B3C" w14:textId="6AE3579F" w:rsidR="00995D78" w:rsidRDefault="00EE5B1E" w:rsidP="00995D78">
            <w:r>
              <w:t xml:space="preserve">pp. </w:t>
            </w:r>
            <w:r w:rsidR="00933F5C">
              <w:t>115-140</w:t>
            </w:r>
          </w:p>
          <w:p w14:paraId="4E6F995F" w14:textId="77777777" w:rsidR="00995D78" w:rsidRDefault="00995D78" w:rsidP="00995D78"/>
        </w:tc>
      </w:tr>
      <w:tr w:rsidR="006812C2" w14:paraId="6C286A52" w14:textId="77777777" w:rsidTr="0073498F">
        <w:tc>
          <w:tcPr>
            <w:tcW w:w="5220" w:type="dxa"/>
          </w:tcPr>
          <w:p w14:paraId="6974E2E6" w14:textId="77777777" w:rsidR="00EE5B1E" w:rsidRDefault="00EE5B1E" w:rsidP="00EE5B1E">
            <w:r>
              <w:t>Introduction to Breach of Duty</w:t>
            </w:r>
          </w:p>
          <w:p w14:paraId="44317642" w14:textId="77777777" w:rsidR="006812C2" w:rsidRPr="006812C2" w:rsidRDefault="006812C2" w:rsidP="00EE5B1E"/>
        </w:tc>
        <w:tc>
          <w:tcPr>
            <w:tcW w:w="2088" w:type="dxa"/>
          </w:tcPr>
          <w:p w14:paraId="3892A09D" w14:textId="4B6F36F9" w:rsidR="006812C2" w:rsidRDefault="006812C2" w:rsidP="00EE5B1E">
            <w:r>
              <w:t xml:space="preserve">pp. </w:t>
            </w:r>
            <w:r w:rsidR="00933F5C">
              <w:t>143-165</w:t>
            </w:r>
          </w:p>
        </w:tc>
      </w:tr>
      <w:tr w:rsidR="006812C2" w14:paraId="18CF69D2" w14:textId="77777777" w:rsidTr="0073498F">
        <w:tc>
          <w:tcPr>
            <w:tcW w:w="5220" w:type="dxa"/>
          </w:tcPr>
          <w:p w14:paraId="6583A9F9" w14:textId="67DCB792" w:rsidR="00EE5B1E" w:rsidRDefault="00EE5B1E" w:rsidP="00EE5B1E">
            <w:r>
              <w:t xml:space="preserve">Defining </w:t>
            </w:r>
            <w:r w:rsidR="00071039">
              <w:t>the Person of Ordinary Prudence</w:t>
            </w:r>
          </w:p>
          <w:p w14:paraId="071C9BBD" w14:textId="77777777" w:rsidR="006812C2" w:rsidRDefault="006812C2" w:rsidP="00EE5B1E"/>
        </w:tc>
        <w:tc>
          <w:tcPr>
            <w:tcW w:w="2088" w:type="dxa"/>
          </w:tcPr>
          <w:p w14:paraId="6F8F52CF" w14:textId="7DDA9F08" w:rsidR="006812C2" w:rsidRDefault="00B61A7A" w:rsidP="006812C2">
            <w:r>
              <w:t xml:space="preserve">pp. </w:t>
            </w:r>
            <w:r w:rsidR="00CC4AA5">
              <w:t>165-178</w:t>
            </w:r>
          </w:p>
          <w:p w14:paraId="6868D565" w14:textId="77777777" w:rsidR="006812C2" w:rsidRDefault="006812C2" w:rsidP="00995D78"/>
        </w:tc>
      </w:tr>
      <w:tr w:rsidR="00B61A7A" w14:paraId="444B5B3F" w14:textId="77777777" w:rsidTr="0073498F">
        <w:tc>
          <w:tcPr>
            <w:tcW w:w="5220" w:type="dxa"/>
          </w:tcPr>
          <w:p w14:paraId="681B66DE" w14:textId="4713EADF" w:rsidR="00586C9B" w:rsidRDefault="00586C9B" w:rsidP="00586C9B">
            <w:r>
              <w:t>Industry and Professional Custom</w:t>
            </w:r>
          </w:p>
          <w:p w14:paraId="7E463AB8" w14:textId="77777777" w:rsidR="00B61A7A" w:rsidRDefault="00B61A7A" w:rsidP="00EE5B1E"/>
        </w:tc>
        <w:tc>
          <w:tcPr>
            <w:tcW w:w="2088" w:type="dxa"/>
          </w:tcPr>
          <w:p w14:paraId="6747B082" w14:textId="7B8A5ADA" w:rsidR="00B61A7A" w:rsidRDefault="00B61A7A" w:rsidP="00EE5B1E">
            <w:r>
              <w:t xml:space="preserve">pp. </w:t>
            </w:r>
            <w:r w:rsidR="00CC4AA5">
              <w:t>178-201</w:t>
            </w:r>
          </w:p>
        </w:tc>
      </w:tr>
      <w:tr w:rsidR="006812C2" w14:paraId="172A8DCD" w14:textId="77777777" w:rsidTr="0073498F">
        <w:tc>
          <w:tcPr>
            <w:tcW w:w="5220" w:type="dxa"/>
          </w:tcPr>
          <w:p w14:paraId="19F84892" w14:textId="342D1406" w:rsidR="006812C2" w:rsidRPr="001F65F5" w:rsidRDefault="00CC4AA5" w:rsidP="00EE5B1E">
            <w:pPr>
              <w:rPr>
                <w:i/>
              </w:rPr>
            </w:pPr>
            <w:r>
              <w:t>Reasonableness, Balancing, and Cost-Benefit Analysis</w:t>
            </w:r>
            <w:r w:rsidR="001F65F5">
              <w:t xml:space="preserve">; Proving Breach: </w:t>
            </w:r>
            <w:r w:rsidR="001F65F5" w:rsidRPr="00034664">
              <w:rPr>
                <w:i/>
              </w:rPr>
              <w:t>Res Ipsa Loquitur</w:t>
            </w:r>
          </w:p>
          <w:p w14:paraId="6504C3DB" w14:textId="77777777" w:rsidR="00586C9B" w:rsidRDefault="00586C9B" w:rsidP="00EE5B1E"/>
        </w:tc>
        <w:tc>
          <w:tcPr>
            <w:tcW w:w="2088" w:type="dxa"/>
          </w:tcPr>
          <w:p w14:paraId="02DA98F5" w14:textId="6D16BDA1" w:rsidR="006812C2" w:rsidRDefault="006812C2" w:rsidP="00EE5B1E">
            <w:r>
              <w:t xml:space="preserve">pp. </w:t>
            </w:r>
            <w:r w:rsidR="00047A40">
              <w:t>201-</w:t>
            </w:r>
            <w:r w:rsidR="001F65F5">
              <w:t>225</w:t>
            </w:r>
          </w:p>
        </w:tc>
      </w:tr>
      <w:tr w:rsidR="0057288D" w14:paraId="30706B00" w14:textId="77777777" w:rsidTr="0073498F">
        <w:tc>
          <w:tcPr>
            <w:tcW w:w="5220" w:type="dxa"/>
          </w:tcPr>
          <w:p w14:paraId="3004C0F3" w14:textId="77777777" w:rsidR="0057288D" w:rsidRDefault="0057288D" w:rsidP="0057288D">
            <w:r>
              <w:lastRenderedPageBreak/>
              <w:t>Negligence Per Se</w:t>
            </w:r>
          </w:p>
          <w:p w14:paraId="416AF1E9" w14:textId="77777777" w:rsidR="0057288D" w:rsidRDefault="0057288D" w:rsidP="0057288D"/>
        </w:tc>
        <w:tc>
          <w:tcPr>
            <w:tcW w:w="2088" w:type="dxa"/>
          </w:tcPr>
          <w:p w14:paraId="3ECF43FF" w14:textId="1C94003F" w:rsidR="0057288D" w:rsidRDefault="0057288D" w:rsidP="009A52F5">
            <w:r>
              <w:t xml:space="preserve">pp. </w:t>
            </w:r>
            <w:r w:rsidR="001F65F5">
              <w:t>384-399</w:t>
            </w:r>
          </w:p>
        </w:tc>
      </w:tr>
      <w:tr w:rsidR="0057288D" w14:paraId="5B1BA18D" w14:textId="77777777" w:rsidTr="0073498F">
        <w:tc>
          <w:tcPr>
            <w:tcW w:w="5220" w:type="dxa"/>
          </w:tcPr>
          <w:p w14:paraId="63C59EE9" w14:textId="7DFAD1F9" w:rsidR="0057288D" w:rsidRDefault="001F65F5" w:rsidP="0057288D">
            <w:r>
              <w:t>Actual Causation</w:t>
            </w:r>
          </w:p>
          <w:p w14:paraId="2F6E4E87" w14:textId="77777777" w:rsidR="0057288D" w:rsidRDefault="0057288D" w:rsidP="0057288D"/>
        </w:tc>
        <w:tc>
          <w:tcPr>
            <w:tcW w:w="2088" w:type="dxa"/>
          </w:tcPr>
          <w:p w14:paraId="35C74A84" w14:textId="36417AD0" w:rsidR="0057288D" w:rsidRDefault="0057288D" w:rsidP="0057288D">
            <w:r>
              <w:t xml:space="preserve">pp. </w:t>
            </w:r>
            <w:r w:rsidR="001F65F5">
              <w:t>229-243</w:t>
            </w:r>
          </w:p>
          <w:p w14:paraId="398269A5" w14:textId="77777777" w:rsidR="0057288D" w:rsidRDefault="0057288D" w:rsidP="0057288D"/>
        </w:tc>
      </w:tr>
      <w:tr w:rsidR="001F65F5" w14:paraId="2533A95E" w14:textId="77777777" w:rsidTr="0073498F">
        <w:tc>
          <w:tcPr>
            <w:tcW w:w="5220" w:type="dxa"/>
          </w:tcPr>
          <w:p w14:paraId="2DD9DBCC" w14:textId="2855E4E6" w:rsidR="001F65F5" w:rsidRDefault="001F65F5" w:rsidP="0057288D">
            <w:r>
              <w:t>Actual Causation</w:t>
            </w:r>
          </w:p>
        </w:tc>
        <w:tc>
          <w:tcPr>
            <w:tcW w:w="2088" w:type="dxa"/>
          </w:tcPr>
          <w:p w14:paraId="19D1EB11" w14:textId="4EE0D6CF" w:rsidR="001F65F5" w:rsidRDefault="001F65F5" w:rsidP="0057288D">
            <w:r>
              <w:t>pp. 243-260</w:t>
            </w:r>
          </w:p>
        </w:tc>
      </w:tr>
      <w:tr w:rsidR="0057288D" w14:paraId="5F89D597" w14:textId="77777777" w:rsidTr="0073498F">
        <w:tc>
          <w:tcPr>
            <w:tcW w:w="5220" w:type="dxa"/>
          </w:tcPr>
          <w:p w14:paraId="4E118A6B" w14:textId="5F11AC52" w:rsidR="0057288D" w:rsidRDefault="0057288D" w:rsidP="0057288D">
            <w:r>
              <w:t>Multiple Necessary and Multiple Sufficient Causes</w:t>
            </w:r>
          </w:p>
          <w:p w14:paraId="11F80FCD" w14:textId="77777777" w:rsidR="0057288D" w:rsidRDefault="0057288D" w:rsidP="0057288D"/>
        </w:tc>
        <w:tc>
          <w:tcPr>
            <w:tcW w:w="2088" w:type="dxa"/>
          </w:tcPr>
          <w:p w14:paraId="7482F8A5" w14:textId="704D3229" w:rsidR="0057288D" w:rsidRDefault="0057288D" w:rsidP="00586C9B">
            <w:r>
              <w:t xml:space="preserve">pp. </w:t>
            </w:r>
            <w:r w:rsidR="001F65F5">
              <w:t>260-288</w:t>
            </w:r>
          </w:p>
        </w:tc>
      </w:tr>
      <w:tr w:rsidR="0057288D" w14:paraId="16B8C529" w14:textId="77777777" w:rsidTr="0073498F">
        <w:tc>
          <w:tcPr>
            <w:tcW w:w="5220" w:type="dxa"/>
          </w:tcPr>
          <w:p w14:paraId="45D3E13D" w14:textId="4038E7A5" w:rsidR="0057288D" w:rsidRDefault="001F65F5" w:rsidP="009A52F5">
            <w:r>
              <w:t>Causation and Tortfeasor Identification</w:t>
            </w:r>
          </w:p>
          <w:p w14:paraId="6C74C3C3" w14:textId="77777777" w:rsidR="008A72A1" w:rsidRDefault="008A72A1" w:rsidP="009A52F5"/>
        </w:tc>
        <w:tc>
          <w:tcPr>
            <w:tcW w:w="2088" w:type="dxa"/>
          </w:tcPr>
          <w:p w14:paraId="5687118A" w14:textId="46EDEFD3" w:rsidR="008A72A1" w:rsidRDefault="001F65F5" w:rsidP="0057288D">
            <w:r>
              <w:t>pp. 288-</w:t>
            </w:r>
            <w:r w:rsidR="003C49C9">
              <w:t>305</w:t>
            </w:r>
          </w:p>
        </w:tc>
      </w:tr>
      <w:tr w:rsidR="0057288D" w14:paraId="0945F4B1" w14:textId="77777777" w:rsidTr="0073498F">
        <w:tc>
          <w:tcPr>
            <w:tcW w:w="5220" w:type="dxa"/>
          </w:tcPr>
          <w:p w14:paraId="49706A32" w14:textId="2ADA8882" w:rsidR="0057288D" w:rsidRPr="00636B36" w:rsidRDefault="0057288D" w:rsidP="0057288D">
            <w:pPr>
              <w:rPr>
                <w:i/>
              </w:rPr>
            </w:pPr>
            <w:r>
              <w:t>Proximate Cause</w:t>
            </w:r>
          </w:p>
          <w:p w14:paraId="78A6D1C2" w14:textId="77777777" w:rsidR="0057288D" w:rsidRDefault="0057288D" w:rsidP="0057288D"/>
        </w:tc>
        <w:tc>
          <w:tcPr>
            <w:tcW w:w="2088" w:type="dxa"/>
          </w:tcPr>
          <w:p w14:paraId="32C9F843" w14:textId="4B0FC90D" w:rsidR="0057288D" w:rsidRDefault="0057288D" w:rsidP="00636B36">
            <w:r>
              <w:t xml:space="preserve">pp. </w:t>
            </w:r>
            <w:r w:rsidR="003C49C9">
              <w:t>309-330</w:t>
            </w:r>
          </w:p>
        </w:tc>
      </w:tr>
      <w:tr w:rsidR="003C49C9" w14:paraId="03E99A50" w14:textId="77777777" w:rsidTr="007C0FE5">
        <w:tc>
          <w:tcPr>
            <w:tcW w:w="5220" w:type="dxa"/>
          </w:tcPr>
          <w:p w14:paraId="7E57B1AB" w14:textId="77777777" w:rsidR="003C49C9" w:rsidRDefault="003C49C9" w:rsidP="00AC0225">
            <w:pPr>
              <w:rPr>
                <w:i/>
                <w:iCs/>
              </w:rPr>
            </w:pPr>
            <w:r>
              <w:t xml:space="preserve">The Relational Aspect of Breach of Duty: </w:t>
            </w:r>
            <w:r>
              <w:rPr>
                <w:i/>
                <w:iCs/>
              </w:rPr>
              <w:t>Palsgraf</w:t>
            </w:r>
          </w:p>
          <w:p w14:paraId="760D17CF" w14:textId="5CECAA8C" w:rsidR="003C49C9" w:rsidRPr="003C49C9" w:rsidRDefault="003C49C9" w:rsidP="00AC0225">
            <w:pPr>
              <w:rPr>
                <w:i/>
                <w:iCs/>
              </w:rPr>
            </w:pPr>
          </w:p>
        </w:tc>
        <w:tc>
          <w:tcPr>
            <w:tcW w:w="2088" w:type="dxa"/>
          </w:tcPr>
          <w:p w14:paraId="6F5751CA" w14:textId="3DBE678B" w:rsidR="003C49C9" w:rsidRDefault="003C49C9" w:rsidP="00AC0225">
            <w:r>
              <w:t>pp. 330-355</w:t>
            </w:r>
          </w:p>
        </w:tc>
      </w:tr>
      <w:tr w:rsidR="00AC0225" w14:paraId="25AA10F3" w14:textId="77777777" w:rsidTr="007C0FE5">
        <w:tc>
          <w:tcPr>
            <w:tcW w:w="5220" w:type="dxa"/>
          </w:tcPr>
          <w:p w14:paraId="5BC8CF50" w14:textId="1D179334" w:rsidR="00AC0225" w:rsidRPr="000F2896" w:rsidRDefault="003C49C9" w:rsidP="00AC0225">
            <w:r>
              <w:t xml:space="preserve">Superseding Cause and Affirmative Duties; </w:t>
            </w:r>
            <w:r w:rsidR="000F2896">
              <w:rPr>
                <w:i/>
              </w:rPr>
              <w:t>Pollard v. Oklahoma City Ry. Co.</w:t>
            </w:r>
            <w:r w:rsidR="000F2896">
              <w:t xml:space="preserve">, 128 P. 300 (Okla. 1912); </w:t>
            </w:r>
            <w:r w:rsidR="000F2896">
              <w:rPr>
                <w:i/>
              </w:rPr>
              <w:t>Clark v. E.I. DuPont de Nemours Powder Co.</w:t>
            </w:r>
            <w:r w:rsidR="000F2896">
              <w:t>, 146 P. 320 (Kan. 1915)</w:t>
            </w:r>
          </w:p>
          <w:p w14:paraId="41C625ED" w14:textId="77777777" w:rsidR="009816BC" w:rsidRDefault="009816BC" w:rsidP="000F2896"/>
        </w:tc>
        <w:tc>
          <w:tcPr>
            <w:tcW w:w="2088" w:type="dxa"/>
          </w:tcPr>
          <w:p w14:paraId="69A9C438" w14:textId="3F46173F" w:rsidR="00AC0225" w:rsidRDefault="00636B36" w:rsidP="00AC0225">
            <w:r>
              <w:t xml:space="preserve">pp. </w:t>
            </w:r>
            <w:r w:rsidR="003C49C9">
              <w:t>355-370</w:t>
            </w:r>
            <w:r w:rsidR="00C11589">
              <w:t>;</w:t>
            </w:r>
          </w:p>
          <w:p w14:paraId="30D9915B" w14:textId="77777777" w:rsidR="00AC0225" w:rsidRDefault="00C11589" w:rsidP="00C11589">
            <w:r>
              <w:t>r</w:t>
            </w:r>
            <w:r w:rsidR="000F2896">
              <w:t xml:space="preserve">ead </w:t>
            </w:r>
            <w:r>
              <w:rPr>
                <w:i/>
              </w:rPr>
              <w:t xml:space="preserve">Pollard </w:t>
            </w:r>
            <w:r>
              <w:t xml:space="preserve">and </w:t>
            </w:r>
            <w:r>
              <w:rPr>
                <w:i/>
              </w:rPr>
              <w:t>Clark</w:t>
            </w:r>
            <w:r w:rsidR="00636B36">
              <w:t xml:space="preserve"> </w:t>
            </w:r>
            <w:r w:rsidR="000F2896">
              <w:t>online</w:t>
            </w:r>
          </w:p>
        </w:tc>
      </w:tr>
      <w:tr w:rsidR="000F2896" w14:paraId="77A3E798" w14:textId="77777777" w:rsidTr="007C0FE5">
        <w:tc>
          <w:tcPr>
            <w:tcW w:w="5220" w:type="dxa"/>
          </w:tcPr>
          <w:p w14:paraId="0858F94C" w14:textId="6AD99328" w:rsidR="000F2896" w:rsidRDefault="003C49C9" w:rsidP="000F2896">
            <w:r>
              <w:t xml:space="preserve">Superseding Cause and Affirmative Duties  </w:t>
            </w:r>
          </w:p>
          <w:p w14:paraId="586082DE" w14:textId="77777777" w:rsidR="000F2896" w:rsidRDefault="000F2896" w:rsidP="00AC0225"/>
        </w:tc>
        <w:tc>
          <w:tcPr>
            <w:tcW w:w="2088" w:type="dxa"/>
          </w:tcPr>
          <w:p w14:paraId="09896993" w14:textId="7EF30AE8" w:rsidR="000F2896" w:rsidRDefault="00636B36" w:rsidP="00AC0225">
            <w:r>
              <w:t xml:space="preserve">pp. </w:t>
            </w:r>
            <w:r w:rsidR="003C49C9">
              <w:t>370-381</w:t>
            </w:r>
          </w:p>
        </w:tc>
      </w:tr>
      <w:tr w:rsidR="0057288D" w14:paraId="68DAAFDF" w14:textId="77777777" w:rsidTr="0073498F">
        <w:tc>
          <w:tcPr>
            <w:tcW w:w="5220" w:type="dxa"/>
          </w:tcPr>
          <w:p w14:paraId="65F89F16" w14:textId="596A8C4C" w:rsidR="0057288D" w:rsidRDefault="0057288D" w:rsidP="0057288D">
            <w:r>
              <w:t>Contributory Negligence</w:t>
            </w:r>
            <w:r w:rsidR="004919CE">
              <w:t xml:space="preserve"> and </w:t>
            </w:r>
            <w:r>
              <w:t xml:space="preserve">Comparative </w:t>
            </w:r>
            <w:r w:rsidR="004919CE">
              <w:t>Responsibility</w:t>
            </w:r>
            <w:r w:rsidR="00636B36">
              <w:t>; Express Assumption of Risk</w:t>
            </w:r>
          </w:p>
          <w:p w14:paraId="0DFC0C5A" w14:textId="77777777" w:rsidR="0057288D" w:rsidRPr="00EC66B8" w:rsidRDefault="0057288D" w:rsidP="0057288D"/>
        </w:tc>
        <w:tc>
          <w:tcPr>
            <w:tcW w:w="2088" w:type="dxa"/>
          </w:tcPr>
          <w:p w14:paraId="197287C1" w14:textId="3C1FE395" w:rsidR="0057288D" w:rsidRDefault="0057288D" w:rsidP="0057288D">
            <w:r>
              <w:t xml:space="preserve">pp. </w:t>
            </w:r>
            <w:r w:rsidR="003C49C9">
              <w:t>435-457</w:t>
            </w:r>
          </w:p>
          <w:p w14:paraId="59CEAD49" w14:textId="77777777" w:rsidR="0057288D" w:rsidRPr="008B7170" w:rsidRDefault="0057288D" w:rsidP="0057288D">
            <w:pPr>
              <w:rPr>
                <w:b/>
              </w:rPr>
            </w:pPr>
          </w:p>
        </w:tc>
      </w:tr>
      <w:tr w:rsidR="0057288D" w14:paraId="1EFA668E" w14:textId="77777777" w:rsidTr="0073498F">
        <w:tc>
          <w:tcPr>
            <w:tcW w:w="5220" w:type="dxa"/>
          </w:tcPr>
          <w:p w14:paraId="2899DC80" w14:textId="57569CF7" w:rsidR="0057288D" w:rsidRDefault="00837593" w:rsidP="0057288D">
            <w:r>
              <w:t xml:space="preserve">Express </w:t>
            </w:r>
            <w:r w:rsidR="0057288D">
              <w:t>Assumption of Risk</w:t>
            </w:r>
            <w:r w:rsidR="00636B36">
              <w:t xml:space="preserve"> (cont.); Implied Assumption of Risk</w:t>
            </w:r>
          </w:p>
          <w:p w14:paraId="31ACCFDA" w14:textId="77777777" w:rsidR="0057288D" w:rsidRPr="0057288D" w:rsidRDefault="0057288D" w:rsidP="0057288D"/>
        </w:tc>
        <w:tc>
          <w:tcPr>
            <w:tcW w:w="2088" w:type="dxa"/>
          </w:tcPr>
          <w:p w14:paraId="4DAE9E42" w14:textId="75B7E34A" w:rsidR="0057288D" w:rsidRDefault="0057288D" w:rsidP="0057288D">
            <w:r>
              <w:t xml:space="preserve">pp. </w:t>
            </w:r>
            <w:r w:rsidR="003C49C9">
              <w:t>458-474</w:t>
            </w:r>
          </w:p>
          <w:p w14:paraId="3EFA2F6E" w14:textId="77777777" w:rsidR="0057288D" w:rsidRDefault="0057288D" w:rsidP="0057288D"/>
        </w:tc>
      </w:tr>
      <w:tr w:rsidR="00FA018F" w14:paraId="1C351BFE" w14:textId="77777777" w:rsidTr="0073498F">
        <w:tc>
          <w:tcPr>
            <w:tcW w:w="5220" w:type="dxa"/>
          </w:tcPr>
          <w:p w14:paraId="2D1B2A79" w14:textId="30D0A2BF" w:rsidR="00FA018F" w:rsidRDefault="00FA018F" w:rsidP="003C49C9">
            <w:r>
              <w:t>Immunities and Exceptions from Liability</w:t>
            </w:r>
          </w:p>
          <w:p w14:paraId="4D82C61C" w14:textId="11BA249C" w:rsidR="003C49C9" w:rsidRDefault="003C49C9" w:rsidP="003C49C9"/>
        </w:tc>
        <w:tc>
          <w:tcPr>
            <w:tcW w:w="2088" w:type="dxa"/>
          </w:tcPr>
          <w:p w14:paraId="2CF70986" w14:textId="3874E80E" w:rsidR="000F2896" w:rsidRDefault="00FA018F" w:rsidP="003A065A">
            <w:r>
              <w:t xml:space="preserve">pp. </w:t>
            </w:r>
            <w:r w:rsidR="003C49C9">
              <w:t>482-511</w:t>
            </w:r>
          </w:p>
        </w:tc>
      </w:tr>
      <w:tr w:rsidR="00FA018F" w14:paraId="1955B76B" w14:textId="77777777" w:rsidTr="0073498F">
        <w:tc>
          <w:tcPr>
            <w:tcW w:w="5220" w:type="dxa"/>
          </w:tcPr>
          <w:p w14:paraId="2320ABAE" w14:textId="3766FD4A" w:rsidR="00FA018F" w:rsidRDefault="003A065A" w:rsidP="003C49C9">
            <w:r>
              <w:t xml:space="preserve">Compensatory Damages </w:t>
            </w:r>
          </w:p>
          <w:p w14:paraId="09804FA3" w14:textId="63AA9B9C" w:rsidR="003C49C9" w:rsidRDefault="003C49C9" w:rsidP="003C49C9"/>
        </w:tc>
        <w:tc>
          <w:tcPr>
            <w:tcW w:w="2088" w:type="dxa"/>
          </w:tcPr>
          <w:p w14:paraId="1A7BC588" w14:textId="597A55C5" w:rsidR="00FA018F" w:rsidRDefault="00FA018F" w:rsidP="003A065A">
            <w:r>
              <w:t xml:space="preserve">pp. </w:t>
            </w:r>
            <w:r w:rsidR="003C49C9">
              <w:t>513-53</w:t>
            </w:r>
            <w:r w:rsidR="004919CE">
              <w:t>6</w:t>
            </w:r>
          </w:p>
        </w:tc>
      </w:tr>
      <w:tr w:rsidR="003C49C9" w14:paraId="334C4BCF" w14:textId="77777777" w:rsidTr="0073498F">
        <w:tc>
          <w:tcPr>
            <w:tcW w:w="5220" w:type="dxa"/>
          </w:tcPr>
          <w:p w14:paraId="25307BF0" w14:textId="77777777" w:rsidR="003C49C9" w:rsidRDefault="003C49C9" w:rsidP="003C49C9">
            <w:r>
              <w:t>Punitive Damages</w:t>
            </w:r>
          </w:p>
          <w:p w14:paraId="0D9CA7F2" w14:textId="4C16E3DD" w:rsidR="003C49C9" w:rsidRDefault="003C49C9" w:rsidP="003C49C9"/>
        </w:tc>
        <w:tc>
          <w:tcPr>
            <w:tcW w:w="2088" w:type="dxa"/>
          </w:tcPr>
          <w:p w14:paraId="4DE3B2B9" w14:textId="481DC0E5" w:rsidR="003C49C9" w:rsidRDefault="003C49C9" w:rsidP="003A065A">
            <w:r>
              <w:t>pp. 536-555</w:t>
            </w:r>
          </w:p>
        </w:tc>
      </w:tr>
      <w:tr w:rsidR="00FA018F" w14:paraId="06936715" w14:textId="77777777" w:rsidTr="0073498F">
        <w:tc>
          <w:tcPr>
            <w:tcW w:w="5220" w:type="dxa"/>
          </w:tcPr>
          <w:p w14:paraId="086A4284" w14:textId="77777777" w:rsidR="00FA018F" w:rsidRPr="008B7170" w:rsidRDefault="003A065A" w:rsidP="00FA018F">
            <w:r>
              <w:t>Vicarious Liability; Joint Liability and Contribution</w:t>
            </w:r>
          </w:p>
          <w:p w14:paraId="6F866FBB" w14:textId="77777777" w:rsidR="00FA018F" w:rsidRPr="00C43D06" w:rsidRDefault="00FA018F" w:rsidP="00FA018F"/>
        </w:tc>
        <w:tc>
          <w:tcPr>
            <w:tcW w:w="2088" w:type="dxa"/>
          </w:tcPr>
          <w:p w14:paraId="13795877" w14:textId="15AC2E5E" w:rsidR="00FA018F" w:rsidRPr="008B7170" w:rsidRDefault="00FA018F" w:rsidP="00FA018F">
            <w:r w:rsidRPr="008B7170">
              <w:t xml:space="preserve">pp. </w:t>
            </w:r>
            <w:r w:rsidR="003C49C9">
              <w:t>555-574</w:t>
            </w:r>
          </w:p>
          <w:p w14:paraId="314386B4" w14:textId="77777777" w:rsidR="00FA018F" w:rsidRDefault="00FA018F" w:rsidP="00FA018F"/>
        </w:tc>
      </w:tr>
      <w:tr w:rsidR="00FA018F" w14:paraId="1B59F117" w14:textId="77777777" w:rsidTr="0073498F">
        <w:tc>
          <w:tcPr>
            <w:tcW w:w="5220" w:type="dxa"/>
          </w:tcPr>
          <w:p w14:paraId="5FE6533D" w14:textId="7CE64D81" w:rsidR="00FA018F" w:rsidRDefault="00FA018F" w:rsidP="00FA018F">
            <w:r>
              <w:t>Joint Liability and Contribution</w:t>
            </w:r>
            <w:r w:rsidR="003A065A">
              <w:t xml:space="preserve"> (cont.); </w:t>
            </w:r>
            <w:r w:rsidR="00674BFF">
              <w:t>Indemnification and Liability Insurance; Enforcing Judgments</w:t>
            </w:r>
          </w:p>
          <w:p w14:paraId="2214375C" w14:textId="77777777" w:rsidR="00FA018F" w:rsidRPr="008B7170" w:rsidRDefault="00FA018F" w:rsidP="00FA018F"/>
        </w:tc>
        <w:tc>
          <w:tcPr>
            <w:tcW w:w="2088" w:type="dxa"/>
          </w:tcPr>
          <w:p w14:paraId="7C9C82FC" w14:textId="12E277E7" w:rsidR="00FA018F" w:rsidRPr="008B7170" w:rsidRDefault="00FA018F" w:rsidP="00837593">
            <w:r>
              <w:t xml:space="preserve">pp. </w:t>
            </w:r>
            <w:r w:rsidR="00674BFF">
              <w:t>574-595</w:t>
            </w:r>
          </w:p>
        </w:tc>
      </w:tr>
      <w:tr w:rsidR="00FA018F" w14:paraId="684F2B7E" w14:textId="77777777" w:rsidTr="0073498F">
        <w:tc>
          <w:tcPr>
            <w:tcW w:w="5220" w:type="dxa"/>
          </w:tcPr>
          <w:p w14:paraId="1A18F495" w14:textId="77777777" w:rsidR="00597C7E" w:rsidRDefault="00674BFF" w:rsidP="00B04BEA">
            <w:r>
              <w:t xml:space="preserve">Wrongful Death Acts; </w:t>
            </w:r>
            <w:r w:rsidR="00FA018F">
              <w:t>Negligent Infliction of Emotional Distress</w:t>
            </w:r>
          </w:p>
          <w:p w14:paraId="059D60D9" w14:textId="1876A15C" w:rsidR="00B04BEA" w:rsidRDefault="00B04BEA" w:rsidP="00B04BEA"/>
        </w:tc>
        <w:tc>
          <w:tcPr>
            <w:tcW w:w="2088" w:type="dxa"/>
          </w:tcPr>
          <w:p w14:paraId="019911DE" w14:textId="45393F95" w:rsidR="00FA018F" w:rsidRDefault="00FA018F" w:rsidP="00771FED">
            <w:r>
              <w:t>pp.</w:t>
            </w:r>
            <w:r w:rsidR="004919CE">
              <w:t xml:space="preserve"> </w:t>
            </w:r>
            <w:r w:rsidR="00674BFF">
              <w:t>400-416; 747-752</w:t>
            </w:r>
          </w:p>
        </w:tc>
      </w:tr>
      <w:tr w:rsidR="00771FED" w14:paraId="705E4975" w14:textId="77777777" w:rsidTr="0073498F">
        <w:tc>
          <w:tcPr>
            <w:tcW w:w="5220" w:type="dxa"/>
          </w:tcPr>
          <w:p w14:paraId="0EC509C6" w14:textId="77777777" w:rsidR="009816BC" w:rsidRDefault="00771FED" w:rsidP="00674BFF">
            <w:r w:rsidRPr="00EE07D7">
              <w:t>Negligent Infliction of Emotional Distress</w:t>
            </w:r>
            <w:r w:rsidR="00674BFF">
              <w:t xml:space="preserve"> (cont.)</w:t>
            </w:r>
          </w:p>
          <w:p w14:paraId="1AA2872C" w14:textId="0D5B9DE5" w:rsidR="00674BFF" w:rsidRDefault="00674BFF" w:rsidP="00674BFF"/>
        </w:tc>
        <w:tc>
          <w:tcPr>
            <w:tcW w:w="2088" w:type="dxa"/>
          </w:tcPr>
          <w:p w14:paraId="682862AC" w14:textId="79109CC8" w:rsidR="00771FED" w:rsidRDefault="0058222B" w:rsidP="000F2896">
            <w:r>
              <w:t xml:space="preserve">pp. </w:t>
            </w:r>
            <w:r w:rsidR="00674BFF">
              <w:t>753-778</w:t>
            </w:r>
          </w:p>
        </w:tc>
      </w:tr>
      <w:tr w:rsidR="00FA018F" w14:paraId="3D8621DE" w14:textId="77777777" w:rsidTr="0073498F">
        <w:tc>
          <w:tcPr>
            <w:tcW w:w="5220" w:type="dxa"/>
          </w:tcPr>
          <w:p w14:paraId="6C34F9B3" w14:textId="4047992E" w:rsidR="00FA018F" w:rsidRDefault="00FA018F" w:rsidP="00FA018F">
            <w:r>
              <w:t>Negligent Infliction of Emotional Distress</w:t>
            </w:r>
            <w:r w:rsidR="00674BFF">
              <w:t xml:space="preserve"> </w:t>
            </w:r>
            <w:r w:rsidR="000F2896">
              <w:t>(cont.)</w:t>
            </w:r>
          </w:p>
          <w:p w14:paraId="475C2CF5" w14:textId="77777777" w:rsidR="009816BC" w:rsidRDefault="009816BC" w:rsidP="00FA018F"/>
        </w:tc>
        <w:tc>
          <w:tcPr>
            <w:tcW w:w="2088" w:type="dxa"/>
          </w:tcPr>
          <w:p w14:paraId="36358042" w14:textId="366F3B60" w:rsidR="00FA018F" w:rsidRDefault="00771FED" w:rsidP="00905C1B">
            <w:r>
              <w:t xml:space="preserve">pp. </w:t>
            </w:r>
            <w:r w:rsidR="00674BFF">
              <w:t>778-800</w:t>
            </w:r>
          </w:p>
        </w:tc>
      </w:tr>
      <w:tr w:rsidR="00FA018F" w14:paraId="701210B0" w14:textId="77777777" w:rsidTr="0073498F">
        <w:tc>
          <w:tcPr>
            <w:tcW w:w="5220" w:type="dxa"/>
          </w:tcPr>
          <w:p w14:paraId="5DCE1CD6" w14:textId="77777777" w:rsidR="00FA018F" w:rsidRDefault="00FA018F" w:rsidP="00FA018F">
            <w:r>
              <w:lastRenderedPageBreak/>
              <w:t>Introduction to Liability Without Fault</w:t>
            </w:r>
            <w:r w:rsidR="000F2896">
              <w:t>; Trespass to Land</w:t>
            </w:r>
          </w:p>
          <w:p w14:paraId="473519C1" w14:textId="77777777" w:rsidR="00FA018F" w:rsidRPr="008B7170" w:rsidRDefault="00FA018F" w:rsidP="00FA018F"/>
        </w:tc>
        <w:tc>
          <w:tcPr>
            <w:tcW w:w="2088" w:type="dxa"/>
          </w:tcPr>
          <w:p w14:paraId="5B29DD0D" w14:textId="650A2947" w:rsidR="00FA018F" w:rsidRPr="008B7170" w:rsidRDefault="00FA018F" w:rsidP="0058222B">
            <w:r>
              <w:t xml:space="preserve">pp. </w:t>
            </w:r>
            <w:r w:rsidR="00674BFF">
              <w:t>805-813</w:t>
            </w:r>
            <w:r w:rsidR="000F2896">
              <w:t xml:space="preserve">; </w:t>
            </w:r>
            <w:r w:rsidR="00674BFF">
              <w:t>818-820</w:t>
            </w:r>
            <w:r w:rsidR="0058222B">
              <w:t xml:space="preserve">; </w:t>
            </w:r>
            <w:r w:rsidR="00674BFF">
              <w:t>822-831</w:t>
            </w:r>
          </w:p>
        </w:tc>
      </w:tr>
      <w:tr w:rsidR="00771FED" w14:paraId="1F34A1D3" w14:textId="77777777" w:rsidTr="0073498F">
        <w:tc>
          <w:tcPr>
            <w:tcW w:w="5220" w:type="dxa"/>
          </w:tcPr>
          <w:p w14:paraId="00172F65" w14:textId="77777777" w:rsidR="00771FED" w:rsidRDefault="00771FED" w:rsidP="00FA018F">
            <w:r>
              <w:t>Necessity</w:t>
            </w:r>
            <w:r w:rsidR="00474236">
              <w:t>; Con</w:t>
            </w:r>
            <w:r w:rsidR="00CF6E0C">
              <w:t>version and Trespass to Chattel</w:t>
            </w:r>
            <w:r w:rsidR="0058222B">
              <w:t>; Introduction to Products Liability</w:t>
            </w:r>
          </w:p>
          <w:p w14:paraId="1481E81F" w14:textId="77777777" w:rsidR="009816BC" w:rsidRDefault="009816BC" w:rsidP="00FA018F"/>
        </w:tc>
        <w:tc>
          <w:tcPr>
            <w:tcW w:w="2088" w:type="dxa"/>
          </w:tcPr>
          <w:p w14:paraId="56B2AA1B" w14:textId="432E63F3" w:rsidR="00771FED" w:rsidRDefault="00771FED" w:rsidP="00CF6E0C">
            <w:r>
              <w:t xml:space="preserve">pp. </w:t>
            </w:r>
            <w:r w:rsidR="00674BFF">
              <w:t>831-838</w:t>
            </w:r>
            <w:r w:rsidR="00CF6E0C">
              <w:t xml:space="preserve">; </w:t>
            </w:r>
            <w:r w:rsidR="00674BFF">
              <w:t>845-846</w:t>
            </w:r>
            <w:r w:rsidR="00474236">
              <w:t xml:space="preserve"> (nn. 2&amp;3)</w:t>
            </w:r>
            <w:r w:rsidR="00E41F49">
              <w:t xml:space="preserve">; </w:t>
            </w:r>
            <w:r w:rsidR="00674BFF">
              <w:t>893-904</w:t>
            </w:r>
          </w:p>
        </w:tc>
      </w:tr>
      <w:tr w:rsidR="00FA018F" w14:paraId="3D587A3B" w14:textId="77777777" w:rsidTr="0073498F">
        <w:tc>
          <w:tcPr>
            <w:tcW w:w="5220" w:type="dxa"/>
          </w:tcPr>
          <w:p w14:paraId="4130DF03" w14:textId="6DA2F58B" w:rsidR="00FA018F" w:rsidRDefault="00674BFF" w:rsidP="00FA018F">
            <w:r>
              <w:t>Products Liability (cont.)</w:t>
            </w:r>
          </w:p>
          <w:p w14:paraId="0AE85B3F" w14:textId="77777777" w:rsidR="00FA018F" w:rsidRDefault="00FA018F" w:rsidP="00FA018F"/>
        </w:tc>
        <w:tc>
          <w:tcPr>
            <w:tcW w:w="2088" w:type="dxa"/>
          </w:tcPr>
          <w:p w14:paraId="0F013B9C" w14:textId="6326FB9E" w:rsidR="00FA018F" w:rsidRDefault="00FA018F" w:rsidP="00E41F49">
            <w:r>
              <w:t xml:space="preserve">pp. </w:t>
            </w:r>
            <w:r w:rsidR="00674BFF">
              <w:t>905-928</w:t>
            </w:r>
          </w:p>
        </w:tc>
      </w:tr>
      <w:tr w:rsidR="00FA018F" w14:paraId="45578DD0" w14:textId="77777777" w:rsidTr="0073498F">
        <w:tc>
          <w:tcPr>
            <w:tcW w:w="5220" w:type="dxa"/>
          </w:tcPr>
          <w:p w14:paraId="065609DF" w14:textId="0F01CFCC" w:rsidR="00FA018F" w:rsidRDefault="00FA018F" w:rsidP="00FA018F">
            <w:r>
              <w:t>Design Defect</w:t>
            </w:r>
          </w:p>
          <w:p w14:paraId="2DC55AB9" w14:textId="77777777" w:rsidR="00FA018F" w:rsidRDefault="00FA018F" w:rsidP="00FA018F"/>
        </w:tc>
        <w:tc>
          <w:tcPr>
            <w:tcW w:w="2088" w:type="dxa"/>
          </w:tcPr>
          <w:p w14:paraId="07363338" w14:textId="2FBAAA76" w:rsidR="00FA018F" w:rsidRDefault="00FA018F" w:rsidP="00FD6DA5">
            <w:r>
              <w:t xml:space="preserve">pp. </w:t>
            </w:r>
            <w:r w:rsidR="00674BFF">
              <w:t>928-948</w:t>
            </w:r>
          </w:p>
        </w:tc>
      </w:tr>
      <w:tr w:rsidR="00FD6DA5" w14:paraId="10647D62" w14:textId="77777777" w:rsidTr="0073498F">
        <w:tc>
          <w:tcPr>
            <w:tcW w:w="5220" w:type="dxa"/>
          </w:tcPr>
          <w:p w14:paraId="4AE82D51" w14:textId="3170EFD8" w:rsidR="00FD6DA5" w:rsidRDefault="00674BFF" w:rsidP="00FA018F">
            <w:r>
              <w:t xml:space="preserve">Design Defect (cont.); </w:t>
            </w:r>
            <w:r w:rsidR="00FD6DA5">
              <w:t>Standards of Defectiveness for Prescription Drugs</w:t>
            </w:r>
          </w:p>
          <w:p w14:paraId="481F6493" w14:textId="77777777" w:rsidR="009816BC" w:rsidRDefault="009816BC" w:rsidP="00FA018F"/>
        </w:tc>
        <w:tc>
          <w:tcPr>
            <w:tcW w:w="2088" w:type="dxa"/>
          </w:tcPr>
          <w:p w14:paraId="776247AC" w14:textId="41127BFF" w:rsidR="00FD6DA5" w:rsidRDefault="00791477" w:rsidP="00FA018F">
            <w:r>
              <w:t xml:space="preserve">pp. </w:t>
            </w:r>
            <w:r w:rsidR="00674BFF">
              <w:t>949-984</w:t>
            </w:r>
          </w:p>
        </w:tc>
      </w:tr>
      <w:tr w:rsidR="008709EC" w14:paraId="02CED222" w14:textId="77777777" w:rsidTr="0073498F">
        <w:tc>
          <w:tcPr>
            <w:tcW w:w="5220" w:type="dxa"/>
          </w:tcPr>
          <w:p w14:paraId="5A1FC7B1" w14:textId="7D2BCADD" w:rsidR="009816BC" w:rsidRDefault="00FD6DA5" w:rsidP="00674BFF">
            <w:r>
              <w:t xml:space="preserve">Failure to Warn </w:t>
            </w:r>
          </w:p>
        </w:tc>
        <w:tc>
          <w:tcPr>
            <w:tcW w:w="2088" w:type="dxa"/>
          </w:tcPr>
          <w:p w14:paraId="7482A78B" w14:textId="3AC76ACD" w:rsidR="008709EC" w:rsidRDefault="008709EC" w:rsidP="002D0875">
            <w:r>
              <w:t xml:space="preserve">pp. </w:t>
            </w:r>
            <w:r w:rsidR="00674BFF">
              <w:t>984-1008</w:t>
            </w:r>
            <w:r w:rsidR="002D0875">
              <w:t xml:space="preserve"> </w:t>
            </w:r>
          </w:p>
          <w:p w14:paraId="103CAD3E" w14:textId="215FD532" w:rsidR="00674BFF" w:rsidRDefault="00674BFF" w:rsidP="002D0875"/>
        </w:tc>
      </w:tr>
      <w:tr w:rsidR="002D0875" w:rsidRPr="008B7170" w14:paraId="4CDCEA78" w14:textId="77777777" w:rsidTr="00497536">
        <w:tc>
          <w:tcPr>
            <w:tcW w:w="5220" w:type="dxa"/>
          </w:tcPr>
          <w:p w14:paraId="45620374" w14:textId="0DAC11CE" w:rsidR="002D0875" w:rsidRDefault="002D0875" w:rsidP="002D0875">
            <w:r>
              <w:t>Go Over Practice Exam</w:t>
            </w:r>
            <w:r w:rsidR="00C55FDD">
              <w:t xml:space="preserve"> (posted on Canvas)</w:t>
            </w:r>
          </w:p>
          <w:p w14:paraId="5C2B5FA4" w14:textId="77777777" w:rsidR="002D0875" w:rsidRDefault="002D0875" w:rsidP="002D0875"/>
        </w:tc>
        <w:tc>
          <w:tcPr>
            <w:tcW w:w="2088" w:type="dxa"/>
          </w:tcPr>
          <w:p w14:paraId="07010301" w14:textId="4F5F8F02" w:rsidR="002D0875" w:rsidRDefault="002D0875" w:rsidP="002D0875"/>
        </w:tc>
      </w:tr>
    </w:tbl>
    <w:p w14:paraId="521BE4C5" w14:textId="77777777" w:rsidR="005711D2" w:rsidRPr="005711D2" w:rsidRDefault="005711D2" w:rsidP="0073498F"/>
    <w:sectPr w:rsidR="005711D2" w:rsidRPr="005711D2" w:rsidSect="007577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E289E" w14:textId="77777777" w:rsidR="00A52312" w:rsidRDefault="00A52312">
      <w:r>
        <w:separator/>
      </w:r>
    </w:p>
  </w:endnote>
  <w:endnote w:type="continuationSeparator" w:id="0">
    <w:p w14:paraId="6CDA9A7E" w14:textId="77777777" w:rsidR="00A52312" w:rsidRDefault="00A5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0D76C" w14:textId="77777777" w:rsidR="00A52312" w:rsidRDefault="00A52312">
      <w:r>
        <w:separator/>
      </w:r>
    </w:p>
  </w:footnote>
  <w:footnote w:type="continuationSeparator" w:id="0">
    <w:p w14:paraId="44E04B73" w14:textId="77777777" w:rsidR="00A52312" w:rsidRDefault="00A52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43486"/>
    <w:multiLevelType w:val="hybridMultilevel"/>
    <w:tmpl w:val="4E1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83103"/>
    <w:multiLevelType w:val="hybridMultilevel"/>
    <w:tmpl w:val="1068E9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CA"/>
    <w:rsid w:val="000012DF"/>
    <w:rsid w:val="00011DB1"/>
    <w:rsid w:val="00022B86"/>
    <w:rsid w:val="00022E7C"/>
    <w:rsid w:val="000263FD"/>
    <w:rsid w:val="00034664"/>
    <w:rsid w:val="00047A40"/>
    <w:rsid w:val="00057F66"/>
    <w:rsid w:val="00065FD8"/>
    <w:rsid w:val="00071039"/>
    <w:rsid w:val="0007579B"/>
    <w:rsid w:val="000945C3"/>
    <w:rsid w:val="000C04AC"/>
    <w:rsid w:val="000C4817"/>
    <w:rsid w:val="000E07D6"/>
    <w:rsid w:val="000E4CC0"/>
    <w:rsid w:val="000F2896"/>
    <w:rsid w:val="000F7C7F"/>
    <w:rsid w:val="00102696"/>
    <w:rsid w:val="001171F8"/>
    <w:rsid w:val="001232F9"/>
    <w:rsid w:val="00135F36"/>
    <w:rsid w:val="001863FB"/>
    <w:rsid w:val="001A6941"/>
    <w:rsid w:val="001E36A6"/>
    <w:rsid w:val="001F65F5"/>
    <w:rsid w:val="002043C2"/>
    <w:rsid w:val="00284D05"/>
    <w:rsid w:val="00295BCF"/>
    <w:rsid w:val="002B6EC2"/>
    <w:rsid w:val="002D0875"/>
    <w:rsid w:val="002E41D1"/>
    <w:rsid w:val="002E4DBF"/>
    <w:rsid w:val="002E4EA3"/>
    <w:rsid w:val="002E772B"/>
    <w:rsid w:val="003174EB"/>
    <w:rsid w:val="003368E9"/>
    <w:rsid w:val="00370D3A"/>
    <w:rsid w:val="00385B16"/>
    <w:rsid w:val="00395F73"/>
    <w:rsid w:val="003A065A"/>
    <w:rsid w:val="003A204F"/>
    <w:rsid w:val="003C49C9"/>
    <w:rsid w:val="003E06C7"/>
    <w:rsid w:val="003E1E7A"/>
    <w:rsid w:val="003E2FCA"/>
    <w:rsid w:val="00412401"/>
    <w:rsid w:val="00417934"/>
    <w:rsid w:val="004440A8"/>
    <w:rsid w:val="00472C1A"/>
    <w:rsid w:val="00474236"/>
    <w:rsid w:val="00483810"/>
    <w:rsid w:val="004919CE"/>
    <w:rsid w:val="004B164D"/>
    <w:rsid w:val="004C2DDD"/>
    <w:rsid w:val="004C3D5A"/>
    <w:rsid w:val="004D56A0"/>
    <w:rsid w:val="004D57C4"/>
    <w:rsid w:val="004F257B"/>
    <w:rsid w:val="005003F6"/>
    <w:rsid w:val="005128D1"/>
    <w:rsid w:val="005231D9"/>
    <w:rsid w:val="0052453E"/>
    <w:rsid w:val="0054174C"/>
    <w:rsid w:val="00545DEF"/>
    <w:rsid w:val="005541FB"/>
    <w:rsid w:val="00566E67"/>
    <w:rsid w:val="005711D2"/>
    <w:rsid w:val="0057288D"/>
    <w:rsid w:val="00573221"/>
    <w:rsid w:val="0058222B"/>
    <w:rsid w:val="00586C9B"/>
    <w:rsid w:val="00597C7E"/>
    <w:rsid w:val="005A4635"/>
    <w:rsid w:val="005E3975"/>
    <w:rsid w:val="005E4043"/>
    <w:rsid w:val="005F3041"/>
    <w:rsid w:val="005F4724"/>
    <w:rsid w:val="00600C63"/>
    <w:rsid w:val="00604B01"/>
    <w:rsid w:val="006108F5"/>
    <w:rsid w:val="006310A0"/>
    <w:rsid w:val="00634FDE"/>
    <w:rsid w:val="00636B36"/>
    <w:rsid w:val="006449D8"/>
    <w:rsid w:val="00674672"/>
    <w:rsid w:val="00674BFF"/>
    <w:rsid w:val="00677F67"/>
    <w:rsid w:val="006812C2"/>
    <w:rsid w:val="006963BE"/>
    <w:rsid w:val="00697FE4"/>
    <w:rsid w:val="006A1974"/>
    <w:rsid w:val="006E12F8"/>
    <w:rsid w:val="006E3792"/>
    <w:rsid w:val="006E5532"/>
    <w:rsid w:val="006E7BF2"/>
    <w:rsid w:val="006E7FFA"/>
    <w:rsid w:val="006F52C9"/>
    <w:rsid w:val="0073498F"/>
    <w:rsid w:val="007436B7"/>
    <w:rsid w:val="00750FB4"/>
    <w:rsid w:val="007521AF"/>
    <w:rsid w:val="00757720"/>
    <w:rsid w:val="00771FED"/>
    <w:rsid w:val="00791477"/>
    <w:rsid w:val="00793827"/>
    <w:rsid w:val="007C246B"/>
    <w:rsid w:val="007E249D"/>
    <w:rsid w:val="007F089F"/>
    <w:rsid w:val="00801D6F"/>
    <w:rsid w:val="00811DC6"/>
    <w:rsid w:val="00837593"/>
    <w:rsid w:val="008506F3"/>
    <w:rsid w:val="00850F7B"/>
    <w:rsid w:val="0085264F"/>
    <w:rsid w:val="00867D4D"/>
    <w:rsid w:val="008709EC"/>
    <w:rsid w:val="0089106E"/>
    <w:rsid w:val="0089297C"/>
    <w:rsid w:val="0089566E"/>
    <w:rsid w:val="00897783"/>
    <w:rsid w:val="008A72A1"/>
    <w:rsid w:val="008B1C11"/>
    <w:rsid w:val="008C600B"/>
    <w:rsid w:val="008D1131"/>
    <w:rsid w:val="008E4D91"/>
    <w:rsid w:val="008F0BF7"/>
    <w:rsid w:val="00905C1B"/>
    <w:rsid w:val="00933F5C"/>
    <w:rsid w:val="0097006C"/>
    <w:rsid w:val="0097326F"/>
    <w:rsid w:val="009816BC"/>
    <w:rsid w:val="009904ED"/>
    <w:rsid w:val="00994FC8"/>
    <w:rsid w:val="00995657"/>
    <w:rsid w:val="00995D78"/>
    <w:rsid w:val="009A52F5"/>
    <w:rsid w:val="009C5B4D"/>
    <w:rsid w:val="009D61AA"/>
    <w:rsid w:val="009F0257"/>
    <w:rsid w:val="009F255D"/>
    <w:rsid w:val="009F3F2B"/>
    <w:rsid w:val="00A04F2C"/>
    <w:rsid w:val="00A054BA"/>
    <w:rsid w:val="00A20F98"/>
    <w:rsid w:val="00A50CA0"/>
    <w:rsid w:val="00A52312"/>
    <w:rsid w:val="00A65A5D"/>
    <w:rsid w:val="00A84A3B"/>
    <w:rsid w:val="00A858AB"/>
    <w:rsid w:val="00A90C99"/>
    <w:rsid w:val="00AA40EF"/>
    <w:rsid w:val="00AA4EC1"/>
    <w:rsid w:val="00AC0225"/>
    <w:rsid w:val="00AC46DA"/>
    <w:rsid w:val="00AC5942"/>
    <w:rsid w:val="00AD2CC4"/>
    <w:rsid w:val="00AE7556"/>
    <w:rsid w:val="00AE7DBA"/>
    <w:rsid w:val="00AF001E"/>
    <w:rsid w:val="00B00F2D"/>
    <w:rsid w:val="00B02D78"/>
    <w:rsid w:val="00B04BEA"/>
    <w:rsid w:val="00B115DF"/>
    <w:rsid w:val="00B25366"/>
    <w:rsid w:val="00B25619"/>
    <w:rsid w:val="00B61102"/>
    <w:rsid w:val="00B61A7A"/>
    <w:rsid w:val="00B71462"/>
    <w:rsid w:val="00B72379"/>
    <w:rsid w:val="00B8017A"/>
    <w:rsid w:val="00B91374"/>
    <w:rsid w:val="00B952BF"/>
    <w:rsid w:val="00BE1462"/>
    <w:rsid w:val="00BF3B5B"/>
    <w:rsid w:val="00C02AE4"/>
    <w:rsid w:val="00C06FF2"/>
    <w:rsid w:val="00C11589"/>
    <w:rsid w:val="00C13682"/>
    <w:rsid w:val="00C16362"/>
    <w:rsid w:val="00C3528C"/>
    <w:rsid w:val="00C43D06"/>
    <w:rsid w:val="00C55FDD"/>
    <w:rsid w:val="00C56C00"/>
    <w:rsid w:val="00C64D74"/>
    <w:rsid w:val="00C80CE3"/>
    <w:rsid w:val="00C939B7"/>
    <w:rsid w:val="00C94B61"/>
    <w:rsid w:val="00CA06AF"/>
    <w:rsid w:val="00CB2E78"/>
    <w:rsid w:val="00CB406E"/>
    <w:rsid w:val="00CC4AA5"/>
    <w:rsid w:val="00CD1B1D"/>
    <w:rsid w:val="00CD7001"/>
    <w:rsid w:val="00CE2B59"/>
    <w:rsid w:val="00CF24F8"/>
    <w:rsid w:val="00CF6E0C"/>
    <w:rsid w:val="00D041A9"/>
    <w:rsid w:val="00D063E4"/>
    <w:rsid w:val="00D15253"/>
    <w:rsid w:val="00D23C83"/>
    <w:rsid w:val="00D53129"/>
    <w:rsid w:val="00D824EF"/>
    <w:rsid w:val="00D90063"/>
    <w:rsid w:val="00DB646F"/>
    <w:rsid w:val="00DC6375"/>
    <w:rsid w:val="00DD2EF8"/>
    <w:rsid w:val="00DD6C95"/>
    <w:rsid w:val="00DE682F"/>
    <w:rsid w:val="00DF407B"/>
    <w:rsid w:val="00E02A54"/>
    <w:rsid w:val="00E070AC"/>
    <w:rsid w:val="00E231FA"/>
    <w:rsid w:val="00E41F49"/>
    <w:rsid w:val="00E4481D"/>
    <w:rsid w:val="00E53289"/>
    <w:rsid w:val="00E6631B"/>
    <w:rsid w:val="00E702CF"/>
    <w:rsid w:val="00E74B88"/>
    <w:rsid w:val="00E82499"/>
    <w:rsid w:val="00E93B00"/>
    <w:rsid w:val="00EA00BE"/>
    <w:rsid w:val="00EA1063"/>
    <w:rsid w:val="00EB4C4F"/>
    <w:rsid w:val="00EB679F"/>
    <w:rsid w:val="00EC66B8"/>
    <w:rsid w:val="00ED3507"/>
    <w:rsid w:val="00EE4B8F"/>
    <w:rsid w:val="00EE5B1E"/>
    <w:rsid w:val="00EF265E"/>
    <w:rsid w:val="00EF4BD5"/>
    <w:rsid w:val="00F0402C"/>
    <w:rsid w:val="00F235B1"/>
    <w:rsid w:val="00F26C8D"/>
    <w:rsid w:val="00F41B92"/>
    <w:rsid w:val="00F44EC0"/>
    <w:rsid w:val="00F55342"/>
    <w:rsid w:val="00F57180"/>
    <w:rsid w:val="00F95C2C"/>
    <w:rsid w:val="00F96B0A"/>
    <w:rsid w:val="00FA018F"/>
    <w:rsid w:val="00FA3626"/>
    <w:rsid w:val="00FB36E6"/>
    <w:rsid w:val="00FD0855"/>
    <w:rsid w:val="00FD3DA8"/>
    <w:rsid w:val="00FD6116"/>
    <w:rsid w:val="00FD6DA5"/>
    <w:rsid w:val="00FE14DA"/>
    <w:rsid w:val="00FE2B2F"/>
    <w:rsid w:val="00FF43C7"/>
    <w:rsid w:val="00FF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E63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72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1063"/>
    <w:pPr>
      <w:tabs>
        <w:tab w:val="center" w:pos="4320"/>
        <w:tab w:val="right" w:pos="8640"/>
      </w:tabs>
    </w:pPr>
  </w:style>
  <w:style w:type="paragraph" w:styleId="Footer">
    <w:name w:val="footer"/>
    <w:basedOn w:val="Normal"/>
    <w:rsid w:val="00EA1063"/>
    <w:pPr>
      <w:tabs>
        <w:tab w:val="center" w:pos="4320"/>
        <w:tab w:val="right" w:pos="8640"/>
      </w:tabs>
    </w:pPr>
  </w:style>
  <w:style w:type="paragraph" w:styleId="ListParagraph">
    <w:name w:val="List Paragraph"/>
    <w:basedOn w:val="Normal"/>
    <w:uiPriority w:val="34"/>
    <w:qFormat/>
    <w:rsid w:val="006F52C9"/>
    <w:pPr>
      <w:ind w:left="720"/>
      <w:contextualSpacing/>
    </w:pPr>
  </w:style>
  <w:style w:type="character" w:styleId="Hyperlink">
    <w:name w:val="Hyperlink"/>
    <w:basedOn w:val="DefaultParagraphFont"/>
    <w:uiPriority w:val="99"/>
    <w:unhideWhenUsed/>
    <w:rsid w:val="00F41B92"/>
    <w:rPr>
      <w:color w:val="0000FF"/>
      <w:u w:val="single"/>
    </w:rPr>
  </w:style>
  <w:style w:type="character" w:styleId="FollowedHyperlink">
    <w:name w:val="FollowedHyperlink"/>
    <w:basedOn w:val="DefaultParagraphFont"/>
    <w:rsid w:val="009F0257"/>
    <w:rPr>
      <w:color w:val="800080" w:themeColor="followedHyperlink"/>
      <w:u w:val="single"/>
    </w:rPr>
  </w:style>
  <w:style w:type="paragraph" w:styleId="BalloonText">
    <w:name w:val="Balloon Text"/>
    <w:basedOn w:val="Normal"/>
    <w:link w:val="BalloonTextChar"/>
    <w:rsid w:val="00905C1B"/>
    <w:rPr>
      <w:rFonts w:ascii="Tahoma" w:hAnsi="Tahoma" w:cs="Tahoma"/>
      <w:sz w:val="16"/>
      <w:szCs w:val="16"/>
    </w:rPr>
  </w:style>
  <w:style w:type="character" w:customStyle="1" w:styleId="BalloonTextChar">
    <w:name w:val="Balloon Text Char"/>
    <w:basedOn w:val="DefaultParagraphFont"/>
    <w:link w:val="BalloonText"/>
    <w:rsid w:val="00905C1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9" Type="http://schemas.openxmlformats.org/officeDocument/2006/relationships/hyperlink" Target="https://www.cdc.gov/coronavirus/2019-ncov/symptoms-testing/symptoms.html" TargetMode="Externa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41" Type="http://schemas.openxmlformats.org/officeDocument/2006/relationships/hyperlink" Target="https://catalog.ufl.edu/UGRD/academic-regulations/attendanc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hyperlink" Target="https://gatorevals.aa.ufl.edu/" TargetMode="External"/><Relationship Id="rId40" Type="http://schemas.openxmlformats.org/officeDocument/2006/relationships/hyperlink" Target="https://coronavirus.ufhealth.org/screen-test-protect/covid-19-exposure-and-symptoms-who-do-i-call-if/" TargetMode="Externa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s://gatorevals.aa.ufl.edu/students/"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law.ufl.edu/student-affairs/current-students/academic-policies"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theme" Target="theme/theme1.xml"/><Relationship Id="rId8" Type="http://schemas.openxmlformats.org/officeDocument/2006/relationships/hyperlink" Target="http://www.law.ufl.edu/student-affairs/current-students/forms-applications/exam-delays-accommodations-form" TargetMode="External"/><Relationship Id="rId3" Type="http://schemas.openxmlformats.org/officeDocument/2006/relationships/styles" Target="styl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FF540-5F94-456C-9B10-CE5E1084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1937</Words>
  <Characters>11045</Characters>
  <Application>Microsoft Office Word</Application>
  <DocSecurity>0</DocSecurity>
  <PresentationFormat/>
  <Lines>92</Lines>
  <Paragraphs>25</Paragraphs>
  <ScaleCrop>false</ScaleCrop>
  <HeadingPairs>
    <vt:vector size="2" baseType="variant">
      <vt:variant>
        <vt:lpstr>Title</vt:lpstr>
      </vt:variant>
      <vt:variant>
        <vt:i4>1</vt:i4>
      </vt:variant>
    </vt:vector>
  </HeadingPairs>
  <TitlesOfParts>
    <vt:vector size="1" baseType="lpstr">
      <vt:lpstr>VILLANOVA UNIVERSITY SCHOOL OF LAW</vt:lpstr>
    </vt:vector>
  </TitlesOfParts>
  <LinksUpToDate>false</LinksUpToDate>
  <CharactersWithSpaces>12957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VILLANOVA UNIVERSITY SCHOOL OF LAW</dc:title>
  <dc:creator/>
  <cp:lastModifiedBy/>
  <cp:revision>1</cp:revision>
  <cp:lastPrinted>2010-08-18T19:41:00Z</cp:lastPrinted>
  <dcterms:created xsi:type="dcterms:W3CDTF">2020-08-20T20:03:00Z</dcterms:created>
  <dcterms:modified xsi:type="dcterms:W3CDTF">2020-08-20T21:28:00Z</dcterms:modified>
</cp:coreProperties>
</file>