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C5F2" w14:textId="440D3721" w:rsidR="00F8359E" w:rsidRPr="009C1CBC" w:rsidRDefault="00F8359E" w:rsidP="00F8359E">
      <w:pPr>
        <w:rPr>
          <w:rFonts w:ascii="Garamond" w:hAnsi="Garamond"/>
          <w:sz w:val="24"/>
          <w:szCs w:val="24"/>
        </w:rPr>
      </w:pPr>
      <w:r w:rsidRPr="009C1CBC">
        <w:rPr>
          <w:rFonts w:ascii="Garamond" w:hAnsi="Garamond"/>
          <w:b/>
          <w:smallCaps/>
          <w:sz w:val="32"/>
          <w:szCs w:val="32"/>
        </w:rPr>
        <w:t>Class Actions</w:t>
      </w:r>
      <w:r w:rsidR="00565A6B" w:rsidRPr="009C1CBC">
        <w:rPr>
          <w:rFonts w:ascii="Garamond" w:hAnsi="Garamond"/>
          <w:b/>
          <w:smallCaps/>
          <w:sz w:val="28"/>
          <w:szCs w:val="28"/>
        </w:rPr>
        <w:t xml:space="preserve"> </w:t>
      </w:r>
      <w:r w:rsidR="00565A6B" w:rsidRPr="009C1CBC">
        <w:rPr>
          <w:rFonts w:ascii="Garamond" w:hAnsi="Garamond"/>
          <w:b/>
          <w:smallCaps/>
          <w:sz w:val="24"/>
          <w:szCs w:val="24"/>
        </w:rPr>
        <w:t xml:space="preserve"> </w:t>
      </w:r>
      <w:r w:rsidR="00BC325B" w:rsidRPr="009C1CBC">
        <w:rPr>
          <w:rFonts w:ascii="Garamond" w:hAnsi="Garamond"/>
          <w:sz w:val="24"/>
          <w:szCs w:val="24"/>
        </w:rPr>
        <w:t xml:space="preserve">Syllabus, </w:t>
      </w:r>
      <w:r w:rsidR="00C11B7C" w:rsidRPr="009C1CBC">
        <w:rPr>
          <w:rFonts w:ascii="Garamond" w:hAnsi="Garamond"/>
          <w:sz w:val="24"/>
          <w:szCs w:val="24"/>
        </w:rPr>
        <w:t>Spring</w:t>
      </w:r>
      <w:r w:rsidR="00BC325B" w:rsidRPr="009C1CBC">
        <w:rPr>
          <w:rFonts w:ascii="Garamond" w:hAnsi="Garamond"/>
          <w:sz w:val="24"/>
          <w:szCs w:val="24"/>
        </w:rPr>
        <w:t xml:space="preserve"> 20</w:t>
      </w:r>
      <w:r w:rsidR="00C11B7C" w:rsidRPr="009C1CBC">
        <w:rPr>
          <w:rFonts w:ascii="Garamond" w:hAnsi="Garamond"/>
          <w:sz w:val="24"/>
          <w:szCs w:val="24"/>
        </w:rPr>
        <w:t>20</w:t>
      </w:r>
    </w:p>
    <w:p w14:paraId="6B9A7FB2" w14:textId="77777777" w:rsidR="00F8359E" w:rsidRPr="009C1CBC" w:rsidRDefault="00BC325B" w:rsidP="00645546">
      <w:pPr>
        <w:rPr>
          <w:rFonts w:ascii="Garamond" w:hAnsi="Garamond"/>
          <w:b/>
          <w:smallCaps/>
          <w:sz w:val="24"/>
          <w:szCs w:val="24"/>
        </w:rPr>
      </w:pPr>
      <w:r w:rsidRPr="009C1CBC">
        <w:rPr>
          <w:rFonts w:ascii="Garamond" w:hAnsi="Garamond"/>
          <w:sz w:val="24"/>
          <w:szCs w:val="24"/>
        </w:rPr>
        <w:t xml:space="preserve">Law 6936 (2 credit hours) </w:t>
      </w:r>
      <w:r w:rsidR="00F8359E" w:rsidRPr="009C1CBC">
        <w:rPr>
          <w:rFonts w:ascii="Garamond" w:hAnsi="Garamond"/>
          <w:sz w:val="24"/>
          <w:szCs w:val="24"/>
        </w:rPr>
        <w:tab/>
      </w:r>
    </w:p>
    <w:p w14:paraId="0941ACD8" w14:textId="77777777" w:rsidR="00EB267D" w:rsidRPr="009C1CBC" w:rsidRDefault="00C11B7C" w:rsidP="00645546">
      <w:pPr>
        <w:spacing w:before="40"/>
        <w:rPr>
          <w:rFonts w:ascii="Garamond" w:hAnsi="Garamond"/>
          <w:sz w:val="24"/>
          <w:szCs w:val="24"/>
        </w:rPr>
      </w:pPr>
      <w:r w:rsidRPr="009C1CBC">
        <w:rPr>
          <w:rFonts w:ascii="Garamond" w:hAnsi="Garamond"/>
          <w:sz w:val="24"/>
          <w:szCs w:val="24"/>
        </w:rPr>
        <w:t>Tu</w:t>
      </w:r>
      <w:r w:rsidR="00BC325B" w:rsidRPr="009C1CBC">
        <w:rPr>
          <w:rFonts w:ascii="Garamond" w:hAnsi="Garamond"/>
          <w:sz w:val="24"/>
          <w:szCs w:val="24"/>
        </w:rPr>
        <w:t xml:space="preserve"> 1:00 – </w:t>
      </w:r>
      <w:r w:rsidR="0054046E" w:rsidRPr="009C1CBC">
        <w:rPr>
          <w:rFonts w:ascii="Garamond" w:hAnsi="Garamond"/>
          <w:sz w:val="24"/>
          <w:szCs w:val="24"/>
        </w:rPr>
        <w:t>2:5</w:t>
      </w:r>
      <w:r w:rsidRPr="009C1CBC">
        <w:rPr>
          <w:rFonts w:ascii="Garamond" w:hAnsi="Garamond"/>
          <w:sz w:val="24"/>
          <w:szCs w:val="24"/>
        </w:rPr>
        <w:t>0</w:t>
      </w:r>
      <w:r w:rsidR="00BC325B" w:rsidRPr="009C1CBC">
        <w:rPr>
          <w:rFonts w:ascii="Garamond" w:hAnsi="Garamond"/>
          <w:sz w:val="24"/>
          <w:szCs w:val="24"/>
        </w:rPr>
        <w:t xml:space="preserve"> PM</w:t>
      </w:r>
      <w:r w:rsidR="00EB267D" w:rsidRPr="009C1CBC">
        <w:rPr>
          <w:rFonts w:ascii="Garamond" w:hAnsi="Garamond"/>
          <w:sz w:val="24"/>
          <w:szCs w:val="24"/>
        </w:rPr>
        <w:t xml:space="preserve"> </w:t>
      </w:r>
      <w:r w:rsidR="00BC325B" w:rsidRPr="009C1CBC">
        <w:rPr>
          <w:rFonts w:ascii="Garamond" w:hAnsi="Garamond"/>
          <w:sz w:val="24"/>
          <w:szCs w:val="24"/>
        </w:rPr>
        <w:t xml:space="preserve"> </w:t>
      </w:r>
    </w:p>
    <w:p w14:paraId="2121C501" w14:textId="55CBDF48" w:rsidR="00BC325B" w:rsidRPr="009C1CBC" w:rsidRDefault="00BC325B" w:rsidP="00645546">
      <w:pPr>
        <w:spacing w:before="40"/>
        <w:rPr>
          <w:rFonts w:ascii="Garamond" w:hAnsi="Garamond"/>
          <w:sz w:val="24"/>
          <w:szCs w:val="24"/>
        </w:rPr>
      </w:pPr>
      <w:r w:rsidRPr="009C1CBC">
        <w:rPr>
          <w:rFonts w:ascii="Garamond" w:hAnsi="Garamond"/>
          <w:sz w:val="24"/>
          <w:szCs w:val="24"/>
        </w:rPr>
        <w:t>Holland Hall Room 35</w:t>
      </w:r>
      <w:r w:rsidR="00C11B7C" w:rsidRPr="009C1CBC">
        <w:rPr>
          <w:rFonts w:ascii="Garamond" w:hAnsi="Garamond"/>
          <w:sz w:val="24"/>
          <w:szCs w:val="24"/>
        </w:rPr>
        <w:t>0</w:t>
      </w:r>
    </w:p>
    <w:p w14:paraId="278F7C39" w14:textId="77777777" w:rsidR="00BC325B" w:rsidRPr="009C1CBC" w:rsidRDefault="00BC325B" w:rsidP="00645546">
      <w:pPr>
        <w:spacing w:before="40"/>
        <w:rPr>
          <w:rFonts w:ascii="Garamond" w:hAnsi="Garamond"/>
          <w:sz w:val="24"/>
          <w:szCs w:val="24"/>
        </w:rPr>
      </w:pPr>
      <w:r w:rsidRPr="009C1CBC">
        <w:rPr>
          <w:rFonts w:ascii="Garamond" w:hAnsi="Garamond"/>
          <w:sz w:val="24"/>
          <w:szCs w:val="24"/>
        </w:rPr>
        <w:tab/>
      </w:r>
    </w:p>
    <w:p w14:paraId="469D6DC6" w14:textId="77777777" w:rsidR="00BC325B" w:rsidRPr="009C1CBC" w:rsidRDefault="00BC325B" w:rsidP="00BC325B">
      <w:pPr>
        <w:tabs>
          <w:tab w:val="num" w:pos="1008"/>
        </w:tabs>
        <w:jc w:val="both"/>
        <w:rPr>
          <w:rFonts w:ascii="Garamond" w:hAnsi="Garamond"/>
          <w:sz w:val="24"/>
          <w:szCs w:val="24"/>
        </w:rPr>
      </w:pPr>
      <w:r w:rsidRPr="009C1CBC">
        <w:rPr>
          <w:rFonts w:ascii="Garamond" w:hAnsi="Garamond"/>
          <w:sz w:val="24"/>
          <w:szCs w:val="24"/>
        </w:rPr>
        <w:t>Professor Page: Room 312D; page@law.ufl.edu; 273-0929</w:t>
      </w:r>
    </w:p>
    <w:p w14:paraId="20892152" w14:textId="4D562BF0" w:rsidR="00BC325B" w:rsidRPr="009C1CBC" w:rsidRDefault="00BC325B" w:rsidP="00BC325B">
      <w:pPr>
        <w:tabs>
          <w:tab w:val="num" w:pos="1008"/>
        </w:tabs>
        <w:spacing w:after="120"/>
        <w:jc w:val="both"/>
        <w:rPr>
          <w:rFonts w:ascii="Garamond" w:hAnsi="Garamond"/>
          <w:sz w:val="24"/>
          <w:szCs w:val="24"/>
        </w:rPr>
      </w:pPr>
      <w:r w:rsidRPr="009C1CBC">
        <w:rPr>
          <w:rFonts w:ascii="Garamond" w:hAnsi="Garamond"/>
          <w:sz w:val="24"/>
          <w:szCs w:val="24"/>
        </w:rPr>
        <w:t>Office hours: M</w:t>
      </w:r>
      <w:r w:rsidR="00EB267D" w:rsidRPr="009C1CBC">
        <w:rPr>
          <w:rFonts w:ascii="Garamond" w:hAnsi="Garamond"/>
          <w:sz w:val="24"/>
          <w:szCs w:val="24"/>
        </w:rPr>
        <w:t>W:</w:t>
      </w:r>
      <w:r w:rsidRPr="009C1CBC">
        <w:rPr>
          <w:rFonts w:ascii="Garamond" w:hAnsi="Garamond"/>
          <w:sz w:val="24"/>
          <w:szCs w:val="24"/>
        </w:rPr>
        <w:t xml:space="preserve"> </w:t>
      </w:r>
      <w:r w:rsidR="00EB267D" w:rsidRPr="009C1CBC">
        <w:rPr>
          <w:rFonts w:ascii="Garamond" w:hAnsi="Garamond"/>
          <w:sz w:val="24"/>
          <w:szCs w:val="24"/>
        </w:rPr>
        <w:t>1:00-</w:t>
      </w:r>
      <w:r w:rsidRPr="009C1CBC">
        <w:rPr>
          <w:rFonts w:ascii="Garamond" w:hAnsi="Garamond"/>
          <w:sz w:val="24"/>
          <w:szCs w:val="24"/>
        </w:rPr>
        <w:t>3:00</w:t>
      </w:r>
      <w:r w:rsidR="00EB267D" w:rsidRPr="009C1CBC">
        <w:rPr>
          <w:rFonts w:ascii="Garamond" w:hAnsi="Garamond"/>
          <w:sz w:val="24"/>
          <w:szCs w:val="24"/>
        </w:rPr>
        <w:t>; Th: just about any time, but email me.</w:t>
      </w:r>
    </w:p>
    <w:p w14:paraId="47CFF8D7" w14:textId="7BED74E1" w:rsidR="00F8359E" w:rsidRPr="009C1CBC" w:rsidRDefault="007F78E9" w:rsidP="00BC325B">
      <w:pPr>
        <w:tabs>
          <w:tab w:val="num" w:pos="1008"/>
        </w:tabs>
        <w:spacing w:after="120"/>
        <w:jc w:val="both"/>
        <w:rPr>
          <w:rFonts w:ascii="Garamond" w:hAnsi="Garamond"/>
          <w:sz w:val="24"/>
          <w:szCs w:val="24"/>
        </w:rPr>
      </w:pPr>
      <w:r w:rsidRPr="009C1CBC">
        <w:rPr>
          <w:rFonts w:ascii="Garamond" w:hAnsi="Garamond"/>
          <w:b/>
          <w:bCs/>
          <w:sz w:val="24"/>
          <w:szCs w:val="24"/>
        </w:rPr>
        <w:t>Course Description</w:t>
      </w:r>
      <w:r w:rsidR="00F8359E" w:rsidRPr="009C1CBC">
        <w:rPr>
          <w:rFonts w:ascii="Garamond" w:hAnsi="Garamond"/>
          <w:b/>
          <w:bCs/>
          <w:sz w:val="24"/>
          <w:szCs w:val="24"/>
        </w:rPr>
        <w:t>.</w:t>
      </w:r>
      <w:r w:rsidR="00F8359E" w:rsidRPr="009C1CBC">
        <w:rPr>
          <w:rFonts w:ascii="Garamond" w:hAnsi="Garamond"/>
          <w:sz w:val="24"/>
          <w:szCs w:val="24"/>
        </w:rPr>
        <w:t xml:space="preserve">  In this seminar, we’ll examine the </w:t>
      </w:r>
      <w:r w:rsidR="00EB267D" w:rsidRPr="009C1CBC">
        <w:rPr>
          <w:rFonts w:ascii="Garamond" w:hAnsi="Garamond"/>
          <w:sz w:val="24"/>
          <w:szCs w:val="24"/>
        </w:rPr>
        <w:t>theory and practice of</w:t>
      </w:r>
      <w:r w:rsidR="00F8359E" w:rsidRPr="009C1CBC">
        <w:rPr>
          <w:rFonts w:ascii="Garamond" w:hAnsi="Garamond"/>
          <w:sz w:val="24"/>
          <w:szCs w:val="24"/>
        </w:rPr>
        <w:t xml:space="preserve"> the </w:t>
      </w:r>
      <w:r w:rsidR="00F8359E" w:rsidRPr="009C1CBC">
        <w:rPr>
          <w:rFonts w:ascii="Garamond" w:hAnsi="Garamond"/>
          <w:b/>
          <w:sz w:val="24"/>
          <w:szCs w:val="24"/>
        </w:rPr>
        <w:t>class action</w:t>
      </w:r>
      <w:r w:rsidR="00F8359E" w:rsidRPr="009C1CBC">
        <w:rPr>
          <w:rFonts w:ascii="Garamond" w:hAnsi="Garamond"/>
          <w:sz w:val="24"/>
          <w:szCs w:val="24"/>
        </w:rPr>
        <w:t xml:space="preserve">, a unique procedural device designed to enable courts to redress </w:t>
      </w:r>
      <w:r w:rsidR="00581589" w:rsidRPr="009C1CBC">
        <w:rPr>
          <w:rFonts w:ascii="Garamond" w:hAnsi="Garamond"/>
          <w:sz w:val="24"/>
          <w:szCs w:val="24"/>
        </w:rPr>
        <w:t>widespread</w:t>
      </w:r>
      <w:r w:rsidR="00F8359E" w:rsidRPr="009C1CBC">
        <w:rPr>
          <w:rFonts w:ascii="Garamond" w:hAnsi="Garamond"/>
          <w:sz w:val="24"/>
          <w:szCs w:val="24"/>
        </w:rPr>
        <w:t xml:space="preserve"> harms. </w:t>
      </w:r>
      <w:r w:rsidR="00A64B78" w:rsidRPr="009C1CBC">
        <w:rPr>
          <w:rFonts w:ascii="Garamond" w:hAnsi="Garamond"/>
          <w:sz w:val="24"/>
          <w:szCs w:val="24"/>
        </w:rPr>
        <w:t>People and lawyers</w:t>
      </w:r>
      <w:r w:rsidR="00F8359E" w:rsidRPr="009C1CBC">
        <w:rPr>
          <w:rFonts w:ascii="Garamond" w:hAnsi="Garamond"/>
          <w:sz w:val="24"/>
          <w:szCs w:val="24"/>
        </w:rPr>
        <w:t xml:space="preserve"> </w:t>
      </w:r>
      <w:r w:rsidR="00AC0906" w:rsidRPr="009C1CBC">
        <w:rPr>
          <w:rFonts w:ascii="Garamond" w:hAnsi="Garamond"/>
          <w:sz w:val="24"/>
          <w:szCs w:val="24"/>
        </w:rPr>
        <w:t>bring</w:t>
      </w:r>
      <w:r w:rsidR="00F8359E" w:rsidRPr="009C1CBC">
        <w:rPr>
          <w:rFonts w:ascii="Garamond" w:hAnsi="Garamond"/>
          <w:sz w:val="24"/>
          <w:szCs w:val="24"/>
        </w:rPr>
        <w:t xml:space="preserve"> class actions to vindicate rights under securities, antitrust, tort, civil rights, environmental, employment, and consumer protection laws, among </w:t>
      </w:r>
      <w:r w:rsidR="00502188" w:rsidRPr="009C1CBC">
        <w:rPr>
          <w:rFonts w:ascii="Garamond" w:hAnsi="Garamond"/>
          <w:sz w:val="24"/>
          <w:szCs w:val="24"/>
        </w:rPr>
        <w:t xml:space="preserve">many </w:t>
      </w:r>
      <w:r w:rsidR="00F8359E" w:rsidRPr="009C1CBC">
        <w:rPr>
          <w:rFonts w:ascii="Garamond" w:hAnsi="Garamond"/>
          <w:sz w:val="24"/>
          <w:szCs w:val="24"/>
        </w:rPr>
        <w:t xml:space="preserve">others. Seminar discussions will necessarily address the procedural and jurisdictional requirements of the Federal Rule of Civil Procedure 23 and the Class Action Fairness Act of 2005. </w:t>
      </w:r>
      <w:r w:rsidR="00502188" w:rsidRPr="009C1CBC">
        <w:rPr>
          <w:rFonts w:ascii="Garamond" w:hAnsi="Garamond"/>
          <w:sz w:val="24"/>
          <w:szCs w:val="24"/>
        </w:rPr>
        <w:t>But we’ll</w:t>
      </w:r>
      <w:r w:rsidR="00F8359E" w:rsidRPr="009C1CBC">
        <w:rPr>
          <w:rFonts w:ascii="Garamond" w:hAnsi="Garamond"/>
          <w:sz w:val="24"/>
          <w:szCs w:val="24"/>
        </w:rPr>
        <w:t xml:space="preserve"> also be concerned, in class and in our research, with the many policy issues raised by class action litigation</w:t>
      </w:r>
      <w:r w:rsidR="00142685" w:rsidRPr="009C1CBC">
        <w:rPr>
          <w:rFonts w:ascii="Garamond" w:hAnsi="Garamond"/>
          <w:sz w:val="24"/>
          <w:szCs w:val="24"/>
        </w:rPr>
        <w:t xml:space="preserve">, especially whether it’s serving its function of providing redress </w:t>
      </w:r>
      <w:r w:rsidR="00EB267D" w:rsidRPr="009C1CBC">
        <w:rPr>
          <w:rFonts w:ascii="Garamond" w:hAnsi="Garamond"/>
          <w:sz w:val="24"/>
          <w:szCs w:val="24"/>
        </w:rPr>
        <w:t xml:space="preserve">to class members </w:t>
      </w:r>
      <w:r w:rsidR="00142685" w:rsidRPr="009C1CBC">
        <w:rPr>
          <w:rFonts w:ascii="Garamond" w:hAnsi="Garamond"/>
          <w:sz w:val="24"/>
          <w:szCs w:val="24"/>
        </w:rPr>
        <w:t>in appropriate cases</w:t>
      </w:r>
      <w:r w:rsidR="00F8359E" w:rsidRPr="009C1CBC">
        <w:rPr>
          <w:rFonts w:ascii="Garamond" w:hAnsi="Garamond"/>
          <w:sz w:val="24"/>
          <w:szCs w:val="24"/>
        </w:rPr>
        <w:t xml:space="preserve">.  </w:t>
      </w:r>
    </w:p>
    <w:p w14:paraId="108A36D6" w14:textId="080EA135" w:rsidR="00D47E86" w:rsidRPr="009C1CBC" w:rsidRDefault="00D47E86" w:rsidP="00BC325B">
      <w:pPr>
        <w:tabs>
          <w:tab w:val="num" w:pos="1008"/>
        </w:tabs>
        <w:spacing w:after="120"/>
        <w:jc w:val="both"/>
        <w:rPr>
          <w:rFonts w:ascii="Garamond" w:hAnsi="Garamond"/>
          <w:sz w:val="24"/>
          <w:szCs w:val="24"/>
        </w:rPr>
      </w:pPr>
      <w:r w:rsidRPr="009C1CBC">
        <w:rPr>
          <w:rFonts w:ascii="Garamond" w:hAnsi="Garamond"/>
          <w:b/>
          <w:bCs/>
          <w:sz w:val="24"/>
          <w:szCs w:val="24"/>
        </w:rPr>
        <w:t xml:space="preserve">Outside speakers.  </w:t>
      </w:r>
      <w:r w:rsidRPr="009C1CBC">
        <w:rPr>
          <w:rFonts w:ascii="Garamond" w:hAnsi="Garamond"/>
          <w:bCs/>
          <w:sz w:val="24"/>
          <w:szCs w:val="24"/>
        </w:rPr>
        <w:t>Experienced class action practi</w:t>
      </w:r>
      <w:r w:rsidR="00C11B7C" w:rsidRPr="009C1CBC">
        <w:rPr>
          <w:rFonts w:ascii="Garamond" w:hAnsi="Garamond"/>
          <w:bCs/>
          <w:sz w:val="24"/>
          <w:szCs w:val="24"/>
        </w:rPr>
        <w:t>ti</w:t>
      </w:r>
      <w:r w:rsidRPr="009C1CBC">
        <w:rPr>
          <w:rFonts w:ascii="Garamond" w:hAnsi="Garamond"/>
          <w:bCs/>
          <w:sz w:val="24"/>
          <w:szCs w:val="24"/>
        </w:rPr>
        <w:t>oners</w:t>
      </w:r>
      <w:bookmarkStart w:id="0" w:name="_GoBack"/>
      <w:bookmarkEnd w:id="0"/>
      <w:r w:rsidRPr="009C1CBC">
        <w:rPr>
          <w:rFonts w:ascii="Garamond" w:hAnsi="Garamond"/>
          <w:bCs/>
          <w:sz w:val="24"/>
          <w:szCs w:val="24"/>
        </w:rPr>
        <w:t xml:space="preserve"> will speak in </w:t>
      </w:r>
      <w:r w:rsidR="00B26F4E" w:rsidRPr="009C1CBC">
        <w:rPr>
          <w:rFonts w:ascii="Garamond" w:hAnsi="Garamond"/>
          <w:bCs/>
          <w:sz w:val="24"/>
          <w:szCs w:val="24"/>
        </w:rPr>
        <w:t xml:space="preserve">our </w:t>
      </w:r>
      <w:r w:rsidRPr="009C1CBC">
        <w:rPr>
          <w:rFonts w:ascii="Garamond" w:hAnsi="Garamond"/>
          <w:bCs/>
          <w:sz w:val="24"/>
          <w:szCs w:val="24"/>
        </w:rPr>
        <w:t>sessions</w:t>
      </w:r>
      <w:r w:rsidR="00B26F4E" w:rsidRPr="009C1CBC">
        <w:rPr>
          <w:rFonts w:ascii="Garamond" w:hAnsi="Garamond"/>
          <w:bCs/>
          <w:sz w:val="24"/>
          <w:szCs w:val="24"/>
        </w:rPr>
        <w:t xml:space="preserve"> </w:t>
      </w:r>
      <w:r w:rsidR="00142685" w:rsidRPr="009C1CBC">
        <w:rPr>
          <w:rFonts w:ascii="Garamond" w:hAnsi="Garamond"/>
          <w:bCs/>
          <w:sz w:val="24"/>
          <w:szCs w:val="24"/>
        </w:rPr>
        <w:t xml:space="preserve">on </w:t>
      </w:r>
      <w:r w:rsidR="00B26F4E" w:rsidRPr="009C1CBC">
        <w:rPr>
          <w:rFonts w:ascii="Garamond" w:hAnsi="Garamond"/>
          <w:bCs/>
          <w:sz w:val="24"/>
          <w:szCs w:val="24"/>
        </w:rPr>
        <w:t>Discovery, Summary Judgment, Economic Expert Testimony, Class Certification, Settlement, and Arbitration.</w:t>
      </w:r>
      <w:r w:rsidRPr="009C1CBC">
        <w:rPr>
          <w:rFonts w:ascii="Garamond" w:hAnsi="Garamond"/>
          <w:bCs/>
          <w:sz w:val="24"/>
          <w:szCs w:val="24"/>
        </w:rPr>
        <w:t xml:space="preserve"> </w:t>
      </w:r>
    </w:p>
    <w:p w14:paraId="21666458" w14:textId="77777777" w:rsidR="007F78E9" w:rsidRPr="009C1CBC" w:rsidRDefault="007F78E9" w:rsidP="00BC325B">
      <w:pPr>
        <w:tabs>
          <w:tab w:val="num" w:pos="1008"/>
        </w:tabs>
        <w:spacing w:after="120"/>
        <w:jc w:val="both"/>
        <w:rPr>
          <w:rFonts w:ascii="Garamond" w:hAnsi="Garamond"/>
          <w:sz w:val="24"/>
          <w:szCs w:val="24"/>
        </w:rPr>
      </w:pPr>
      <w:r w:rsidRPr="009C1CBC">
        <w:rPr>
          <w:rFonts w:ascii="Garamond" w:hAnsi="Garamond"/>
          <w:b/>
          <w:bCs/>
          <w:sz w:val="24"/>
          <w:szCs w:val="24"/>
        </w:rPr>
        <w:t xml:space="preserve">Purpose and </w:t>
      </w:r>
      <w:r w:rsidR="001508F7" w:rsidRPr="009C1CBC">
        <w:rPr>
          <w:rFonts w:ascii="Garamond" w:hAnsi="Garamond"/>
          <w:b/>
          <w:bCs/>
          <w:sz w:val="24"/>
          <w:szCs w:val="24"/>
        </w:rPr>
        <w:t xml:space="preserve">Learning </w:t>
      </w:r>
      <w:r w:rsidRPr="009C1CBC">
        <w:rPr>
          <w:rFonts w:ascii="Garamond" w:hAnsi="Garamond"/>
          <w:b/>
          <w:bCs/>
          <w:sz w:val="24"/>
          <w:szCs w:val="24"/>
        </w:rPr>
        <w:t>Objectives of the Course.</w:t>
      </w:r>
      <w:r w:rsidRPr="009C1CBC">
        <w:rPr>
          <w:rFonts w:ascii="Garamond" w:hAnsi="Garamond"/>
          <w:sz w:val="24"/>
          <w:szCs w:val="24"/>
        </w:rPr>
        <w:t xml:space="preserve">  By the end of the course, students will </w:t>
      </w:r>
      <w:r w:rsidR="00EE0D30" w:rsidRPr="009C1CBC">
        <w:rPr>
          <w:rFonts w:ascii="Garamond" w:hAnsi="Garamond"/>
          <w:sz w:val="24"/>
          <w:szCs w:val="24"/>
        </w:rPr>
        <w:t xml:space="preserve">be able to describe and apply the </w:t>
      </w:r>
      <w:r w:rsidR="001508F7" w:rsidRPr="009C1CBC">
        <w:rPr>
          <w:rFonts w:ascii="Garamond" w:hAnsi="Garamond"/>
          <w:sz w:val="24"/>
          <w:szCs w:val="24"/>
        </w:rPr>
        <w:t>important procedural standards and practical considerations</w:t>
      </w:r>
      <w:r w:rsidR="00EE0D30" w:rsidRPr="009C1CBC">
        <w:rPr>
          <w:rFonts w:ascii="Garamond" w:hAnsi="Garamond"/>
          <w:sz w:val="24"/>
          <w:szCs w:val="24"/>
        </w:rPr>
        <w:t xml:space="preserve"> that govern class actions and class action practice.</w:t>
      </w:r>
      <w:r w:rsidR="001508F7" w:rsidRPr="009C1CBC">
        <w:rPr>
          <w:rFonts w:ascii="Garamond" w:hAnsi="Garamond"/>
          <w:sz w:val="24"/>
          <w:szCs w:val="24"/>
        </w:rPr>
        <w:t xml:space="preserve">  The topics you’ll learn are more fully described in the syllabus below.  </w:t>
      </w:r>
    </w:p>
    <w:p w14:paraId="70244B13" w14:textId="6D58B4EF" w:rsidR="007F78E9" w:rsidRPr="009C1CBC" w:rsidRDefault="007F78E9" w:rsidP="00BC325B">
      <w:pPr>
        <w:tabs>
          <w:tab w:val="num" w:pos="1008"/>
        </w:tabs>
        <w:spacing w:after="120"/>
        <w:jc w:val="both"/>
        <w:rPr>
          <w:rFonts w:ascii="Garamond" w:hAnsi="Garamond"/>
          <w:sz w:val="24"/>
          <w:szCs w:val="24"/>
        </w:rPr>
      </w:pPr>
      <w:r w:rsidRPr="009C1CBC">
        <w:rPr>
          <w:rFonts w:ascii="Garamond" w:hAnsi="Garamond"/>
          <w:b/>
          <w:bCs/>
          <w:sz w:val="24"/>
          <w:szCs w:val="24"/>
        </w:rPr>
        <w:t>Required Knowledge.</w:t>
      </w:r>
      <w:r w:rsidRPr="009C1CBC">
        <w:rPr>
          <w:rFonts w:ascii="Garamond" w:hAnsi="Garamond"/>
          <w:bCs/>
          <w:sz w:val="24"/>
          <w:szCs w:val="24"/>
        </w:rPr>
        <w:t xml:space="preserve"> 1L Civil Procedure</w:t>
      </w:r>
      <w:r w:rsidR="00502188" w:rsidRPr="009C1CBC">
        <w:rPr>
          <w:rFonts w:ascii="Garamond" w:hAnsi="Garamond"/>
          <w:bCs/>
          <w:sz w:val="24"/>
          <w:szCs w:val="24"/>
        </w:rPr>
        <w:t>. It doesn’t matter</w:t>
      </w:r>
      <w:r w:rsidRPr="009C1CBC">
        <w:rPr>
          <w:rFonts w:ascii="Garamond" w:hAnsi="Garamond"/>
          <w:bCs/>
          <w:sz w:val="24"/>
          <w:szCs w:val="24"/>
        </w:rPr>
        <w:t xml:space="preserve"> if you did</w:t>
      </w:r>
      <w:r w:rsidR="00502188" w:rsidRPr="009C1CBC">
        <w:rPr>
          <w:rFonts w:ascii="Garamond" w:hAnsi="Garamond"/>
          <w:bCs/>
          <w:sz w:val="24"/>
          <w:szCs w:val="24"/>
        </w:rPr>
        <w:t>n’</w:t>
      </w:r>
      <w:r w:rsidRPr="009C1CBC">
        <w:rPr>
          <w:rFonts w:ascii="Garamond" w:hAnsi="Garamond"/>
          <w:bCs/>
          <w:sz w:val="24"/>
          <w:szCs w:val="24"/>
        </w:rPr>
        <w:t>t cover class actions.</w:t>
      </w:r>
    </w:p>
    <w:p w14:paraId="13519EBD" w14:textId="253DAC77" w:rsidR="00F8359E" w:rsidRPr="009C1CBC" w:rsidRDefault="00F8359E" w:rsidP="00BC325B">
      <w:pPr>
        <w:spacing w:after="120"/>
        <w:jc w:val="both"/>
        <w:rPr>
          <w:rFonts w:ascii="Garamond" w:hAnsi="Garamond"/>
          <w:sz w:val="24"/>
          <w:szCs w:val="24"/>
        </w:rPr>
      </w:pPr>
      <w:r w:rsidRPr="009C1CBC">
        <w:rPr>
          <w:rFonts w:ascii="Garamond" w:hAnsi="Garamond"/>
          <w:b/>
          <w:sz w:val="24"/>
          <w:szCs w:val="24"/>
        </w:rPr>
        <w:t xml:space="preserve">Assigned Texts. </w:t>
      </w:r>
      <w:r w:rsidRPr="009C1CBC">
        <w:rPr>
          <w:rFonts w:ascii="Garamond" w:hAnsi="Garamond"/>
          <w:sz w:val="24"/>
          <w:szCs w:val="24"/>
        </w:rPr>
        <w:t xml:space="preserve"> The assignments are to </w:t>
      </w:r>
      <w:r w:rsidRPr="009C1CBC">
        <w:rPr>
          <w:rFonts w:ascii="Garamond" w:hAnsi="Garamond"/>
          <w:smallCaps/>
          <w:sz w:val="24"/>
          <w:szCs w:val="24"/>
        </w:rPr>
        <w:t xml:space="preserve">Robert H. Klonoff, Class Actions and Other Multi-Party Litigation </w:t>
      </w:r>
      <w:r w:rsidRPr="009C1CBC">
        <w:rPr>
          <w:rFonts w:ascii="Garamond" w:hAnsi="Garamond"/>
          <w:sz w:val="24"/>
          <w:szCs w:val="24"/>
        </w:rPr>
        <w:t>(</w:t>
      </w:r>
      <w:r w:rsidR="00F40EAB" w:rsidRPr="009C1CBC">
        <w:rPr>
          <w:rFonts w:ascii="Garamond" w:hAnsi="Garamond"/>
          <w:sz w:val="24"/>
          <w:szCs w:val="24"/>
        </w:rPr>
        <w:t>8</w:t>
      </w:r>
      <w:r w:rsidRPr="009C1CBC">
        <w:rPr>
          <w:rFonts w:ascii="Garamond" w:hAnsi="Garamond"/>
          <w:sz w:val="24"/>
          <w:szCs w:val="24"/>
        </w:rPr>
        <w:t xml:space="preserve">th ed. 2017). </w:t>
      </w:r>
      <w:r w:rsidR="00406548" w:rsidRPr="009C1CBC">
        <w:rPr>
          <w:rFonts w:ascii="Garamond" w:hAnsi="Garamond"/>
          <w:sz w:val="24"/>
          <w:szCs w:val="24"/>
        </w:rPr>
        <w:t xml:space="preserve"> </w:t>
      </w:r>
      <w:r w:rsidRPr="009C1CBC">
        <w:rPr>
          <w:rFonts w:ascii="Garamond" w:hAnsi="Garamond"/>
          <w:sz w:val="24"/>
          <w:szCs w:val="24"/>
        </w:rPr>
        <w:t xml:space="preserve">The casebook contains the relevant statutes and Federal Rules of Civil Procedure, but you’ll probably want to refer to a rules book, like the supplement from your civil procedure class.  I’ve also included a .pdf version of the Rules on the </w:t>
      </w:r>
      <w:r w:rsidR="00A6339C" w:rsidRPr="009C1CBC">
        <w:rPr>
          <w:rFonts w:ascii="Garamond" w:hAnsi="Garamond"/>
          <w:sz w:val="24"/>
          <w:szCs w:val="24"/>
        </w:rPr>
        <w:t>TWEN</w:t>
      </w:r>
      <w:r w:rsidRPr="009C1CBC">
        <w:rPr>
          <w:rFonts w:ascii="Garamond" w:hAnsi="Garamond"/>
          <w:sz w:val="24"/>
          <w:szCs w:val="24"/>
        </w:rPr>
        <w:t xml:space="preserve"> site, and link in the web links section of the site to a </w:t>
      </w:r>
      <w:r w:rsidR="00A6339C" w:rsidRPr="009C1CBC">
        <w:rPr>
          <w:rFonts w:ascii="Garamond" w:hAnsi="Garamond"/>
          <w:sz w:val="24"/>
          <w:szCs w:val="24"/>
        </w:rPr>
        <w:t xml:space="preserve">very useful </w:t>
      </w:r>
      <w:r w:rsidRPr="009C1CBC">
        <w:rPr>
          <w:rFonts w:ascii="Garamond" w:hAnsi="Garamond"/>
          <w:sz w:val="24"/>
          <w:szCs w:val="24"/>
        </w:rPr>
        <w:t>web version of the Rules maintained by Cornell law school.</w:t>
      </w:r>
    </w:p>
    <w:p w14:paraId="3D4375F4" w14:textId="7B4E8E60" w:rsidR="00F8359E" w:rsidRPr="009C1CBC" w:rsidRDefault="00F8359E" w:rsidP="00BC325B">
      <w:pPr>
        <w:spacing w:after="120"/>
        <w:jc w:val="both"/>
        <w:rPr>
          <w:rFonts w:ascii="Garamond" w:hAnsi="Garamond"/>
          <w:sz w:val="24"/>
          <w:szCs w:val="24"/>
        </w:rPr>
      </w:pPr>
      <w:r w:rsidRPr="009C1CBC">
        <w:rPr>
          <w:rFonts w:ascii="Garamond" w:hAnsi="Garamond"/>
          <w:b/>
          <w:bCs/>
          <w:sz w:val="24"/>
          <w:szCs w:val="24"/>
        </w:rPr>
        <w:t>Outside Reading.</w:t>
      </w:r>
      <w:r w:rsidRPr="009C1CBC">
        <w:rPr>
          <w:rFonts w:ascii="Garamond" w:hAnsi="Garamond"/>
          <w:sz w:val="24"/>
          <w:szCs w:val="24"/>
        </w:rPr>
        <w:t xml:space="preserve">  The best quick overview is </w:t>
      </w:r>
      <w:bookmarkStart w:id="1" w:name="_Hlk25242746"/>
      <w:r w:rsidRPr="009C1CBC">
        <w:rPr>
          <w:rFonts w:ascii="Garamond" w:hAnsi="Garamond"/>
          <w:smallCaps/>
          <w:sz w:val="24"/>
          <w:szCs w:val="24"/>
        </w:rPr>
        <w:t>Robert H. Klonoff, Class Actions and Other Multiparty Litigation in a Nutshell (</w:t>
      </w:r>
      <w:r w:rsidR="00F40EAB" w:rsidRPr="009C1CBC">
        <w:rPr>
          <w:rFonts w:ascii="Garamond" w:hAnsi="Garamond"/>
          <w:smallCaps/>
          <w:sz w:val="24"/>
          <w:szCs w:val="24"/>
        </w:rPr>
        <w:t>5th</w:t>
      </w:r>
      <w:r w:rsidRPr="009C1CBC">
        <w:rPr>
          <w:rFonts w:ascii="Garamond" w:hAnsi="Garamond"/>
          <w:smallCaps/>
          <w:sz w:val="24"/>
          <w:szCs w:val="24"/>
        </w:rPr>
        <w:t xml:space="preserve"> ed. 201</w:t>
      </w:r>
      <w:r w:rsidR="00F40EAB" w:rsidRPr="009C1CBC">
        <w:rPr>
          <w:rFonts w:ascii="Garamond" w:hAnsi="Garamond"/>
          <w:smallCaps/>
          <w:sz w:val="24"/>
          <w:szCs w:val="24"/>
        </w:rPr>
        <w:t>7</w:t>
      </w:r>
      <w:r w:rsidRPr="009C1CBC">
        <w:rPr>
          <w:rFonts w:ascii="Garamond" w:hAnsi="Garamond"/>
          <w:smallCaps/>
          <w:sz w:val="24"/>
          <w:szCs w:val="24"/>
        </w:rPr>
        <w:t>)</w:t>
      </w:r>
      <w:r w:rsidRPr="009C1CBC">
        <w:rPr>
          <w:rFonts w:ascii="Garamond" w:hAnsi="Garamond"/>
          <w:sz w:val="24"/>
          <w:szCs w:val="24"/>
        </w:rPr>
        <w:t xml:space="preserve">.  </w:t>
      </w:r>
      <w:bookmarkEnd w:id="1"/>
    </w:p>
    <w:p w14:paraId="6010DB72" w14:textId="77777777" w:rsidR="00F8359E" w:rsidRPr="009C1CBC" w:rsidRDefault="00CD61E2" w:rsidP="00BC325B">
      <w:pPr>
        <w:spacing w:after="120"/>
        <w:jc w:val="both"/>
        <w:rPr>
          <w:rFonts w:ascii="Garamond" w:hAnsi="Garamond"/>
          <w:sz w:val="24"/>
          <w:szCs w:val="24"/>
        </w:rPr>
      </w:pPr>
      <w:r w:rsidRPr="009C1CBC">
        <w:rPr>
          <w:rFonts w:ascii="Garamond" w:hAnsi="Garamond"/>
          <w:sz w:val="24"/>
          <w:szCs w:val="24"/>
        </w:rPr>
        <w:t>I</w:t>
      </w:r>
      <w:r w:rsidR="00F8359E" w:rsidRPr="009C1CBC">
        <w:rPr>
          <w:rFonts w:ascii="Garamond" w:hAnsi="Garamond"/>
          <w:sz w:val="24"/>
          <w:szCs w:val="24"/>
        </w:rPr>
        <w:t>mportant resource</w:t>
      </w:r>
      <w:r w:rsidRPr="009C1CBC">
        <w:rPr>
          <w:rFonts w:ascii="Garamond" w:hAnsi="Garamond"/>
          <w:sz w:val="24"/>
          <w:szCs w:val="24"/>
        </w:rPr>
        <w:t>s</w:t>
      </w:r>
      <w:r w:rsidR="00F8359E" w:rsidRPr="009C1CBC">
        <w:rPr>
          <w:rFonts w:ascii="Garamond" w:hAnsi="Garamond"/>
          <w:sz w:val="24"/>
          <w:szCs w:val="24"/>
        </w:rPr>
        <w:t xml:space="preserve"> for practical issues </w:t>
      </w:r>
      <w:r w:rsidRPr="009C1CBC">
        <w:rPr>
          <w:rFonts w:ascii="Garamond" w:hAnsi="Garamond"/>
          <w:sz w:val="24"/>
          <w:szCs w:val="24"/>
        </w:rPr>
        <w:t>are the</w:t>
      </w:r>
      <w:r w:rsidR="00F8359E" w:rsidRPr="009C1CBC">
        <w:rPr>
          <w:rFonts w:ascii="Garamond" w:hAnsi="Garamond"/>
          <w:sz w:val="24"/>
          <w:szCs w:val="24"/>
        </w:rPr>
        <w:t xml:space="preserve"> </w:t>
      </w:r>
      <w:r w:rsidR="00F8359E" w:rsidRPr="009C1CBC">
        <w:rPr>
          <w:rFonts w:ascii="Garamond" w:hAnsi="Garamond"/>
          <w:smallCaps/>
          <w:sz w:val="24"/>
          <w:szCs w:val="24"/>
        </w:rPr>
        <w:t>Manual for Complex Litigation (Fourth)</w:t>
      </w:r>
      <w:r w:rsidR="00F8359E" w:rsidRPr="009C1CBC">
        <w:rPr>
          <w:rFonts w:ascii="Garamond" w:hAnsi="Garamond"/>
          <w:sz w:val="24"/>
          <w:szCs w:val="24"/>
        </w:rPr>
        <w:t xml:space="preserve"> (2004)</w:t>
      </w:r>
      <w:r w:rsidRPr="009C1CBC">
        <w:rPr>
          <w:rFonts w:ascii="Garamond" w:hAnsi="Garamond"/>
          <w:sz w:val="24"/>
          <w:szCs w:val="24"/>
        </w:rPr>
        <w:t xml:space="preserve"> and</w:t>
      </w:r>
      <w:r w:rsidRPr="009C1CBC">
        <w:rPr>
          <w:rFonts w:ascii="Garamond" w:hAnsi="Garamond"/>
          <w:i/>
          <w:sz w:val="24"/>
          <w:szCs w:val="24"/>
        </w:rPr>
        <w:t xml:space="preserve"> Managing Class Action Litigation: A Pocket Guide for Judges</w:t>
      </w:r>
      <w:r w:rsidR="00F8359E" w:rsidRPr="009C1CBC">
        <w:rPr>
          <w:rFonts w:ascii="Garamond" w:hAnsi="Garamond"/>
          <w:sz w:val="24"/>
          <w:szCs w:val="24"/>
        </w:rPr>
        <w:t xml:space="preserve">, </w:t>
      </w:r>
      <w:r w:rsidRPr="009C1CBC">
        <w:rPr>
          <w:rFonts w:ascii="Garamond" w:hAnsi="Garamond"/>
          <w:sz w:val="24"/>
          <w:szCs w:val="24"/>
        </w:rPr>
        <w:t xml:space="preserve">both </w:t>
      </w:r>
      <w:r w:rsidR="00F8359E" w:rsidRPr="009C1CBC">
        <w:rPr>
          <w:rFonts w:ascii="Garamond" w:hAnsi="Garamond"/>
          <w:sz w:val="24"/>
          <w:szCs w:val="24"/>
        </w:rPr>
        <w:t xml:space="preserve">published by the Federal Judicial Center.  </w:t>
      </w:r>
      <w:r w:rsidRPr="009C1CBC">
        <w:rPr>
          <w:rFonts w:ascii="Garamond" w:hAnsi="Garamond"/>
          <w:sz w:val="24"/>
          <w:szCs w:val="24"/>
        </w:rPr>
        <w:t>P</w:t>
      </w:r>
      <w:r w:rsidR="00F8359E" w:rsidRPr="009C1CBC">
        <w:rPr>
          <w:rFonts w:ascii="Garamond" w:hAnsi="Garamond"/>
          <w:sz w:val="24"/>
          <w:szCs w:val="24"/>
        </w:rPr>
        <w:t>df version</w:t>
      </w:r>
      <w:r w:rsidRPr="009C1CBC">
        <w:rPr>
          <w:rFonts w:ascii="Garamond" w:hAnsi="Garamond"/>
          <w:sz w:val="24"/>
          <w:szCs w:val="24"/>
        </w:rPr>
        <w:t>s</w:t>
      </w:r>
      <w:r w:rsidR="00F8359E" w:rsidRPr="009C1CBC">
        <w:rPr>
          <w:rFonts w:ascii="Garamond" w:hAnsi="Garamond"/>
          <w:sz w:val="24"/>
          <w:szCs w:val="24"/>
        </w:rPr>
        <w:t xml:space="preserve"> of </w:t>
      </w:r>
      <w:r w:rsidRPr="009C1CBC">
        <w:rPr>
          <w:rFonts w:ascii="Garamond" w:hAnsi="Garamond"/>
          <w:sz w:val="24"/>
          <w:szCs w:val="24"/>
        </w:rPr>
        <w:t>both</w:t>
      </w:r>
      <w:r w:rsidR="00F8359E" w:rsidRPr="009C1CBC">
        <w:rPr>
          <w:rFonts w:ascii="Garamond" w:hAnsi="Garamond"/>
          <w:sz w:val="24"/>
          <w:szCs w:val="24"/>
        </w:rPr>
        <w:t xml:space="preserve"> </w:t>
      </w:r>
      <w:r w:rsidRPr="009C1CBC">
        <w:rPr>
          <w:rFonts w:ascii="Garamond" w:hAnsi="Garamond"/>
          <w:sz w:val="24"/>
          <w:szCs w:val="24"/>
        </w:rPr>
        <w:t>in the “Course Materials” section</w:t>
      </w:r>
      <w:r w:rsidR="00F8359E" w:rsidRPr="009C1CBC">
        <w:rPr>
          <w:rFonts w:ascii="Garamond" w:hAnsi="Garamond"/>
          <w:sz w:val="24"/>
          <w:szCs w:val="24"/>
        </w:rPr>
        <w:t xml:space="preserve"> </w:t>
      </w:r>
      <w:r w:rsidRPr="009C1CBC">
        <w:rPr>
          <w:rFonts w:ascii="Garamond" w:hAnsi="Garamond"/>
          <w:sz w:val="24"/>
          <w:szCs w:val="24"/>
        </w:rPr>
        <w:t xml:space="preserve">of the TWEN </w:t>
      </w:r>
      <w:r w:rsidR="00F8359E" w:rsidRPr="009C1CBC">
        <w:rPr>
          <w:rFonts w:ascii="Garamond" w:hAnsi="Garamond"/>
          <w:sz w:val="24"/>
          <w:szCs w:val="24"/>
        </w:rPr>
        <w:t xml:space="preserve">site.  </w:t>
      </w:r>
    </w:p>
    <w:p w14:paraId="01BF7B09" w14:textId="77777777" w:rsidR="00F8359E" w:rsidRPr="009C1CBC" w:rsidRDefault="00F8359E" w:rsidP="00BC325B">
      <w:pPr>
        <w:spacing w:after="120"/>
        <w:ind w:left="360"/>
        <w:jc w:val="both"/>
        <w:rPr>
          <w:rFonts w:ascii="Garamond" w:hAnsi="Garamond"/>
          <w:sz w:val="24"/>
          <w:szCs w:val="24"/>
        </w:rPr>
      </w:pPr>
      <w:r w:rsidRPr="009C1CBC">
        <w:rPr>
          <w:rFonts w:ascii="Garamond" w:hAnsi="Garamond"/>
          <w:b/>
          <w:bCs/>
          <w:sz w:val="24"/>
          <w:szCs w:val="24"/>
        </w:rPr>
        <w:t>Other books:</w:t>
      </w:r>
    </w:p>
    <w:p w14:paraId="29DFBAD9" w14:textId="77777777" w:rsidR="00F8359E" w:rsidRPr="009C1CBC" w:rsidRDefault="00F8359E" w:rsidP="004F2D26">
      <w:pPr>
        <w:spacing w:before="80"/>
        <w:ind w:left="360"/>
        <w:jc w:val="both"/>
        <w:rPr>
          <w:rFonts w:ascii="Garamond" w:hAnsi="Garamond"/>
          <w:smallCaps/>
          <w:sz w:val="24"/>
          <w:szCs w:val="24"/>
        </w:rPr>
      </w:pPr>
      <w:r w:rsidRPr="009C1CBC">
        <w:rPr>
          <w:rFonts w:ascii="Garamond" w:hAnsi="Garamond"/>
          <w:smallCaps/>
          <w:sz w:val="24"/>
          <w:szCs w:val="24"/>
        </w:rPr>
        <w:t>Martin H. Redish, Wholesale Justice:  Constitutional Democracy and the Problem of the Class Action Lawsuit (2007) [</w:t>
      </w:r>
      <w:r w:rsidRPr="009C1CBC">
        <w:rPr>
          <w:rFonts w:ascii="Garamond" w:hAnsi="Garamond"/>
          <w:sz w:val="24"/>
          <w:szCs w:val="24"/>
        </w:rPr>
        <w:t>argument that the modern class action is unconstitutional</w:t>
      </w:r>
      <w:r w:rsidRPr="009C1CBC">
        <w:rPr>
          <w:rFonts w:ascii="Garamond" w:hAnsi="Garamond"/>
          <w:smallCaps/>
          <w:sz w:val="24"/>
          <w:szCs w:val="24"/>
        </w:rPr>
        <w:t>]</w:t>
      </w:r>
    </w:p>
    <w:p w14:paraId="070FE19E" w14:textId="77777777" w:rsidR="00F8359E" w:rsidRPr="009C1CBC" w:rsidRDefault="00F8359E" w:rsidP="004F2D26">
      <w:pPr>
        <w:spacing w:before="80"/>
        <w:ind w:left="360"/>
        <w:jc w:val="both"/>
        <w:rPr>
          <w:rFonts w:ascii="Garamond" w:hAnsi="Garamond"/>
          <w:smallCaps/>
          <w:sz w:val="24"/>
          <w:szCs w:val="24"/>
        </w:rPr>
      </w:pPr>
      <w:r w:rsidRPr="009C1CBC">
        <w:rPr>
          <w:rFonts w:ascii="Garamond" w:hAnsi="Garamond"/>
          <w:smallCaps/>
          <w:sz w:val="24"/>
          <w:szCs w:val="24"/>
        </w:rPr>
        <w:t>Deborah R. Hensler, et al., Class Action Dilemmas:  Pursuing Public Goals for Private Gain (2000)</w:t>
      </w:r>
    </w:p>
    <w:p w14:paraId="074F1928" w14:textId="4E7540FA" w:rsidR="00F8359E" w:rsidRPr="009C1CBC" w:rsidRDefault="00EB267D" w:rsidP="004F2D26">
      <w:pPr>
        <w:spacing w:before="80"/>
        <w:ind w:left="360"/>
        <w:jc w:val="both"/>
        <w:rPr>
          <w:rFonts w:ascii="Garamond" w:hAnsi="Garamond"/>
          <w:smallCaps/>
          <w:sz w:val="24"/>
          <w:szCs w:val="24"/>
        </w:rPr>
      </w:pPr>
      <w:r w:rsidRPr="009C1CBC">
        <w:rPr>
          <w:rFonts w:ascii="Garamond" w:hAnsi="Garamond"/>
          <w:smallCaps/>
          <w:sz w:val="24"/>
          <w:szCs w:val="24"/>
        </w:rPr>
        <w:t>Bryan T. Fitzpatrick, The Conservative Case for Class Actions (2019)</w:t>
      </w:r>
    </w:p>
    <w:p w14:paraId="0084D433" w14:textId="77777777" w:rsidR="00F8359E" w:rsidRPr="009C1CBC" w:rsidRDefault="00F8359E" w:rsidP="004F2D26">
      <w:pPr>
        <w:spacing w:before="80"/>
        <w:ind w:left="360"/>
        <w:jc w:val="both"/>
        <w:rPr>
          <w:rFonts w:ascii="Garamond" w:hAnsi="Garamond"/>
          <w:smallCaps/>
          <w:sz w:val="24"/>
          <w:szCs w:val="24"/>
        </w:rPr>
      </w:pPr>
      <w:r w:rsidRPr="009C1CBC">
        <w:rPr>
          <w:rFonts w:ascii="Garamond" w:hAnsi="Garamond"/>
          <w:smallCaps/>
          <w:sz w:val="24"/>
          <w:szCs w:val="24"/>
        </w:rPr>
        <w:t>Jane Schapira, Inside a Class Action:  The Holocaust and the Swiss Banks (2003)</w:t>
      </w:r>
    </w:p>
    <w:p w14:paraId="02CD52A4" w14:textId="77777777" w:rsidR="00F8359E" w:rsidRPr="009C1CBC" w:rsidRDefault="00F8359E" w:rsidP="004F2D26">
      <w:pPr>
        <w:spacing w:before="80"/>
        <w:ind w:left="360"/>
        <w:jc w:val="both"/>
        <w:rPr>
          <w:rFonts w:ascii="Garamond" w:hAnsi="Garamond"/>
          <w:b/>
          <w:sz w:val="24"/>
          <w:szCs w:val="24"/>
        </w:rPr>
      </w:pPr>
      <w:r w:rsidRPr="009C1CBC">
        <w:rPr>
          <w:rFonts w:ascii="Garamond" w:hAnsi="Garamond"/>
          <w:b/>
          <w:sz w:val="24"/>
          <w:szCs w:val="24"/>
        </w:rPr>
        <w:t>Articles:</w:t>
      </w:r>
    </w:p>
    <w:p w14:paraId="19E81434" w14:textId="77777777" w:rsidR="00F8359E" w:rsidRPr="009C1CBC" w:rsidRDefault="00F8359E" w:rsidP="004F2D26">
      <w:pPr>
        <w:spacing w:before="80"/>
        <w:ind w:left="360"/>
        <w:jc w:val="both"/>
        <w:rPr>
          <w:rFonts w:ascii="Garamond" w:hAnsi="Garamond"/>
          <w:sz w:val="24"/>
          <w:szCs w:val="24"/>
        </w:rPr>
      </w:pPr>
      <w:r w:rsidRPr="009C1CBC">
        <w:rPr>
          <w:rFonts w:ascii="Garamond" w:hAnsi="Garamond"/>
          <w:sz w:val="24"/>
          <w:szCs w:val="24"/>
        </w:rPr>
        <w:lastRenderedPageBreak/>
        <w:t>There are countless articles addressing every conceivable aspect of class actions.  Many of the most important ones are listed in the “</w:t>
      </w:r>
      <w:r w:rsidR="00CD61E2" w:rsidRPr="009C1CBC">
        <w:rPr>
          <w:rFonts w:ascii="Garamond" w:hAnsi="Garamond"/>
          <w:sz w:val="24"/>
          <w:szCs w:val="24"/>
        </w:rPr>
        <w:t>Table of Secondary Authorities</w:t>
      </w:r>
      <w:r w:rsidRPr="009C1CBC">
        <w:rPr>
          <w:rFonts w:ascii="Garamond" w:hAnsi="Garamond"/>
          <w:sz w:val="24"/>
          <w:szCs w:val="24"/>
        </w:rPr>
        <w:t>” portion of the casebook.</w:t>
      </w:r>
    </w:p>
    <w:p w14:paraId="775BDDD2" w14:textId="77777777" w:rsidR="00F8359E" w:rsidRPr="009C1CBC" w:rsidRDefault="00F8359E" w:rsidP="004F2D26">
      <w:pPr>
        <w:spacing w:before="80"/>
        <w:ind w:left="360"/>
        <w:jc w:val="both"/>
        <w:rPr>
          <w:rFonts w:ascii="Garamond" w:hAnsi="Garamond"/>
          <w:b/>
          <w:sz w:val="24"/>
          <w:szCs w:val="24"/>
        </w:rPr>
      </w:pPr>
      <w:r w:rsidRPr="009C1CBC">
        <w:rPr>
          <w:rFonts w:ascii="Garamond" w:hAnsi="Garamond"/>
          <w:b/>
          <w:sz w:val="24"/>
          <w:szCs w:val="24"/>
        </w:rPr>
        <w:t>Blogs:</w:t>
      </w:r>
    </w:p>
    <w:p w14:paraId="1A59CB6C" w14:textId="77777777" w:rsidR="00F8359E" w:rsidRPr="009C1CBC" w:rsidRDefault="00F8359E" w:rsidP="004F2D26">
      <w:pPr>
        <w:spacing w:before="80"/>
        <w:ind w:left="360"/>
        <w:jc w:val="both"/>
        <w:rPr>
          <w:rFonts w:ascii="Garamond" w:hAnsi="Garamond"/>
          <w:sz w:val="24"/>
          <w:szCs w:val="24"/>
        </w:rPr>
      </w:pPr>
      <w:r w:rsidRPr="009C1CBC">
        <w:rPr>
          <w:rFonts w:ascii="Garamond" w:hAnsi="Garamond"/>
          <w:sz w:val="24"/>
          <w:szCs w:val="24"/>
        </w:rPr>
        <w:t>There are also many blogs dealing with class actions.  Unfortunately, most are promotional vehicles for class action law firms, but they still may be useful sources of current information.  If you google “class action blog,” you’ll see dozens of them.</w:t>
      </w:r>
    </w:p>
    <w:p w14:paraId="01DDAF5A" w14:textId="77777777" w:rsidR="00F8359E" w:rsidRPr="009C1CBC" w:rsidRDefault="00F8359E" w:rsidP="00645546">
      <w:pPr>
        <w:spacing w:before="80"/>
        <w:jc w:val="both"/>
        <w:rPr>
          <w:rFonts w:ascii="Garamond" w:hAnsi="Garamond"/>
          <w:bCs/>
          <w:sz w:val="24"/>
          <w:szCs w:val="24"/>
        </w:rPr>
      </w:pPr>
      <w:r w:rsidRPr="009C1CBC">
        <w:rPr>
          <w:rFonts w:ascii="Garamond" w:hAnsi="Garamond"/>
          <w:b/>
          <w:bCs/>
          <w:sz w:val="24"/>
          <w:szCs w:val="24"/>
        </w:rPr>
        <w:t>Research Resources.</w:t>
      </w:r>
      <w:r w:rsidRPr="009C1CBC">
        <w:rPr>
          <w:rFonts w:ascii="Garamond" w:hAnsi="Garamond"/>
          <w:bCs/>
          <w:sz w:val="24"/>
          <w:szCs w:val="24"/>
        </w:rPr>
        <w:t xml:space="preserve">  Most of your research can be done on Westlaw and Lexis, but you should also be aware of the special relevance of </w:t>
      </w:r>
      <w:hyperlink r:id="rId7" w:history="1">
        <w:r w:rsidRPr="009C1CBC">
          <w:rPr>
            <w:rStyle w:val="Hyperlink"/>
            <w:rFonts w:ascii="Garamond" w:hAnsi="Garamond"/>
            <w:bCs/>
            <w:sz w:val="24"/>
            <w:szCs w:val="24"/>
          </w:rPr>
          <w:t>www.bloomberglaw.com</w:t>
        </w:r>
      </w:hyperlink>
      <w:r w:rsidRPr="009C1CBC">
        <w:rPr>
          <w:rFonts w:ascii="Garamond" w:hAnsi="Garamond"/>
          <w:bCs/>
          <w:sz w:val="24"/>
          <w:szCs w:val="24"/>
        </w:rPr>
        <w:t xml:space="preserve">, which gives us free access to PACER and court dockets and all the filings in federal litigation.  Those of you who want to examine a particular litigation in great detail </w:t>
      </w:r>
      <w:r w:rsidR="00645546" w:rsidRPr="009C1CBC">
        <w:rPr>
          <w:rFonts w:ascii="Garamond" w:hAnsi="Garamond"/>
          <w:bCs/>
          <w:sz w:val="24"/>
          <w:szCs w:val="24"/>
        </w:rPr>
        <w:t xml:space="preserve">as your paper (see below) </w:t>
      </w:r>
      <w:r w:rsidRPr="009C1CBC">
        <w:rPr>
          <w:rFonts w:ascii="Garamond" w:hAnsi="Garamond"/>
          <w:bCs/>
          <w:sz w:val="24"/>
          <w:szCs w:val="24"/>
        </w:rPr>
        <w:t>will want to make use of this service.</w:t>
      </w:r>
    </w:p>
    <w:p w14:paraId="309CBD41" w14:textId="77777777" w:rsidR="00EE0D30" w:rsidRPr="009C1CBC" w:rsidRDefault="00EE0D30" w:rsidP="00645546">
      <w:pPr>
        <w:spacing w:before="80"/>
        <w:jc w:val="both"/>
        <w:rPr>
          <w:rFonts w:ascii="Garamond" w:hAnsi="Garamond"/>
          <w:bCs/>
          <w:sz w:val="24"/>
          <w:szCs w:val="24"/>
        </w:rPr>
      </w:pPr>
      <w:r w:rsidRPr="009C1CBC">
        <w:rPr>
          <w:rFonts w:ascii="Garamond" w:hAnsi="Garamond"/>
          <w:b/>
          <w:bCs/>
          <w:sz w:val="24"/>
          <w:szCs w:val="24"/>
        </w:rPr>
        <w:t>TWEN site.</w:t>
      </w:r>
      <w:r w:rsidRPr="009C1CBC">
        <w:rPr>
          <w:rFonts w:ascii="Garamond" w:hAnsi="Garamond"/>
          <w:bCs/>
          <w:sz w:val="24"/>
          <w:szCs w:val="24"/>
        </w:rPr>
        <w:t xml:space="preserve">   There is a course TWEN site with important course materials.</w:t>
      </w:r>
    </w:p>
    <w:p w14:paraId="08152AE1" w14:textId="7C2533FC" w:rsidR="00EE0D30" w:rsidRPr="009C1CBC" w:rsidRDefault="00EE0D30" w:rsidP="00645546">
      <w:pPr>
        <w:spacing w:before="80"/>
        <w:jc w:val="both"/>
        <w:rPr>
          <w:rFonts w:ascii="Garamond" w:hAnsi="Garamond"/>
          <w:bCs/>
          <w:iCs/>
          <w:sz w:val="24"/>
          <w:szCs w:val="24"/>
        </w:rPr>
      </w:pPr>
      <w:r w:rsidRPr="009C1CBC">
        <w:rPr>
          <w:rFonts w:ascii="Garamond" w:hAnsi="Garamond"/>
          <w:b/>
          <w:bCs/>
          <w:sz w:val="24"/>
          <w:szCs w:val="24"/>
        </w:rPr>
        <w:t>Instructional Methods.</w:t>
      </w:r>
      <w:r w:rsidRPr="009C1CBC">
        <w:rPr>
          <w:rFonts w:ascii="Garamond" w:hAnsi="Garamond"/>
          <w:bCs/>
          <w:sz w:val="24"/>
          <w:szCs w:val="24"/>
        </w:rPr>
        <w:t xml:space="preserve">  The classes I conduct will be in a familiar Socratic format, with some lecture and review</w:t>
      </w:r>
      <w:r w:rsidR="0076620A" w:rsidRPr="009C1CBC">
        <w:rPr>
          <w:rFonts w:ascii="Garamond" w:hAnsi="Garamond"/>
          <w:bCs/>
          <w:sz w:val="24"/>
          <w:szCs w:val="24"/>
        </w:rPr>
        <w:t xml:space="preserve">, but </w:t>
      </w:r>
      <w:r w:rsidR="007F0A2B" w:rsidRPr="009C1CBC">
        <w:rPr>
          <w:rFonts w:ascii="Garamond" w:hAnsi="Garamond"/>
          <w:bCs/>
          <w:sz w:val="24"/>
          <w:szCs w:val="24"/>
        </w:rPr>
        <w:t>will also include</w:t>
      </w:r>
      <w:r w:rsidR="0076620A" w:rsidRPr="009C1CBC">
        <w:rPr>
          <w:rFonts w:ascii="Garamond" w:hAnsi="Garamond"/>
          <w:bCs/>
          <w:sz w:val="24"/>
          <w:szCs w:val="24"/>
        </w:rPr>
        <w:t xml:space="preserve"> discussion</w:t>
      </w:r>
      <w:r w:rsidRPr="009C1CBC">
        <w:rPr>
          <w:rFonts w:ascii="Garamond" w:hAnsi="Garamond"/>
          <w:bCs/>
          <w:sz w:val="24"/>
          <w:szCs w:val="24"/>
        </w:rPr>
        <w:t>.  The class</w:t>
      </w:r>
      <w:r w:rsidR="00D47E86" w:rsidRPr="009C1CBC">
        <w:rPr>
          <w:rFonts w:ascii="Garamond" w:hAnsi="Garamond"/>
          <w:bCs/>
          <w:sz w:val="24"/>
          <w:szCs w:val="24"/>
        </w:rPr>
        <w:t>es</w:t>
      </w:r>
      <w:r w:rsidRPr="009C1CBC">
        <w:rPr>
          <w:rFonts w:ascii="Garamond" w:hAnsi="Garamond"/>
          <w:bCs/>
          <w:sz w:val="24"/>
          <w:szCs w:val="24"/>
        </w:rPr>
        <w:t xml:space="preserve"> with outside speakers will highlight their experience in practice but will give opportunities for class questions and discussion.</w:t>
      </w:r>
      <w:r w:rsidR="0076620A" w:rsidRPr="009C1CBC">
        <w:rPr>
          <w:rFonts w:ascii="Garamond" w:hAnsi="Garamond"/>
          <w:bCs/>
          <w:sz w:val="24"/>
          <w:szCs w:val="24"/>
        </w:rPr>
        <w:t xml:space="preserve">  </w:t>
      </w:r>
      <w:r w:rsidR="0076620A" w:rsidRPr="009C1CBC">
        <w:rPr>
          <w:rFonts w:ascii="Garamond" w:hAnsi="Garamond"/>
          <w:bCs/>
          <w:i/>
          <w:sz w:val="24"/>
          <w:szCs w:val="24"/>
        </w:rPr>
        <w:t>Everyone is expected to participate in those sessions with questions.</w:t>
      </w:r>
      <w:r w:rsidR="00142685" w:rsidRPr="009C1CBC">
        <w:rPr>
          <w:rFonts w:ascii="Garamond" w:hAnsi="Garamond"/>
          <w:bCs/>
          <w:i/>
          <w:sz w:val="24"/>
          <w:szCs w:val="24"/>
        </w:rPr>
        <w:t xml:space="preserve"> </w:t>
      </w:r>
      <w:r w:rsidR="00142685" w:rsidRPr="009C1CBC">
        <w:rPr>
          <w:rFonts w:ascii="Garamond" w:hAnsi="Garamond"/>
          <w:bCs/>
          <w:iCs/>
          <w:sz w:val="24"/>
          <w:szCs w:val="24"/>
        </w:rPr>
        <w:t>Please see the section on class participation below.</w:t>
      </w:r>
      <w:r w:rsidR="0076620A" w:rsidRPr="009C1CBC">
        <w:rPr>
          <w:rFonts w:ascii="Garamond" w:hAnsi="Garamond"/>
          <w:bCs/>
          <w:iCs/>
          <w:sz w:val="24"/>
          <w:szCs w:val="24"/>
        </w:rPr>
        <w:t xml:space="preserve">  </w:t>
      </w:r>
    </w:p>
    <w:p w14:paraId="2DE123BD" w14:textId="3A48473A" w:rsidR="00565A6B" w:rsidRPr="009C1CBC" w:rsidRDefault="00F8359E" w:rsidP="00645546">
      <w:pPr>
        <w:spacing w:before="80" w:after="120"/>
        <w:jc w:val="both"/>
        <w:rPr>
          <w:rFonts w:ascii="Garamond" w:hAnsi="Garamond"/>
          <w:sz w:val="24"/>
          <w:szCs w:val="24"/>
        </w:rPr>
      </w:pPr>
      <w:r w:rsidRPr="009C1CBC">
        <w:rPr>
          <w:rFonts w:ascii="Garamond" w:hAnsi="Garamond"/>
          <w:b/>
          <w:bCs/>
          <w:sz w:val="24"/>
          <w:szCs w:val="24"/>
        </w:rPr>
        <w:t xml:space="preserve">Paper and Grade: </w:t>
      </w:r>
      <w:r w:rsidRPr="009C1CBC">
        <w:rPr>
          <w:rFonts w:ascii="Garamond" w:hAnsi="Garamond"/>
          <w:bCs/>
          <w:sz w:val="24"/>
          <w:szCs w:val="24"/>
        </w:rPr>
        <w:t xml:space="preserve"> </w:t>
      </w:r>
      <w:r w:rsidR="00565A6B" w:rsidRPr="009C1CBC">
        <w:rPr>
          <w:rFonts w:ascii="Garamond" w:hAnsi="Garamond"/>
          <w:sz w:val="24"/>
          <w:szCs w:val="24"/>
        </w:rPr>
        <w:t>The law school grading policy and mandatory mean and distributions are available a</w:t>
      </w:r>
      <w:r w:rsidR="00142685" w:rsidRPr="009C1CBC">
        <w:rPr>
          <w:rFonts w:ascii="Garamond" w:hAnsi="Garamond"/>
          <w:sz w:val="24"/>
          <w:szCs w:val="24"/>
        </w:rPr>
        <w:t>t</w:t>
      </w:r>
      <w:r w:rsidR="00565A6B" w:rsidRPr="009C1CBC">
        <w:rPr>
          <w:rFonts w:ascii="Garamond" w:hAnsi="Garamond"/>
          <w:sz w:val="24"/>
          <w:szCs w:val="24"/>
        </w:rPr>
        <w:t xml:space="preserve"> </w:t>
      </w:r>
      <w:hyperlink r:id="rId8" w:anchor="9" w:history="1">
        <w:r w:rsidR="00565A6B" w:rsidRPr="009C1CBC">
          <w:rPr>
            <w:rStyle w:val="Hyperlink"/>
            <w:rFonts w:ascii="Garamond" w:hAnsi="Garamond"/>
            <w:sz w:val="24"/>
            <w:szCs w:val="24"/>
          </w:rPr>
          <w:t>http://www.law.ufl.edu/student-affairs/current-students/academic-policies#9</w:t>
        </w:r>
      </w:hyperlink>
      <w:r w:rsidR="00565A6B" w:rsidRPr="009C1CBC">
        <w:rPr>
          <w:rFonts w:ascii="Garamond" w:hAnsi="Garamond"/>
          <w:sz w:val="24"/>
          <w:szCs w:val="24"/>
        </w:rPr>
        <w:t xml:space="preserve"> This class adheres to those standards and the following grades and grade point equivalents: </w:t>
      </w:r>
    </w:p>
    <w:tbl>
      <w:tblPr>
        <w:tblW w:w="0" w:type="auto"/>
        <w:jc w:val="center"/>
        <w:tblCellMar>
          <w:left w:w="0" w:type="dxa"/>
          <w:right w:w="0" w:type="dxa"/>
        </w:tblCellMar>
        <w:tblLook w:val="04A0" w:firstRow="1" w:lastRow="0" w:firstColumn="1" w:lastColumn="0" w:noHBand="0" w:noVBand="1"/>
      </w:tblPr>
      <w:tblGrid>
        <w:gridCol w:w="1774"/>
        <w:gridCol w:w="1980"/>
      </w:tblGrid>
      <w:tr w:rsidR="00565A6B" w:rsidRPr="009C1CBC" w14:paraId="370CD19F" w14:textId="77777777" w:rsidTr="00186319">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4DFE7" w14:textId="77777777" w:rsidR="00565A6B" w:rsidRPr="009C1CBC" w:rsidRDefault="00565A6B" w:rsidP="00186319">
            <w:pPr>
              <w:rPr>
                <w:rFonts w:ascii="Garamond" w:hAnsi="Garamond"/>
                <w:b/>
                <w:bCs/>
              </w:rPr>
            </w:pPr>
            <w:r w:rsidRPr="009C1CBC">
              <w:rPr>
                <w:rFonts w:ascii="Garamond" w:hAnsi="Garamond"/>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E7D61" w14:textId="77777777" w:rsidR="00565A6B" w:rsidRPr="009C1CBC" w:rsidRDefault="00565A6B" w:rsidP="00186319">
            <w:pPr>
              <w:rPr>
                <w:rFonts w:ascii="Garamond" w:hAnsi="Garamond"/>
                <w:b/>
                <w:bCs/>
              </w:rPr>
            </w:pPr>
            <w:r w:rsidRPr="009C1CBC">
              <w:rPr>
                <w:rFonts w:ascii="Garamond" w:hAnsi="Garamond"/>
                <w:b/>
                <w:bCs/>
              </w:rPr>
              <w:t>Point Equivalent</w:t>
            </w:r>
          </w:p>
        </w:tc>
      </w:tr>
      <w:tr w:rsidR="00565A6B" w:rsidRPr="009C1CBC" w14:paraId="6FAE70E3" w14:textId="77777777" w:rsidTr="00186319">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A372" w14:textId="77777777" w:rsidR="00565A6B" w:rsidRPr="009C1CBC" w:rsidRDefault="00565A6B" w:rsidP="00186319">
            <w:pPr>
              <w:rPr>
                <w:rFonts w:ascii="Garamond" w:hAnsi="Garamond"/>
              </w:rPr>
            </w:pPr>
            <w:r w:rsidRPr="009C1CBC">
              <w:rPr>
                <w:rFonts w:ascii="Garamond" w:hAnsi="Garamond"/>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D5085C" w14:textId="77777777" w:rsidR="00565A6B" w:rsidRPr="009C1CBC" w:rsidRDefault="00565A6B" w:rsidP="00186319">
            <w:pPr>
              <w:rPr>
                <w:rFonts w:ascii="Garamond" w:hAnsi="Garamond"/>
              </w:rPr>
            </w:pPr>
            <w:r w:rsidRPr="009C1CBC">
              <w:rPr>
                <w:rFonts w:ascii="Garamond" w:hAnsi="Garamond"/>
              </w:rPr>
              <w:t>4.0</w:t>
            </w:r>
          </w:p>
        </w:tc>
      </w:tr>
      <w:tr w:rsidR="00565A6B" w:rsidRPr="009C1CBC" w14:paraId="7556FFA6"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D9F88" w14:textId="77777777" w:rsidR="00565A6B" w:rsidRPr="009C1CBC" w:rsidRDefault="00565A6B" w:rsidP="00186319">
            <w:pPr>
              <w:rPr>
                <w:rFonts w:ascii="Garamond" w:hAnsi="Garamond"/>
              </w:rPr>
            </w:pPr>
            <w:r w:rsidRPr="009C1CBC">
              <w:rPr>
                <w:rFonts w:ascii="Garamond" w:hAnsi="Garamond"/>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4DDE53" w14:textId="77777777" w:rsidR="00565A6B" w:rsidRPr="009C1CBC" w:rsidRDefault="00565A6B" w:rsidP="00186319">
            <w:pPr>
              <w:rPr>
                <w:rFonts w:ascii="Garamond" w:hAnsi="Garamond"/>
              </w:rPr>
            </w:pPr>
            <w:r w:rsidRPr="009C1CBC">
              <w:rPr>
                <w:rFonts w:ascii="Garamond" w:hAnsi="Garamond"/>
              </w:rPr>
              <w:t>3.67</w:t>
            </w:r>
          </w:p>
        </w:tc>
      </w:tr>
      <w:tr w:rsidR="00565A6B" w:rsidRPr="009C1CBC" w14:paraId="7408B5CF"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A79EB" w14:textId="77777777" w:rsidR="00565A6B" w:rsidRPr="009C1CBC" w:rsidRDefault="00565A6B" w:rsidP="00186319">
            <w:pPr>
              <w:rPr>
                <w:rFonts w:ascii="Garamond" w:hAnsi="Garamond"/>
              </w:rPr>
            </w:pPr>
            <w:r w:rsidRPr="009C1CBC">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43F487" w14:textId="77777777" w:rsidR="00565A6B" w:rsidRPr="009C1CBC" w:rsidRDefault="00565A6B" w:rsidP="00186319">
            <w:pPr>
              <w:rPr>
                <w:rFonts w:ascii="Garamond" w:hAnsi="Garamond"/>
              </w:rPr>
            </w:pPr>
            <w:r w:rsidRPr="009C1CBC">
              <w:rPr>
                <w:rFonts w:ascii="Garamond" w:hAnsi="Garamond"/>
              </w:rPr>
              <w:t>3.33</w:t>
            </w:r>
          </w:p>
        </w:tc>
      </w:tr>
      <w:tr w:rsidR="00565A6B" w:rsidRPr="009C1CBC" w14:paraId="5DD96F92"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3AD14" w14:textId="77777777" w:rsidR="00565A6B" w:rsidRPr="009C1CBC" w:rsidRDefault="00565A6B" w:rsidP="00186319">
            <w:pPr>
              <w:rPr>
                <w:rFonts w:ascii="Garamond" w:hAnsi="Garamond"/>
              </w:rPr>
            </w:pPr>
            <w:r w:rsidRPr="009C1CBC">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839AE1" w14:textId="77777777" w:rsidR="00565A6B" w:rsidRPr="009C1CBC" w:rsidRDefault="00565A6B" w:rsidP="00186319">
            <w:pPr>
              <w:rPr>
                <w:rFonts w:ascii="Garamond" w:hAnsi="Garamond"/>
              </w:rPr>
            </w:pPr>
            <w:r w:rsidRPr="009C1CBC">
              <w:rPr>
                <w:rFonts w:ascii="Garamond" w:hAnsi="Garamond"/>
              </w:rPr>
              <w:t>3.0</w:t>
            </w:r>
          </w:p>
        </w:tc>
      </w:tr>
      <w:tr w:rsidR="00565A6B" w:rsidRPr="009C1CBC" w14:paraId="0C9CC781"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A18F7" w14:textId="77777777" w:rsidR="00565A6B" w:rsidRPr="009C1CBC" w:rsidRDefault="00565A6B" w:rsidP="00186319">
            <w:pPr>
              <w:rPr>
                <w:rFonts w:ascii="Garamond" w:hAnsi="Garamond"/>
              </w:rPr>
            </w:pPr>
            <w:r w:rsidRPr="009C1CBC">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7BCAF46" w14:textId="77777777" w:rsidR="00565A6B" w:rsidRPr="009C1CBC" w:rsidRDefault="00565A6B" w:rsidP="00186319">
            <w:pPr>
              <w:rPr>
                <w:rFonts w:ascii="Garamond" w:hAnsi="Garamond"/>
              </w:rPr>
            </w:pPr>
            <w:r w:rsidRPr="009C1CBC">
              <w:rPr>
                <w:rFonts w:ascii="Garamond" w:hAnsi="Garamond"/>
              </w:rPr>
              <w:t>2.67</w:t>
            </w:r>
          </w:p>
        </w:tc>
      </w:tr>
      <w:tr w:rsidR="00565A6B" w:rsidRPr="009C1CBC" w14:paraId="04D158F1"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E66BE" w14:textId="77777777" w:rsidR="00565A6B" w:rsidRPr="009C1CBC" w:rsidRDefault="00565A6B" w:rsidP="00186319">
            <w:pPr>
              <w:rPr>
                <w:rFonts w:ascii="Garamond" w:hAnsi="Garamond"/>
              </w:rPr>
            </w:pPr>
            <w:r w:rsidRPr="009C1CBC">
              <w:rPr>
                <w:rFonts w:ascii="Garamond" w:hAnsi="Garamond"/>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D880C8" w14:textId="77777777" w:rsidR="00565A6B" w:rsidRPr="009C1CBC" w:rsidRDefault="00565A6B" w:rsidP="00186319">
            <w:pPr>
              <w:rPr>
                <w:rFonts w:ascii="Garamond" w:hAnsi="Garamond"/>
              </w:rPr>
            </w:pPr>
            <w:r w:rsidRPr="009C1CBC">
              <w:rPr>
                <w:rFonts w:ascii="Garamond" w:hAnsi="Garamond"/>
              </w:rPr>
              <w:t>2.33</w:t>
            </w:r>
          </w:p>
        </w:tc>
      </w:tr>
      <w:tr w:rsidR="00565A6B" w:rsidRPr="009C1CBC" w14:paraId="05070199"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DD8AF" w14:textId="77777777" w:rsidR="00565A6B" w:rsidRPr="009C1CBC" w:rsidRDefault="00565A6B" w:rsidP="00186319">
            <w:pPr>
              <w:rPr>
                <w:rFonts w:ascii="Garamond" w:hAnsi="Garamond"/>
              </w:rPr>
            </w:pPr>
            <w:r w:rsidRPr="009C1CBC">
              <w:rPr>
                <w:rFonts w:ascii="Garamond" w:hAnsi="Garamond"/>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7EA830" w14:textId="77777777" w:rsidR="00565A6B" w:rsidRPr="009C1CBC" w:rsidRDefault="00565A6B" w:rsidP="00186319">
            <w:pPr>
              <w:rPr>
                <w:rFonts w:ascii="Garamond" w:hAnsi="Garamond"/>
              </w:rPr>
            </w:pPr>
            <w:r w:rsidRPr="009C1CBC">
              <w:rPr>
                <w:rFonts w:ascii="Garamond" w:hAnsi="Garamond"/>
              </w:rPr>
              <w:t>2.0</w:t>
            </w:r>
          </w:p>
        </w:tc>
      </w:tr>
      <w:tr w:rsidR="00565A6B" w:rsidRPr="009C1CBC" w14:paraId="238B2436"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4FAFC" w14:textId="77777777" w:rsidR="00565A6B" w:rsidRPr="009C1CBC" w:rsidRDefault="00565A6B" w:rsidP="00186319">
            <w:pPr>
              <w:rPr>
                <w:rFonts w:ascii="Garamond" w:hAnsi="Garamond"/>
              </w:rPr>
            </w:pPr>
            <w:r w:rsidRPr="009C1CBC">
              <w:rPr>
                <w:rFonts w:ascii="Garamond" w:hAnsi="Garamond"/>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AD7C6D" w14:textId="77777777" w:rsidR="00565A6B" w:rsidRPr="009C1CBC" w:rsidRDefault="00565A6B" w:rsidP="00186319">
            <w:pPr>
              <w:rPr>
                <w:rFonts w:ascii="Garamond" w:hAnsi="Garamond"/>
              </w:rPr>
            </w:pPr>
            <w:r w:rsidRPr="009C1CBC">
              <w:rPr>
                <w:rFonts w:ascii="Garamond" w:hAnsi="Garamond"/>
              </w:rPr>
              <w:t>1.67</w:t>
            </w:r>
          </w:p>
        </w:tc>
      </w:tr>
      <w:tr w:rsidR="00565A6B" w:rsidRPr="009C1CBC" w14:paraId="0D3BC5EF"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F174" w14:textId="77777777" w:rsidR="00565A6B" w:rsidRPr="009C1CBC" w:rsidRDefault="00565A6B" w:rsidP="00186319">
            <w:pPr>
              <w:rPr>
                <w:rFonts w:ascii="Garamond" w:hAnsi="Garamond"/>
              </w:rPr>
            </w:pPr>
            <w:r w:rsidRPr="009C1CBC">
              <w:rPr>
                <w:rFonts w:ascii="Garamond" w:hAnsi="Garamond"/>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53ADB6" w14:textId="77777777" w:rsidR="00565A6B" w:rsidRPr="009C1CBC" w:rsidRDefault="00565A6B" w:rsidP="00186319">
            <w:pPr>
              <w:rPr>
                <w:rFonts w:ascii="Garamond" w:hAnsi="Garamond"/>
              </w:rPr>
            </w:pPr>
            <w:r w:rsidRPr="009C1CBC">
              <w:rPr>
                <w:rFonts w:ascii="Garamond" w:hAnsi="Garamond"/>
              </w:rPr>
              <w:t>1.33</w:t>
            </w:r>
          </w:p>
        </w:tc>
      </w:tr>
      <w:tr w:rsidR="00565A6B" w:rsidRPr="009C1CBC" w14:paraId="5AC6264D"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518BF" w14:textId="77777777" w:rsidR="00565A6B" w:rsidRPr="009C1CBC" w:rsidRDefault="00565A6B" w:rsidP="00186319">
            <w:pPr>
              <w:rPr>
                <w:rFonts w:ascii="Garamond" w:hAnsi="Garamond"/>
              </w:rPr>
            </w:pPr>
            <w:r w:rsidRPr="009C1CBC">
              <w:rPr>
                <w:rFonts w:ascii="Garamond" w:hAnsi="Garamond"/>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3336B2" w14:textId="77777777" w:rsidR="00565A6B" w:rsidRPr="009C1CBC" w:rsidRDefault="00565A6B" w:rsidP="00186319">
            <w:pPr>
              <w:rPr>
                <w:rFonts w:ascii="Garamond" w:hAnsi="Garamond"/>
              </w:rPr>
            </w:pPr>
            <w:r w:rsidRPr="009C1CBC">
              <w:rPr>
                <w:rFonts w:ascii="Garamond" w:hAnsi="Garamond"/>
              </w:rPr>
              <w:t>1.0</w:t>
            </w:r>
          </w:p>
        </w:tc>
      </w:tr>
      <w:tr w:rsidR="00565A6B" w:rsidRPr="009C1CBC" w14:paraId="5A0B3F0F"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8376E" w14:textId="77777777" w:rsidR="00565A6B" w:rsidRPr="009C1CBC" w:rsidRDefault="00565A6B" w:rsidP="00186319">
            <w:pPr>
              <w:rPr>
                <w:rFonts w:ascii="Garamond" w:hAnsi="Garamond"/>
              </w:rPr>
            </w:pPr>
            <w:r w:rsidRPr="009C1CBC">
              <w:rPr>
                <w:rFonts w:ascii="Garamond" w:hAnsi="Garamond"/>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336088" w14:textId="77777777" w:rsidR="00565A6B" w:rsidRPr="009C1CBC" w:rsidRDefault="00565A6B" w:rsidP="00186319">
            <w:pPr>
              <w:rPr>
                <w:rFonts w:ascii="Garamond" w:hAnsi="Garamond"/>
              </w:rPr>
            </w:pPr>
            <w:r w:rsidRPr="009C1CBC">
              <w:rPr>
                <w:rFonts w:ascii="Garamond" w:hAnsi="Garamond"/>
              </w:rPr>
              <w:t>0.67</w:t>
            </w:r>
          </w:p>
        </w:tc>
      </w:tr>
      <w:tr w:rsidR="00565A6B" w:rsidRPr="009C1CBC" w14:paraId="455F26A5" w14:textId="77777777" w:rsidTr="00186319">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F13D0" w14:textId="77777777" w:rsidR="00565A6B" w:rsidRPr="009C1CBC" w:rsidRDefault="00565A6B" w:rsidP="00186319">
            <w:pPr>
              <w:rPr>
                <w:rFonts w:ascii="Garamond" w:hAnsi="Garamond"/>
              </w:rPr>
            </w:pPr>
            <w:r w:rsidRPr="009C1CBC">
              <w:rPr>
                <w:rFonts w:ascii="Garamond" w:hAnsi="Garamond"/>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280BF3" w14:textId="77777777" w:rsidR="00565A6B" w:rsidRPr="009C1CBC" w:rsidRDefault="00565A6B" w:rsidP="00186319">
            <w:pPr>
              <w:rPr>
                <w:rFonts w:ascii="Garamond" w:hAnsi="Garamond"/>
              </w:rPr>
            </w:pPr>
            <w:r w:rsidRPr="009C1CBC">
              <w:rPr>
                <w:rFonts w:ascii="Garamond" w:hAnsi="Garamond"/>
              </w:rPr>
              <w:t xml:space="preserve">0.0 </w:t>
            </w:r>
          </w:p>
        </w:tc>
      </w:tr>
    </w:tbl>
    <w:p w14:paraId="6E5A58B6" w14:textId="1BCEFAA6" w:rsidR="00565A6B" w:rsidRPr="009C1CBC" w:rsidRDefault="00565A6B" w:rsidP="00645546">
      <w:pPr>
        <w:spacing w:before="120"/>
        <w:jc w:val="both"/>
        <w:rPr>
          <w:rFonts w:ascii="Garamond" w:hAnsi="Garamond"/>
          <w:sz w:val="24"/>
          <w:szCs w:val="24"/>
        </w:rPr>
      </w:pPr>
      <w:r w:rsidRPr="009C1CBC">
        <w:rPr>
          <w:rFonts w:ascii="Garamond" w:hAnsi="Garamond"/>
          <w:b/>
          <w:bCs/>
          <w:sz w:val="24"/>
          <w:szCs w:val="24"/>
        </w:rPr>
        <w:t xml:space="preserve">Grade Components. </w:t>
      </w:r>
      <w:r w:rsidRPr="009C1CBC">
        <w:rPr>
          <w:rFonts w:ascii="Garamond" w:hAnsi="Garamond"/>
          <w:sz w:val="24"/>
          <w:szCs w:val="24"/>
        </w:rPr>
        <w:t xml:space="preserve"> </w:t>
      </w:r>
    </w:p>
    <w:p w14:paraId="1B0A36FB" w14:textId="2997C4FE" w:rsidR="007F0A2B" w:rsidRPr="009C1CBC" w:rsidRDefault="00453B18" w:rsidP="00645546">
      <w:pPr>
        <w:spacing w:before="80"/>
        <w:jc w:val="both"/>
        <w:rPr>
          <w:rFonts w:ascii="Garamond" w:hAnsi="Garamond"/>
          <w:sz w:val="24"/>
          <w:szCs w:val="24"/>
        </w:rPr>
      </w:pPr>
      <w:r w:rsidRPr="009C1CBC">
        <w:rPr>
          <w:rFonts w:ascii="Garamond" w:hAnsi="Garamond"/>
          <w:b/>
          <w:sz w:val="24"/>
          <w:szCs w:val="24"/>
        </w:rPr>
        <w:t xml:space="preserve">A. </w:t>
      </w:r>
      <w:r w:rsidR="00F8359E" w:rsidRPr="009C1CBC">
        <w:rPr>
          <w:rFonts w:ascii="Garamond" w:hAnsi="Garamond"/>
          <w:b/>
          <w:sz w:val="24"/>
          <w:szCs w:val="24"/>
        </w:rPr>
        <w:t>Class participation</w:t>
      </w:r>
      <w:r w:rsidR="00062BAD" w:rsidRPr="009C1CBC">
        <w:rPr>
          <w:rFonts w:ascii="Garamond" w:hAnsi="Garamond"/>
          <w:b/>
          <w:sz w:val="24"/>
          <w:szCs w:val="24"/>
        </w:rPr>
        <w:t xml:space="preserve"> (25%)</w:t>
      </w:r>
      <w:r w:rsidR="00F8359E" w:rsidRPr="009C1CBC">
        <w:rPr>
          <w:rFonts w:ascii="Garamond" w:hAnsi="Garamond"/>
          <w:sz w:val="24"/>
          <w:szCs w:val="24"/>
        </w:rPr>
        <w:t xml:space="preserve">. </w:t>
      </w:r>
      <w:r w:rsidR="007F0A2B" w:rsidRPr="009C1CBC">
        <w:rPr>
          <w:rFonts w:ascii="Garamond" w:hAnsi="Garamond"/>
          <w:sz w:val="24"/>
          <w:szCs w:val="24"/>
        </w:rPr>
        <w:t>This component will include:</w:t>
      </w:r>
    </w:p>
    <w:p w14:paraId="71EBEE35" w14:textId="77777777" w:rsidR="0022085F" w:rsidRPr="009C1CBC" w:rsidRDefault="007F0A2B" w:rsidP="0022085F">
      <w:pPr>
        <w:spacing w:before="80"/>
        <w:jc w:val="both"/>
        <w:rPr>
          <w:rFonts w:ascii="Garamond" w:hAnsi="Garamond"/>
          <w:sz w:val="24"/>
          <w:szCs w:val="24"/>
        </w:rPr>
      </w:pPr>
      <w:r w:rsidRPr="009C1CBC">
        <w:rPr>
          <w:rFonts w:ascii="Garamond" w:hAnsi="Garamond"/>
          <w:sz w:val="24"/>
          <w:szCs w:val="24"/>
        </w:rPr>
        <w:t xml:space="preserve">(1) </w:t>
      </w:r>
      <w:r w:rsidR="0022085F" w:rsidRPr="009C1CBC">
        <w:rPr>
          <w:rFonts w:ascii="Garamond" w:hAnsi="Garamond"/>
          <w:sz w:val="24"/>
          <w:szCs w:val="24"/>
          <w:u w:val="single"/>
        </w:rPr>
        <w:t>class preparation</w:t>
      </w:r>
      <w:r w:rsidR="00F47260" w:rsidRPr="009C1CBC">
        <w:rPr>
          <w:rFonts w:ascii="Garamond" w:hAnsi="Garamond"/>
          <w:sz w:val="24"/>
          <w:szCs w:val="24"/>
          <w:u w:val="single"/>
        </w:rPr>
        <w:t>, including both questions</w:t>
      </w:r>
      <w:r w:rsidR="0022085F" w:rsidRPr="009C1CBC">
        <w:rPr>
          <w:rFonts w:ascii="Garamond" w:hAnsi="Garamond"/>
          <w:sz w:val="24"/>
          <w:szCs w:val="24"/>
          <w:u w:val="single"/>
        </w:rPr>
        <w:t xml:space="preserve"> and discussion</w:t>
      </w:r>
      <w:r w:rsidR="00F47260" w:rsidRPr="009C1CBC">
        <w:rPr>
          <w:rFonts w:ascii="Garamond" w:hAnsi="Garamond"/>
          <w:sz w:val="24"/>
          <w:szCs w:val="24"/>
        </w:rPr>
        <w:t xml:space="preserve"> </w:t>
      </w:r>
      <w:r w:rsidR="00BC325B" w:rsidRPr="009C1CBC">
        <w:rPr>
          <w:rFonts w:ascii="Garamond" w:hAnsi="Garamond"/>
          <w:sz w:val="24"/>
          <w:szCs w:val="24"/>
        </w:rPr>
        <w:t>20%)</w:t>
      </w:r>
      <w:r w:rsidR="00F47260" w:rsidRPr="009C1CBC">
        <w:rPr>
          <w:rFonts w:ascii="Garamond" w:hAnsi="Garamond"/>
          <w:sz w:val="24"/>
          <w:szCs w:val="24"/>
        </w:rPr>
        <w:t xml:space="preserve">. </w:t>
      </w:r>
      <w:r w:rsidR="00BC325B" w:rsidRPr="009C1CBC">
        <w:rPr>
          <w:rFonts w:ascii="Garamond" w:hAnsi="Garamond"/>
          <w:sz w:val="24"/>
          <w:szCs w:val="24"/>
        </w:rPr>
        <w:t xml:space="preserve"> </w:t>
      </w:r>
      <w:r w:rsidR="0022085F" w:rsidRPr="009C1CBC">
        <w:rPr>
          <w:rFonts w:ascii="Garamond" w:hAnsi="Garamond"/>
          <w:sz w:val="24"/>
          <w:szCs w:val="24"/>
        </w:rPr>
        <w:t xml:space="preserve">The class discussion component of the grade (10%) will take account of attendance, preparation, and the frequency and quality of oral participation in class discussion.  </w:t>
      </w:r>
    </w:p>
    <w:p w14:paraId="031E5BD9" w14:textId="77777777" w:rsidR="0022085F" w:rsidRPr="009C1CBC" w:rsidRDefault="0022085F" w:rsidP="00453B18">
      <w:pPr>
        <w:spacing w:before="80"/>
        <w:ind w:left="360"/>
        <w:jc w:val="both"/>
        <w:rPr>
          <w:rFonts w:ascii="Garamond" w:hAnsi="Garamond"/>
          <w:sz w:val="24"/>
          <w:szCs w:val="24"/>
        </w:rPr>
      </w:pPr>
      <w:r w:rsidRPr="009C1CBC">
        <w:rPr>
          <w:rFonts w:ascii="Garamond" w:hAnsi="Garamond"/>
          <w:sz w:val="24"/>
          <w:szCs w:val="24"/>
        </w:rPr>
        <w:t xml:space="preserve">Class preparation is required.  </w:t>
      </w:r>
      <w:r w:rsidR="00D551D3" w:rsidRPr="009C1CBC">
        <w:rPr>
          <w:rFonts w:ascii="Garamond" w:hAnsi="Garamond"/>
          <w:sz w:val="24"/>
          <w:szCs w:val="24"/>
        </w:rPr>
        <w:t xml:space="preserve">Of course, I’m going to ask you questions.  </w:t>
      </w:r>
      <w:r w:rsidRPr="009C1CBC">
        <w:rPr>
          <w:rFonts w:ascii="Garamond" w:hAnsi="Garamond"/>
          <w:sz w:val="24"/>
          <w:szCs w:val="24"/>
        </w:rPr>
        <w:t xml:space="preserve">You should expect to spend an average of about 2 hours preparing for each hour of class. </w:t>
      </w:r>
      <w:r w:rsidRPr="009C1CBC">
        <w:rPr>
          <w:rFonts w:ascii="Garamond" w:hAnsi="Garamond"/>
          <w:b/>
          <w:bCs/>
          <w:sz w:val="24"/>
          <w:szCs w:val="24"/>
        </w:rPr>
        <w:t xml:space="preserve"> Please let me know before class if you’re unprepared that day.</w:t>
      </w:r>
    </w:p>
    <w:p w14:paraId="3EB63939" w14:textId="685E3918" w:rsidR="007F0A2B" w:rsidRPr="009C1CBC" w:rsidRDefault="0022085F" w:rsidP="00453B18">
      <w:pPr>
        <w:spacing w:before="80"/>
        <w:ind w:left="360"/>
        <w:jc w:val="both"/>
        <w:rPr>
          <w:rFonts w:ascii="Garamond" w:hAnsi="Garamond"/>
          <w:sz w:val="24"/>
          <w:szCs w:val="24"/>
        </w:rPr>
      </w:pPr>
      <w:r w:rsidRPr="009C1CBC">
        <w:rPr>
          <w:rFonts w:ascii="Garamond" w:hAnsi="Garamond"/>
          <w:sz w:val="24"/>
          <w:szCs w:val="24"/>
        </w:rPr>
        <w:t>Class discussion is also essential in all classes</w:t>
      </w:r>
      <w:r w:rsidR="00142685" w:rsidRPr="009C1CBC">
        <w:rPr>
          <w:rFonts w:ascii="Garamond" w:hAnsi="Garamond"/>
          <w:sz w:val="24"/>
          <w:szCs w:val="24"/>
        </w:rPr>
        <w:t>, especially in a seminar like this one</w:t>
      </w:r>
      <w:r w:rsidRPr="009C1CBC">
        <w:rPr>
          <w:rFonts w:ascii="Garamond" w:hAnsi="Garamond"/>
          <w:sz w:val="24"/>
          <w:szCs w:val="24"/>
        </w:rPr>
        <w:t xml:space="preserve">.  This component includes </w:t>
      </w:r>
      <w:r w:rsidR="007F0A2B" w:rsidRPr="009C1CBC">
        <w:rPr>
          <w:rFonts w:ascii="Garamond" w:hAnsi="Garamond"/>
          <w:sz w:val="24"/>
          <w:szCs w:val="24"/>
        </w:rPr>
        <w:t xml:space="preserve">raising questions and comments in all classes, </w:t>
      </w:r>
      <w:r w:rsidR="007F0A2B" w:rsidRPr="009C1CBC">
        <w:rPr>
          <w:rFonts w:ascii="Garamond" w:hAnsi="Garamond"/>
          <w:i/>
          <w:sz w:val="24"/>
          <w:szCs w:val="24"/>
        </w:rPr>
        <w:t>especially those taught by outside speakers</w:t>
      </w:r>
      <w:r w:rsidR="007F0A2B" w:rsidRPr="009C1CBC">
        <w:rPr>
          <w:rFonts w:ascii="Garamond" w:hAnsi="Garamond"/>
          <w:sz w:val="24"/>
          <w:szCs w:val="24"/>
        </w:rPr>
        <w:t>.</w:t>
      </w:r>
      <w:r w:rsidRPr="009C1CBC">
        <w:rPr>
          <w:rFonts w:ascii="Garamond" w:hAnsi="Garamond"/>
          <w:sz w:val="24"/>
          <w:szCs w:val="24"/>
        </w:rPr>
        <w:t xml:space="preserve">  These are leading practitioners and it’s your opportunity to benefit from their expertise.  (It’s</w:t>
      </w:r>
      <w:r w:rsidR="00EB267D" w:rsidRPr="009C1CBC">
        <w:rPr>
          <w:rFonts w:ascii="Garamond" w:hAnsi="Garamond"/>
          <w:sz w:val="24"/>
          <w:szCs w:val="24"/>
        </w:rPr>
        <w:t xml:space="preserve"> also</w:t>
      </w:r>
      <w:r w:rsidRPr="009C1CBC">
        <w:rPr>
          <w:rFonts w:ascii="Garamond" w:hAnsi="Garamond"/>
          <w:sz w:val="24"/>
          <w:szCs w:val="24"/>
        </w:rPr>
        <w:t xml:space="preserve"> important for us to welcome them with a </w:t>
      </w:r>
      <w:r w:rsidR="00D551D3" w:rsidRPr="009C1CBC">
        <w:rPr>
          <w:rFonts w:ascii="Garamond" w:hAnsi="Garamond"/>
          <w:sz w:val="24"/>
          <w:szCs w:val="24"/>
        </w:rPr>
        <w:t xml:space="preserve">fun and </w:t>
      </w:r>
      <w:r w:rsidRPr="009C1CBC">
        <w:rPr>
          <w:rFonts w:ascii="Garamond" w:hAnsi="Garamond"/>
          <w:sz w:val="24"/>
          <w:szCs w:val="24"/>
        </w:rPr>
        <w:t>stimulating class.)</w:t>
      </w:r>
      <w:r w:rsidR="007F0A2B" w:rsidRPr="009C1CBC">
        <w:rPr>
          <w:rFonts w:ascii="Garamond" w:hAnsi="Garamond"/>
          <w:sz w:val="24"/>
          <w:szCs w:val="24"/>
        </w:rPr>
        <w:t xml:space="preserve">  </w:t>
      </w:r>
    </w:p>
    <w:p w14:paraId="6FBE0BAF" w14:textId="33337AE2" w:rsidR="007F0A2B" w:rsidRPr="009C1CBC" w:rsidRDefault="007F0A2B" w:rsidP="00453B18">
      <w:pPr>
        <w:spacing w:before="80"/>
        <w:ind w:left="720"/>
        <w:jc w:val="both"/>
        <w:rPr>
          <w:rFonts w:ascii="Garamond" w:hAnsi="Garamond"/>
          <w:b/>
          <w:bCs/>
          <w:sz w:val="24"/>
          <w:szCs w:val="24"/>
        </w:rPr>
      </w:pPr>
      <w:r w:rsidRPr="009C1CBC">
        <w:rPr>
          <w:rFonts w:ascii="Garamond" w:hAnsi="Garamond"/>
          <w:i/>
          <w:sz w:val="24"/>
          <w:szCs w:val="24"/>
        </w:rPr>
        <w:t xml:space="preserve">As part of the class participation grade, every student is required to email me (ahead of time) at least one good question for the outside speaker for each of those classes, based on the assigned materials.  Then you should ask </w:t>
      </w:r>
      <w:r w:rsidR="00EB267D" w:rsidRPr="009C1CBC">
        <w:rPr>
          <w:rFonts w:ascii="Garamond" w:hAnsi="Garamond"/>
          <w:i/>
          <w:sz w:val="24"/>
          <w:szCs w:val="24"/>
        </w:rPr>
        <w:t>that</w:t>
      </w:r>
      <w:r w:rsidRPr="009C1CBC">
        <w:rPr>
          <w:rFonts w:ascii="Garamond" w:hAnsi="Garamond"/>
          <w:i/>
          <w:sz w:val="24"/>
          <w:szCs w:val="24"/>
        </w:rPr>
        <w:t xml:space="preserve"> question </w:t>
      </w:r>
      <w:r w:rsidR="00EB267D" w:rsidRPr="009C1CBC">
        <w:rPr>
          <w:rFonts w:ascii="Garamond" w:hAnsi="Garamond"/>
          <w:i/>
          <w:sz w:val="24"/>
          <w:szCs w:val="24"/>
        </w:rPr>
        <w:t xml:space="preserve">(or another good one) </w:t>
      </w:r>
      <w:r w:rsidRPr="009C1CBC">
        <w:rPr>
          <w:rFonts w:ascii="Garamond" w:hAnsi="Garamond"/>
          <w:i/>
          <w:sz w:val="24"/>
          <w:szCs w:val="24"/>
        </w:rPr>
        <w:t>during the session, if there’s time.</w:t>
      </w:r>
      <w:r w:rsidR="0022085F" w:rsidRPr="009C1CBC">
        <w:rPr>
          <w:rFonts w:ascii="Garamond" w:hAnsi="Garamond"/>
          <w:b/>
          <w:bCs/>
          <w:i/>
          <w:sz w:val="24"/>
          <w:szCs w:val="24"/>
        </w:rPr>
        <w:t xml:space="preserve">  </w:t>
      </w:r>
      <w:r w:rsidR="00EB267D" w:rsidRPr="009C1CBC">
        <w:rPr>
          <w:rFonts w:ascii="Garamond" w:hAnsi="Garamond"/>
          <w:b/>
          <w:bCs/>
          <w:i/>
          <w:sz w:val="24"/>
          <w:szCs w:val="24"/>
        </w:rPr>
        <w:t>So, when I ask if there are any questions, everyone should have one.</w:t>
      </w:r>
    </w:p>
    <w:p w14:paraId="68D33075" w14:textId="769A721A" w:rsidR="00BB61F7" w:rsidRPr="009C1CBC" w:rsidRDefault="004F2184" w:rsidP="00BB61F7">
      <w:pPr>
        <w:spacing w:before="80"/>
        <w:ind w:left="360"/>
        <w:jc w:val="both"/>
        <w:rPr>
          <w:rFonts w:ascii="Garamond" w:hAnsi="Garamond"/>
          <w:sz w:val="24"/>
          <w:szCs w:val="24"/>
        </w:rPr>
      </w:pPr>
      <w:r w:rsidRPr="009C1CBC">
        <w:rPr>
          <w:rFonts w:ascii="Garamond" w:hAnsi="Garamond"/>
          <w:b/>
          <w:bCs/>
          <w:sz w:val="24"/>
          <w:szCs w:val="24"/>
        </w:rPr>
        <w:t>Absences</w:t>
      </w:r>
      <w:r w:rsidRPr="009C1CBC">
        <w:rPr>
          <w:rFonts w:ascii="Garamond" w:hAnsi="Garamond"/>
          <w:sz w:val="24"/>
          <w:szCs w:val="24"/>
        </w:rPr>
        <w:t xml:space="preserve">.  Attendance is required.  </w:t>
      </w:r>
      <w:r w:rsidR="00203758" w:rsidRPr="009C1CBC">
        <w:rPr>
          <w:rFonts w:ascii="Garamond" w:hAnsi="Garamond"/>
          <w:sz w:val="24"/>
          <w:szCs w:val="24"/>
        </w:rPr>
        <w:t xml:space="preserve">I will take roll by a sign-up sheet, which is, of course, subject to the honor code.  </w:t>
      </w:r>
      <w:r w:rsidR="00BB61F7" w:rsidRPr="009C1CBC">
        <w:rPr>
          <w:rFonts w:ascii="Garamond" w:hAnsi="Garamond"/>
          <w:bCs/>
          <w:i/>
          <w:sz w:val="24"/>
          <w:szCs w:val="24"/>
        </w:rPr>
        <w:t>For Assignment 10, which will be by a narrated PowerPoint lecture, send me an email stating that you’ve watched it</w:t>
      </w:r>
      <w:r w:rsidR="00BB61F7" w:rsidRPr="009C1CBC">
        <w:rPr>
          <w:rFonts w:ascii="Garamond" w:hAnsi="Garamond"/>
          <w:i/>
          <w:sz w:val="24"/>
          <w:szCs w:val="24"/>
        </w:rPr>
        <w:t xml:space="preserve">. </w:t>
      </w:r>
      <w:r w:rsidR="00BB61F7" w:rsidRPr="009C1CBC">
        <w:rPr>
          <w:rFonts w:ascii="Garamond" w:hAnsi="Garamond"/>
          <w:sz w:val="24"/>
          <w:szCs w:val="24"/>
        </w:rPr>
        <w:t xml:space="preserve"> (The class preparation requirement applies to this class too!)</w:t>
      </w:r>
    </w:p>
    <w:p w14:paraId="08F6EA53" w14:textId="77777777" w:rsidR="004F2184" w:rsidRPr="009C1CBC" w:rsidRDefault="004F2184" w:rsidP="004F2184">
      <w:pPr>
        <w:spacing w:before="80"/>
        <w:ind w:left="360"/>
        <w:jc w:val="both"/>
        <w:rPr>
          <w:rFonts w:ascii="Garamond" w:hAnsi="Garamond"/>
          <w:sz w:val="24"/>
          <w:szCs w:val="24"/>
        </w:rPr>
      </w:pPr>
      <w:r w:rsidRPr="009C1CBC">
        <w:rPr>
          <w:rFonts w:ascii="Garamond" w:hAnsi="Garamond"/>
          <w:sz w:val="24"/>
          <w:szCs w:val="24"/>
        </w:rPr>
        <w:t xml:space="preserve">If you’re going to be absent or unprepared for any class, let me know ahead of time, preferably by email.  If you have more than 1 unexcused absence, your grade will suffer. </w:t>
      </w:r>
      <w:r w:rsidR="00203758" w:rsidRPr="009C1CBC">
        <w:rPr>
          <w:rFonts w:ascii="Garamond" w:hAnsi="Garamond"/>
          <w:sz w:val="24"/>
          <w:szCs w:val="24"/>
        </w:rPr>
        <w:t>If you miss more than 2 classes, you may not be permitted to get a grade in the class.</w:t>
      </w:r>
      <w:r w:rsidRPr="009C1CBC">
        <w:rPr>
          <w:rFonts w:ascii="Garamond" w:hAnsi="Garamond"/>
          <w:sz w:val="24"/>
          <w:szCs w:val="24"/>
        </w:rPr>
        <w:t xml:space="preserve">   </w:t>
      </w:r>
    </w:p>
    <w:p w14:paraId="03882243" w14:textId="56E70152" w:rsidR="004F2184" w:rsidRPr="009C1CBC" w:rsidRDefault="004F2184" w:rsidP="004F2184">
      <w:pPr>
        <w:spacing w:before="80"/>
        <w:ind w:left="360"/>
        <w:jc w:val="both"/>
        <w:rPr>
          <w:rFonts w:ascii="Garamond" w:hAnsi="Garamond"/>
          <w:b/>
          <w:bCs/>
          <w:sz w:val="24"/>
          <w:szCs w:val="24"/>
        </w:rPr>
      </w:pPr>
      <w:r w:rsidRPr="009C1CBC">
        <w:rPr>
          <w:rFonts w:ascii="Garamond" w:hAnsi="Garamond"/>
          <w:b/>
          <w:bCs/>
          <w:sz w:val="24"/>
          <w:szCs w:val="24"/>
        </w:rPr>
        <w:t xml:space="preserve">Classroom Civility.  </w:t>
      </w:r>
      <w:r w:rsidRPr="009C1CBC">
        <w:rPr>
          <w:rFonts w:ascii="Garamond" w:hAnsi="Garamond"/>
          <w:sz w:val="24"/>
          <w:szCs w:val="24"/>
        </w:rPr>
        <w:t>During class, do not connect to a wireless network with any device, unless it’s part of a show-and-tell or presentation.</w:t>
      </w:r>
      <w:r w:rsidRPr="009C1CBC">
        <w:rPr>
          <w:rFonts w:ascii="Garamond" w:hAnsi="Garamond"/>
          <w:b/>
          <w:bCs/>
          <w:sz w:val="24"/>
          <w:szCs w:val="24"/>
        </w:rPr>
        <w:t xml:space="preserve"> </w:t>
      </w:r>
      <w:r w:rsidR="00EB267D" w:rsidRPr="009C1CBC">
        <w:rPr>
          <w:rFonts w:ascii="Garamond" w:hAnsi="Garamond"/>
          <w:i/>
          <w:iCs/>
          <w:sz w:val="24"/>
          <w:szCs w:val="24"/>
        </w:rPr>
        <w:t>Seriously</w:t>
      </w:r>
      <w:r w:rsidR="00EB267D" w:rsidRPr="009C1CBC">
        <w:rPr>
          <w:rFonts w:ascii="Garamond" w:hAnsi="Garamond"/>
          <w:b/>
          <w:bCs/>
          <w:sz w:val="24"/>
          <w:szCs w:val="24"/>
        </w:rPr>
        <w:t>.</w:t>
      </w:r>
    </w:p>
    <w:p w14:paraId="189708FC" w14:textId="77777777" w:rsidR="007F0A2B" w:rsidRPr="009C1CBC" w:rsidRDefault="004F2184" w:rsidP="004F2184">
      <w:pPr>
        <w:spacing w:before="80"/>
        <w:jc w:val="both"/>
        <w:rPr>
          <w:rFonts w:ascii="Garamond" w:hAnsi="Garamond"/>
          <w:sz w:val="24"/>
          <w:szCs w:val="24"/>
        </w:rPr>
      </w:pPr>
      <w:r w:rsidRPr="009C1CBC">
        <w:rPr>
          <w:rFonts w:ascii="Garamond" w:hAnsi="Garamond"/>
          <w:sz w:val="24"/>
          <w:szCs w:val="24"/>
        </w:rPr>
        <w:t xml:space="preserve"> </w:t>
      </w:r>
      <w:r w:rsidR="007F0A2B" w:rsidRPr="009C1CBC">
        <w:rPr>
          <w:rFonts w:ascii="Garamond" w:hAnsi="Garamond"/>
          <w:sz w:val="24"/>
          <w:szCs w:val="24"/>
        </w:rPr>
        <w:t>(</w:t>
      </w:r>
      <w:r w:rsidR="00453B18" w:rsidRPr="009C1CBC">
        <w:rPr>
          <w:rFonts w:ascii="Garamond" w:hAnsi="Garamond"/>
          <w:sz w:val="24"/>
          <w:szCs w:val="24"/>
        </w:rPr>
        <w:t>2</w:t>
      </w:r>
      <w:r w:rsidR="007F0A2B" w:rsidRPr="009C1CBC">
        <w:rPr>
          <w:rFonts w:ascii="Garamond" w:hAnsi="Garamond"/>
          <w:sz w:val="24"/>
          <w:szCs w:val="24"/>
        </w:rPr>
        <w:t xml:space="preserve">) </w:t>
      </w:r>
      <w:r w:rsidR="00F8359E" w:rsidRPr="009C1CBC">
        <w:rPr>
          <w:rFonts w:ascii="Garamond" w:hAnsi="Garamond"/>
          <w:sz w:val="24"/>
          <w:szCs w:val="24"/>
        </w:rPr>
        <w:t xml:space="preserve">a </w:t>
      </w:r>
      <w:r w:rsidR="007F0A2B" w:rsidRPr="009C1CBC">
        <w:rPr>
          <w:rFonts w:ascii="Garamond" w:hAnsi="Garamond"/>
          <w:sz w:val="24"/>
          <w:szCs w:val="24"/>
          <w:u w:val="single"/>
        </w:rPr>
        <w:t>5-10 minute “</w:t>
      </w:r>
      <w:r w:rsidR="00F8359E" w:rsidRPr="009C1CBC">
        <w:rPr>
          <w:rFonts w:ascii="Garamond" w:hAnsi="Garamond"/>
          <w:sz w:val="24"/>
          <w:szCs w:val="24"/>
          <w:u w:val="single"/>
        </w:rPr>
        <w:t>show-and-tell</w:t>
      </w:r>
      <w:r w:rsidR="007F0A2B" w:rsidRPr="009C1CBC">
        <w:rPr>
          <w:rFonts w:ascii="Garamond" w:hAnsi="Garamond"/>
          <w:sz w:val="24"/>
          <w:szCs w:val="24"/>
          <w:u w:val="single"/>
        </w:rPr>
        <w:t>” presentation</w:t>
      </w:r>
      <w:r w:rsidR="007F0A2B" w:rsidRPr="009C1CBC">
        <w:rPr>
          <w:rFonts w:ascii="Garamond" w:hAnsi="Garamond"/>
          <w:sz w:val="24"/>
          <w:szCs w:val="24"/>
        </w:rPr>
        <w:t xml:space="preserve"> </w:t>
      </w:r>
      <w:r w:rsidR="0022085F" w:rsidRPr="009C1CBC">
        <w:rPr>
          <w:rFonts w:ascii="Garamond" w:hAnsi="Garamond"/>
          <w:sz w:val="24"/>
          <w:szCs w:val="24"/>
        </w:rPr>
        <w:t>(</w:t>
      </w:r>
      <w:r w:rsidR="00453B18" w:rsidRPr="009C1CBC">
        <w:rPr>
          <w:rFonts w:ascii="Garamond" w:hAnsi="Garamond"/>
          <w:sz w:val="24"/>
          <w:szCs w:val="24"/>
        </w:rPr>
        <w:t>5</w:t>
      </w:r>
      <w:r w:rsidR="0022085F" w:rsidRPr="009C1CBC">
        <w:rPr>
          <w:rFonts w:ascii="Garamond" w:hAnsi="Garamond"/>
          <w:sz w:val="24"/>
          <w:szCs w:val="24"/>
        </w:rPr>
        <w:t>%)</w:t>
      </w:r>
      <w:r w:rsidR="00BC325B" w:rsidRPr="009C1CBC">
        <w:rPr>
          <w:rFonts w:ascii="Garamond" w:hAnsi="Garamond"/>
          <w:sz w:val="24"/>
          <w:szCs w:val="24"/>
        </w:rPr>
        <w:t xml:space="preserve"> </w:t>
      </w:r>
      <w:r w:rsidR="007F0A2B" w:rsidRPr="009C1CBC">
        <w:rPr>
          <w:rFonts w:ascii="Garamond" w:hAnsi="Garamond"/>
          <w:sz w:val="24"/>
          <w:szCs w:val="24"/>
        </w:rPr>
        <w:t xml:space="preserve">in class one of the early class sessions. </w:t>
      </w:r>
      <w:r w:rsidR="00F8359E" w:rsidRPr="009C1CBC">
        <w:rPr>
          <w:rFonts w:ascii="Garamond" w:hAnsi="Garamond"/>
          <w:sz w:val="24"/>
          <w:szCs w:val="24"/>
        </w:rPr>
        <w:t xml:space="preserve"> </w:t>
      </w:r>
    </w:p>
    <w:p w14:paraId="75405834" w14:textId="777BED23" w:rsidR="0022085F" w:rsidRPr="009C1CBC" w:rsidRDefault="0022085F" w:rsidP="00453B18">
      <w:pPr>
        <w:spacing w:before="80"/>
        <w:ind w:left="360"/>
        <w:jc w:val="both"/>
        <w:rPr>
          <w:rFonts w:ascii="Garamond" w:hAnsi="Garamond"/>
          <w:sz w:val="24"/>
          <w:szCs w:val="24"/>
          <w:u w:val="single"/>
        </w:rPr>
      </w:pPr>
      <w:r w:rsidRPr="009C1CBC">
        <w:rPr>
          <w:rFonts w:ascii="Garamond" w:hAnsi="Garamond"/>
          <w:sz w:val="24"/>
          <w:szCs w:val="24"/>
        </w:rPr>
        <w:t>This presentation should address some aspect of</w:t>
      </w:r>
      <w:r w:rsidR="00142685" w:rsidRPr="009C1CBC">
        <w:rPr>
          <w:rFonts w:ascii="Garamond" w:hAnsi="Garamond"/>
          <w:sz w:val="24"/>
          <w:szCs w:val="24"/>
        </w:rPr>
        <w:t xml:space="preserve"> current</w:t>
      </w:r>
      <w:r w:rsidRPr="009C1CBC">
        <w:rPr>
          <w:rFonts w:ascii="Garamond" w:hAnsi="Garamond"/>
          <w:sz w:val="24"/>
          <w:szCs w:val="24"/>
        </w:rPr>
        <w:t xml:space="preserve"> class action </w:t>
      </w:r>
      <w:r w:rsidR="005B4D69" w:rsidRPr="009C1CBC">
        <w:rPr>
          <w:rFonts w:ascii="Garamond" w:hAnsi="Garamond"/>
          <w:sz w:val="24"/>
          <w:szCs w:val="24"/>
        </w:rPr>
        <w:t>litigation</w:t>
      </w:r>
      <w:r w:rsidRPr="009C1CBC">
        <w:rPr>
          <w:rFonts w:ascii="Garamond" w:hAnsi="Garamond"/>
          <w:sz w:val="24"/>
          <w:szCs w:val="24"/>
        </w:rPr>
        <w:t xml:space="preserve">, politics, or depiction in popular culture.  It could focus, for example, on a movie, an op-ed, or a blog post about a supposedly </w:t>
      </w:r>
      <w:r w:rsidR="00142685" w:rsidRPr="009C1CBC">
        <w:rPr>
          <w:rFonts w:ascii="Garamond" w:hAnsi="Garamond"/>
          <w:sz w:val="24"/>
          <w:szCs w:val="24"/>
        </w:rPr>
        <w:t xml:space="preserve">wonderful or </w:t>
      </w:r>
      <w:r w:rsidRPr="009C1CBC">
        <w:rPr>
          <w:rFonts w:ascii="Garamond" w:hAnsi="Garamond"/>
          <w:sz w:val="24"/>
          <w:szCs w:val="24"/>
        </w:rPr>
        <w:t xml:space="preserve">outrageous class action.  Anything goes (and you get full credit) as long as it’s interesting.  We’ll need to move fast to get all of these in in classes </w:t>
      </w:r>
      <w:r w:rsidR="00453B18" w:rsidRPr="009C1CBC">
        <w:rPr>
          <w:rFonts w:ascii="Garamond" w:hAnsi="Garamond"/>
          <w:sz w:val="24"/>
          <w:szCs w:val="24"/>
        </w:rPr>
        <w:t>1</w:t>
      </w:r>
      <w:r w:rsidRPr="009C1CBC">
        <w:rPr>
          <w:rFonts w:ascii="Garamond" w:hAnsi="Garamond"/>
          <w:sz w:val="24"/>
          <w:szCs w:val="24"/>
        </w:rPr>
        <w:t>-4, so let me know right away (even before the class) when you’d like to do yours</w:t>
      </w:r>
      <w:r w:rsidR="00453B18" w:rsidRPr="009C1CBC">
        <w:rPr>
          <w:rFonts w:ascii="Garamond" w:hAnsi="Garamond"/>
          <w:sz w:val="24"/>
          <w:szCs w:val="24"/>
        </w:rPr>
        <w:t>.</w:t>
      </w:r>
      <w:r w:rsidRPr="009C1CBC">
        <w:rPr>
          <w:rFonts w:ascii="Garamond" w:hAnsi="Garamond"/>
          <w:sz w:val="24"/>
          <w:szCs w:val="24"/>
        </w:rPr>
        <w:t xml:space="preserve"> </w:t>
      </w:r>
      <w:r w:rsidRPr="009C1CBC">
        <w:rPr>
          <w:rFonts w:ascii="Garamond" w:hAnsi="Garamond"/>
          <w:sz w:val="24"/>
          <w:szCs w:val="24"/>
          <w:u w:val="single"/>
        </w:rPr>
        <w:t xml:space="preserve"> </w:t>
      </w:r>
    </w:p>
    <w:p w14:paraId="4084A69F" w14:textId="1FA29662" w:rsidR="0076620A" w:rsidRPr="009C1CBC" w:rsidRDefault="00453B18" w:rsidP="00565A6B">
      <w:pPr>
        <w:pStyle w:val="BodyText2"/>
        <w:tabs>
          <w:tab w:val="left" w:pos="810"/>
        </w:tabs>
        <w:spacing w:before="80"/>
        <w:ind w:firstLine="0"/>
        <w:rPr>
          <w:rFonts w:ascii="Garamond" w:hAnsi="Garamond"/>
          <w:sz w:val="24"/>
        </w:rPr>
      </w:pPr>
      <w:r w:rsidRPr="009C1CBC">
        <w:rPr>
          <w:rFonts w:ascii="Garamond" w:hAnsi="Garamond"/>
          <w:b/>
          <w:sz w:val="24"/>
        </w:rPr>
        <w:t xml:space="preserve">B. </w:t>
      </w:r>
      <w:r w:rsidR="00F8359E" w:rsidRPr="009C1CBC">
        <w:rPr>
          <w:rFonts w:ascii="Garamond" w:hAnsi="Garamond"/>
          <w:b/>
          <w:sz w:val="24"/>
        </w:rPr>
        <w:t>Paper</w:t>
      </w:r>
      <w:r w:rsidR="00062BAD" w:rsidRPr="009C1CBC">
        <w:rPr>
          <w:rFonts w:ascii="Garamond" w:hAnsi="Garamond"/>
          <w:b/>
          <w:sz w:val="24"/>
        </w:rPr>
        <w:t xml:space="preserve"> (75%)</w:t>
      </w:r>
      <w:r w:rsidR="00F8359E" w:rsidRPr="009C1CBC">
        <w:rPr>
          <w:rFonts w:ascii="Garamond" w:hAnsi="Garamond"/>
          <w:sz w:val="24"/>
        </w:rPr>
        <w:t xml:space="preserve">.  </w:t>
      </w:r>
      <w:r w:rsidR="00F8359E" w:rsidRPr="009C1CBC">
        <w:rPr>
          <w:rFonts w:ascii="Garamond" w:hAnsi="Garamond"/>
          <w:bCs/>
          <w:sz w:val="24"/>
        </w:rPr>
        <w:t>The</w:t>
      </w:r>
      <w:r w:rsidR="00F47260" w:rsidRPr="009C1CBC">
        <w:rPr>
          <w:rFonts w:ascii="Garamond" w:hAnsi="Garamond"/>
          <w:bCs/>
          <w:sz w:val="24"/>
        </w:rPr>
        <w:t xml:space="preserve"> final</w:t>
      </w:r>
      <w:r w:rsidR="00F8359E" w:rsidRPr="009C1CBC">
        <w:rPr>
          <w:rFonts w:ascii="Garamond" w:hAnsi="Garamond"/>
          <w:bCs/>
          <w:sz w:val="24"/>
        </w:rPr>
        <w:t xml:space="preserve"> paper</w:t>
      </w:r>
      <w:r w:rsidR="003609DF" w:rsidRPr="009C1CBC">
        <w:rPr>
          <w:rFonts w:ascii="Garamond" w:hAnsi="Garamond"/>
          <w:bCs/>
          <w:sz w:val="24"/>
        </w:rPr>
        <w:t xml:space="preserve"> </w:t>
      </w:r>
      <w:r w:rsidR="00F8359E" w:rsidRPr="009C1CBC">
        <w:rPr>
          <w:rFonts w:ascii="Garamond" w:hAnsi="Garamond"/>
          <w:bCs/>
          <w:sz w:val="24"/>
        </w:rPr>
        <w:t>should be 25 pages long</w:t>
      </w:r>
      <w:r w:rsidR="00A6428A" w:rsidRPr="009C1CBC">
        <w:rPr>
          <w:rFonts w:ascii="Garamond" w:hAnsi="Garamond"/>
          <w:bCs/>
          <w:sz w:val="24"/>
        </w:rPr>
        <w:t xml:space="preserve"> (about 6500 words)</w:t>
      </w:r>
      <w:r w:rsidR="00F8359E" w:rsidRPr="009C1CBC">
        <w:rPr>
          <w:rFonts w:ascii="Garamond" w:hAnsi="Garamond"/>
          <w:bCs/>
          <w:sz w:val="24"/>
        </w:rPr>
        <w:t xml:space="preserve">, including footnotes.  </w:t>
      </w:r>
      <w:r w:rsidR="00F8359E" w:rsidRPr="009C1CBC">
        <w:rPr>
          <w:rFonts w:ascii="Garamond" w:hAnsi="Garamond"/>
          <w:sz w:val="24"/>
        </w:rPr>
        <w:t>In the paper, you must</w:t>
      </w:r>
      <w:r w:rsidR="00142685" w:rsidRPr="009C1CBC">
        <w:rPr>
          <w:rFonts w:ascii="Garamond" w:hAnsi="Garamond"/>
          <w:sz w:val="24"/>
        </w:rPr>
        <w:t xml:space="preserve">, of course, </w:t>
      </w:r>
      <w:r w:rsidR="00F8359E" w:rsidRPr="009C1CBC">
        <w:rPr>
          <w:rFonts w:ascii="Garamond" w:hAnsi="Garamond"/>
          <w:sz w:val="24"/>
        </w:rPr>
        <w:t>research and describe the law</w:t>
      </w:r>
      <w:r w:rsidR="00142685" w:rsidRPr="009C1CBC">
        <w:rPr>
          <w:rFonts w:ascii="Garamond" w:hAnsi="Garamond"/>
          <w:sz w:val="24"/>
        </w:rPr>
        <w:t>.  Equally important, however, you must</w:t>
      </w:r>
      <w:r w:rsidR="00F8359E" w:rsidRPr="009C1CBC">
        <w:rPr>
          <w:rFonts w:ascii="Garamond" w:hAnsi="Garamond"/>
          <w:sz w:val="24"/>
        </w:rPr>
        <w:t xml:space="preserve"> analyze the key issues and develop and sustain an argument.  </w:t>
      </w:r>
      <w:r w:rsidR="0076620A" w:rsidRPr="009C1CBC">
        <w:rPr>
          <w:rFonts w:ascii="Garamond" w:hAnsi="Garamond"/>
          <w:sz w:val="24"/>
        </w:rPr>
        <w:t xml:space="preserve">To receive full credit for the paper, </w:t>
      </w:r>
      <w:r w:rsidR="00554AC3" w:rsidRPr="009C1CBC">
        <w:rPr>
          <w:rFonts w:ascii="Garamond" w:hAnsi="Garamond"/>
          <w:sz w:val="24"/>
        </w:rPr>
        <w:t>you must turn in a complete draft on the assigned day on the syllabus.</w:t>
      </w:r>
    </w:p>
    <w:p w14:paraId="3BF8F29C" w14:textId="77777777" w:rsidR="00F8359E" w:rsidRPr="009C1CBC" w:rsidRDefault="00F8359E" w:rsidP="00453B18">
      <w:pPr>
        <w:pStyle w:val="BodyText2"/>
        <w:tabs>
          <w:tab w:val="left" w:pos="810"/>
        </w:tabs>
        <w:spacing w:before="80"/>
        <w:ind w:left="360" w:firstLine="0"/>
        <w:rPr>
          <w:rFonts w:ascii="Garamond" w:hAnsi="Garamond"/>
          <w:sz w:val="24"/>
        </w:rPr>
      </w:pPr>
      <w:r w:rsidRPr="009C1CBC">
        <w:rPr>
          <w:rFonts w:ascii="Garamond" w:hAnsi="Garamond"/>
          <w:sz w:val="24"/>
        </w:rPr>
        <w:t xml:space="preserve">There are two main types of papers that are acceptable:  </w:t>
      </w:r>
    </w:p>
    <w:p w14:paraId="58802423" w14:textId="48F95F78" w:rsidR="00F8359E" w:rsidRPr="009C1CBC" w:rsidRDefault="00F8359E" w:rsidP="00453B18">
      <w:pPr>
        <w:pStyle w:val="BodyText2"/>
        <w:tabs>
          <w:tab w:val="left" w:pos="810"/>
        </w:tabs>
        <w:spacing w:before="80"/>
        <w:ind w:left="360" w:firstLine="0"/>
        <w:rPr>
          <w:rFonts w:ascii="Garamond" w:hAnsi="Garamond"/>
          <w:sz w:val="24"/>
        </w:rPr>
      </w:pPr>
      <w:r w:rsidRPr="009C1CBC">
        <w:rPr>
          <w:rFonts w:ascii="Garamond" w:hAnsi="Garamond"/>
          <w:b/>
          <w:i/>
          <w:sz w:val="24"/>
        </w:rPr>
        <w:t>Traditional</w:t>
      </w:r>
      <w:r w:rsidRPr="009C1CBC">
        <w:rPr>
          <w:rFonts w:ascii="Garamond" w:hAnsi="Garamond"/>
          <w:b/>
          <w:sz w:val="24"/>
        </w:rPr>
        <w:t>:</w:t>
      </w:r>
      <w:r w:rsidR="00453B18" w:rsidRPr="009C1CBC">
        <w:rPr>
          <w:rFonts w:ascii="Garamond" w:hAnsi="Garamond"/>
          <w:sz w:val="24"/>
        </w:rPr>
        <w:t xml:space="preserve">  a law-review style</w:t>
      </w:r>
      <w:r w:rsidRPr="009C1CBC">
        <w:rPr>
          <w:rFonts w:ascii="Garamond" w:hAnsi="Garamond"/>
          <w:sz w:val="24"/>
        </w:rPr>
        <w:t xml:space="preserve"> examination of a current legal issue or doctrine, analyzing the leading and recent </w:t>
      </w:r>
      <w:r w:rsidR="00453B18" w:rsidRPr="009C1CBC">
        <w:rPr>
          <w:rFonts w:ascii="Garamond" w:hAnsi="Garamond"/>
          <w:sz w:val="24"/>
        </w:rPr>
        <w:t>decisions and making a legal an</w:t>
      </w:r>
      <w:r w:rsidR="00142685" w:rsidRPr="009C1CBC">
        <w:rPr>
          <w:rFonts w:ascii="Garamond" w:hAnsi="Garamond"/>
          <w:sz w:val="24"/>
        </w:rPr>
        <w:t>d</w:t>
      </w:r>
      <w:r w:rsidR="00453B18" w:rsidRPr="009C1CBC">
        <w:rPr>
          <w:rFonts w:ascii="Garamond" w:hAnsi="Garamond"/>
          <w:sz w:val="24"/>
        </w:rPr>
        <w:t xml:space="preserve"> informed</w:t>
      </w:r>
      <w:r w:rsidRPr="009C1CBC">
        <w:rPr>
          <w:rFonts w:ascii="Garamond" w:hAnsi="Garamond"/>
          <w:sz w:val="24"/>
        </w:rPr>
        <w:t xml:space="preserve"> policy argument.  </w:t>
      </w:r>
    </w:p>
    <w:p w14:paraId="46F727E9" w14:textId="10BCAC50" w:rsidR="00F8359E" w:rsidRPr="009C1CBC" w:rsidRDefault="00F8359E" w:rsidP="00453B18">
      <w:pPr>
        <w:pStyle w:val="BodyText2"/>
        <w:tabs>
          <w:tab w:val="left" w:pos="810"/>
        </w:tabs>
        <w:spacing w:before="80"/>
        <w:ind w:left="360" w:firstLine="0"/>
        <w:rPr>
          <w:rFonts w:ascii="Garamond" w:hAnsi="Garamond"/>
          <w:sz w:val="24"/>
          <w:u w:val="single"/>
        </w:rPr>
      </w:pPr>
      <w:r w:rsidRPr="009C1CBC">
        <w:rPr>
          <w:rFonts w:ascii="Garamond" w:hAnsi="Garamond"/>
          <w:b/>
          <w:i/>
          <w:sz w:val="24"/>
        </w:rPr>
        <w:t>Record study</w:t>
      </w:r>
      <w:r w:rsidRPr="009C1CBC">
        <w:rPr>
          <w:rFonts w:ascii="Garamond" w:hAnsi="Garamond"/>
          <w:b/>
          <w:sz w:val="24"/>
        </w:rPr>
        <w:t xml:space="preserve">: </w:t>
      </w:r>
      <w:r w:rsidRPr="009C1CBC">
        <w:rPr>
          <w:rFonts w:ascii="Garamond" w:hAnsi="Garamond"/>
          <w:sz w:val="24"/>
        </w:rPr>
        <w:t xml:space="preserve"> an in-depth analysis of the record in a single class action, using Pacer</w:t>
      </w:r>
      <w:r w:rsidR="00442351" w:rsidRPr="009C1CBC">
        <w:rPr>
          <w:rFonts w:ascii="Garamond" w:hAnsi="Garamond"/>
          <w:sz w:val="24"/>
        </w:rPr>
        <w:t xml:space="preserve"> to access litigation documents, such as pleadings, orders, discovery materials, and briefs</w:t>
      </w:r>
      <w:r w:rsidRPr="009C1CBC">
        <w:rPr>
          <w:rFonts w:ascii="Garamond" w:hAnsi="Garamond"/>
          <w:sz w:val="24"/>
        </w:rPr>
        <w:t xml:space="preserve">.  There </w:t>
      </w:r>
      <w:r w:rsidR="00442351" w:rsidRPr="009C1CBC">
        <w:rPr>
          <w:rFonts w:ascii="Garamond" w:hAnsi="Garamond"/>
          <w:sz w:val="24"/>
        </w:rPr>
        <w:t>must</w:t>
      </w:r>
      <w:r w:rsidRPr="009C1CBC">
        <w:rPr>
          <w:rFonts w:ascii="Garamond" w:hAnsi="Garamond"/>
          <w:sz w:val="24"/>
        </w:rPr>
        <w:t xml:space="preserve"> be an introduction, placing the issues in the class action in context, followed by a detailed discussion of the </w:t>
      </w:r>
      <w:r w:rsidR="00442351" w:rsidRPr="009C1CBC">
        <w:rPr>
          <w:rFonts w:ascii="Garamond" w:hAnsi="Garamond"/>
          <w:sz w:val="24"/>
        </w:rPr>
        <w:t>decisions and litigation documents</w:t>
      </w:r>
      <w:r w:rsidRPr="009C1CBC">
        <w:rPr>
          <w:rFonts w:ascii="Garamond" w:hAnsi="Garamond"/>
          <w:sz w:val="24"/>
        </w:rPr>
        <w:t xml:space="preserve">.  </w:t>
      </w:r>
      <w:r w:rsidR="003548AB" w:rsidRPr="009C1CBC">
        <w:rPr>
          <w:rFonts w:ascii="Garamond" w:hAnsi="Garamond"/>
          <w:sz w:val="24"/>
        </w:rPr>
        <w:t>The discussions must be analytical</w:t>
      </w:r>
      <w:r w:rsidR="00453B18" w:rsidRPr="009C1CBC">
        <w:rPr>
          <w:rFonts w:ascii="Garamond" w:hAnsi="Garamond"/>
          <w:sz w:val="24"/>
        </w:rPr>
        <w:t xml:space="preserve">.  It </w:t>
      </w:r>
      <w:r w:rsidR="00453B18" w:rsidRPr="009C1CBC">
        <w:rPr>
          <w:rFonts w:ascii="Garamond" w:hAnsi="Garamond"/>
          <w:i/>
          <w:sz w:val="24"/>
        </w:rPr>
        <w:t>must refer to litigation documents from Pacer</w:t>
      </w:r>
      <w:r w:rsidR="00442351" w:rsidRPr="009C1CBC">
        <w:rPr>
          <w:rFonts w:ascii="Garamond" w:hAnsi="Garamond"/>
          <w:sz w:val="24"/>
        </w:rPr>
        <w:t xml:space="preserve"> (citing each one by its ECF (electronic case filing) number</w:t>
      </w:r>
      <w:r w:rsidR="00453B18" w:rsidRPr="009C1CBC">
        <w:rPr>
          <w:rFonts w:ascii="Garamond" w:hAnsi="Garamond"/>
          <w:sz w:val="24"/>
        </w:rPr>
        <w:t xml:space="preserve"> and </w:t>
      </w:r>
      <w:r w:rsidR="00453B18" w:rsidRPr="009C1CBC">
        <w:rPr>
          <w:rFonts w:ascii="Garamond" w:hAnsi="Garamond"/>
          <w:i/>
          <w:sz w:val="24"/>
        </w:rPr>
        <w:t xml:space="preserve">include </w:t>
      </w:r>
      <w:r w:rsidR="003548AB" w:rsidRPr="009C1CBC">
        <w:rPr>
          <w:rFonts w:ascii="Garamond" w:hAnsi="Garamond"/>
          <w:i/>
          <w:sz w:val="24"/>
        </w:rPr>
        <w:t>independent research</w:t>
      </w:r>
      <w:r w:rsidR="003548AB" w:rsidRPr="009C1CBC">
        <w:rPr>
          <w:rFonts w:ascii="Garamond" w:hAnsi="Garamond"/>
          <w:sz w:val="24"/>
        </w:rPr>
        <w:t xml:space="preserve"> on the important substantive and procedural issues in the litigation.</w:t>
      </w:r>
      <w:r w:rsidR="00453B18" w:rsidRPr="009C1CBC">
        <w:rPr>
          <w:rFonts w:ascii="Garamond" w:hAnsi="Garamond"/>
          <w:sz w:val="24"/>
          <w:u w:val="single"/>
        </w:rPr>
        <w:t xml:space="preserve">  </w:t>
      </w:r>
    </w:p>
    <w:p w14:paraId="12C2DD47" w14:textId="4FB2BB93" w:rsidR="00F8359E" w:rsidRPr="009C1CBC" w:rsidRDefault="00F8359E" w:rsidP="00453B18">
      <w:pPr>
        <w:pStyle w:val="BodyText2"/>
        <w:tabs>
          <w:tab w:val="left" w:pos="810"/>
        </w:tabs>
        <w:spacing w:before="80"/>
        <w:ind w:left="360" w:firstLine="0"/>
        <w:rPr>
          <w:rFonts w:ascii="Garamond" w:hAnsi="Garamond"/>
          <w:sz w:val="24"/>
        </w:rPr>
      </w:pPr>
      <w:r w:rsidRPr="009C1CBC">
        <w:rPr>
          <w:rFonts w:ascii="Garamond" w:hAnsi="Garamond"/>
          <w:sz w:val="24"/>
        </w:rPr>
        <w:t>I’ve posted an example of each of the types of paper in the Course Materials section of TWEN.</w:t>
      </w:r>
    </w:p>
    <w:p w14:paraId="58AFB925" w14:textId="77777777" w:rsidR="00F47260" w:rsidRPr="009C1CBC" w:rsidRDefault="00F47260" w:rsidP="00F47260">
      <w:pPr>
        <w:pStyle w:val="BodyText2"/>
        <w:tabs>
          <w:tab w:val="left" w:pos="810"/>
        </w:tabs>
        <w:spacing w:before="80"/>
        <w:ind w:firstLine="0"/>
        <w:rPr>
          <w:rFonts w:ascii="Garamond" w:hAnsi="Garamond"/>
          <w:sz w:val="24"/>
        </w:rPr>
      </w:pPr>
      <w:r w:rsidRPr="009C1CBC">
        <w:rPr>
          <w:rFonts w:ascii="Garamond" w:hAnsi="Garamond"/>
          <w:sz w:val="24"/>
        </w:rPr>
        <w:t>There are three components of the final paper grade:</w:t>
      </w:r>
    </w:p>
    <w:p w14:paraId="685E9DCD" w14:textId="77777777" w:rsidR="00F47260" w:rsidRPr="009C1CBC" w:rsidRDefault="00F47260" w:rsidP="00F47260">
      <w:pPr>
        <w:pStyle w:val="BodyText2"/>
        <w:tabs>
          <w:tab w:val="left" w:pos="810"/>
        </w:tabs>
        <w:spacing w:before="80"/>
        <w:ind w:firstLine="0"/>
        <w:rPr>
          <w:rFonts w:ascii="Garamond" w:hAnsi="Garamond"/>
          <w:sz w:val="24"/>
        </w:rPr>
      </w:pPr>
      <w:r w:rsidRPr="009C1CBC">
        <w:rPr>
          <w:rFonts w:ascii="Garamond" w:hAnsi="Garamond"/>
          <w:sz w:val="24"/>
        </w:rPr>
        <w:t xml:space="preserve">(1) a </w:t>
      </w:r>
      <w:r w:rsidRPr="009C1CBC">
        <w:rPr>
          <w:rFonts w:ascii="Garamond" w:hAnsi="Garamond"/>
          <w:sz w:val="24"/>
          <w:u w:val="single"/>
        </w:rPr>
        <w:t>prospectus</w:t>
      </w:r>
      <w:r w:rsidRPr="009C1CBC">
        <w:rPr>
          <w:rFonts w:ascii="Garamond" w:hAnsi="Garamond"/>
          <w:sz w:val="24"/>
        </w:rPr>
        <w:t xml:space="preserve">, on time, showing a well-thought-out paper topic, and </w:t>
      </w:r>
      <w:r w:rsidRPr="009C1CBC">
        <w:rPr>
          <w:rFonts w:ascii="Garamond" w:hAnsi="Garamond"/>
          <w:sz w:val="24"/>
          <w:u w:val="single"/>
        </w:rPr>
        <w:t>a complete draft</w:t>
      </w:r>
      <w:r w:rsidRPr="009C1CBC">
        <w:rPr>
          <w:rFonts w:ascii="Garamond" w:hAnsi="Garamond"/>
          <w:sz w:val="24"/>
        </w:rPr>
        <w:t>, on time, showing appropriate progress on your research and writing (5%).</w:t>
      </w:r>
    </w:p>
    <w:p w14:paraId="10D8A7C1" w14:textId="77777777" w:rsidR="00F47260" w:rsidRPr="009C1CBC" w:rsidRDefault="00F47260" w:rsidP="00F47260">
      <w:pPr>
        <w:spacing w:before="80"/>
        <w:jc w:val="both"/>
        <w:rPr>
          <w:rFonts w:ascii="Garamond" w:hAnsi="Garamond"/>
          <w:sz w:val="24"/>
          <w:szCs w:val="24"/>
        </w:rPr>
      </w:pPr>
      <w:r w:rsidRPr="009C1CBC">
        <w:rPr>
          <w:rFonts w:ascii="Garamond" w:hAnsi="Garamond"/>
          <w:sz w:val="24"/>
          <w:szCs w:val="24"/>
        </w:rPr>
        <w:t xml:space="preserve">(2) </w:t>
      </w:r>
      <w:r w:rsidRPr="009C1CBC">
        <w:rPr>
          <w:rFonts w:ascii="Garamond" w:hAnsi="Garamond"/>
          <w:sz w:val="24"/>
          <w:szCs w:val="24"/>
          <w:u w:val="single"/>
        </w:rPr>
        <w:t>a presentation of the research</w:t>
      </w:r>
      <w:r w:rsidRPr="009C1CBC">
        <w:rPr>
          <w:rFonts w:ascii="Garamond" w:hAnsi="Garamond"/>
          <w:sz w:val="24"/>
          <w:szCs w:val="24"/>
        </w:rPr>
        <w:t xml:space="preserve"> on which your paper will be based (10%).  The 20-minute (or so) </w:t>
      </w:r>
      <w:r w:rsidRPr="009C1CBC">
        <w:rPr>
          <w:rFonts w:ascii="Garamond" w:hAnsi="Garamond"/>
          <w:i/>
          <w:sz w:val="24"/>
          <w:szCs w:val="24"/>
        </w:rPr>
        <w:t>presentation</w:t>
      </w:r>
      <w:r w:rsidRPr="009C1CBC">
        <w:rPr>
          <w:rFonts w:ascii="Garamond" w:hAnsi="Garamond"/>
          <w:sz w:val="24"/>
          <w:szCs w:val="24"/>
        </w:rPr>
        <w:t xml:space="preserve"> component will be based on an in-class, oral exposition of your paper’s argument.  An </w:t>
      </w:r>
      <w:r w:rsidRPr="009C1CBC">
        <w:rPr>
          <w:rFonts w:ascii="Garamond" w:hAnsi="Garamond"/>
          <w:b/>
          <w:i/>
          <w:iCs/>
          <w:sz w:val="24"/>
          <w:szCs w:val="24"/>
        </w:rPr>
        <w:t>A</w:t>
      </w:r>
      <w:r w:rsidRPr="009C1CBC">
        <w:rPr>
          <w:rFonts w:ascii="Garamond" w:hAnsi="Garamond"/>
          <w:i/>
          <w:iCs/>
          <w:sz w:val="24"/>
          <w:szCs w:val="24"/>
        </w:rPr>
        <w:t xml:space="preserve"> </w:t>
      </w:r>
      <w:r w:rsidRPr="009C1CBC">
        <w:rPr>
          <w:rFonts w:ascii="Garamond" w:hAnsi="Garamond"/>
          <w:iCs/>
          <w:sz w:val="24"/>
          <w:szCs w:val="24"/>
        </w:rPr>
        <w:t>presentation</w:t>
      </w:r>
      <w:r w:rsidRPr="009C1CBC">
        <w:rPr>
          <w:rFonts w:ascii="Garamond" w:hAnsi="Garamond"/>
          <w:sz w:val="24"/>
          <w:szCs w:val="24"/>
        </w:rPr>
        <w:t xml:space="preserve"> will be clear, informative, analytical, and interesting.  You may use PowerPoint or handouts. </w:t>
      </w:r>
    </w:p>
    <w:p w14:paraId="62A84844" w14:textId="22511BC7" w:rsidR="00F8359E" w:rsidRPr="009C1CBC" w:rsidRDefault="00F47260" w:rsidP="00F47260">
      <w:pPr>
        <w:pStyle w:val="BodyText2"/>
        <w:tabs>
          <w:tab w:val="left" w:pos="810"/>
        </w:tabs>
        <w:spacing w:before="80"/>
        <w:ind w:firstLine="0"/>
        <w:rPr>
          <w:rFonts w:ascii="Garamond" w:hAnsi="Garamond"/>
          <w:sz w:val="24"/>
        </w:rPr>
      </w:pPr>
      <w:r w:rsidRPr="009C1CBC">
        <w:rPr>
          <w:rFonts w:ascii="Garamond" w:hAnsi="Garamond"/>
          <w:sz w:val="24"/>
        </w:rPr>
        <w:t xml:space="preserve">(3) </w:t>
      </w:r>
      <w:r w:rsidRPr="009C1CBC">
        <w:rPr>
          <w:rFonts w:ascii="Garamond" w:hAnsi="Garamond"/>
          <w:sz w:val="24"/>
          <w:u w:val="single"/>
        </w:rPr>
        <w:t>a final research paper</w:t>
      </w:r>
      <w:r w:rsidRPr="009C1CBC">
        <w:rPr>
          <w:rFonts w:ascii="Garamond" w:hAnsi="Garamond"/>
          <w:sz w:val="24"/>
        </w:rPr>
        <w:t xml:space="preserve"> (60%).  </w:t>
      </w:r>
      <w:r w:rsidR="00F8359E" w:rsidRPr="009C1CBC">
        <w:rPr>
          <w:rFonts w:ascii="Garamond" w:hAnsi="Garamond"/>
          <w:sz w:val="24"/>
        </w:rPr>
        <w:t xml:space="preserve">I will base the grade on the quality of your research, writing, analysis, and argument, and on the </w:t>
      </w:r>
      <w:r w:rsidR="00F8359E" w:rsidRPr="009C1CBC">
        <w:rPr>
          <w:rFonts w:ascii="Garamond" w:hAnsi="Garamond"/>
          <w:b/>
          <w:bCs/>
          <w:sz w:val="24"/>
        </w:rPr>
        <w:t>accuracy of your citation form</w:t>
      </w:r>
      <w:r w:rsidR="00F8359E" w:rsidRPr="009C1CBC">
        <w:rPr>
          <w:rFonts w:ascii="Garamond" w:hAnsi="Garamond"/>
          <w:smallCaps/>
          <w:sz w:val="24"/>
        </w:rPr>
        <w:t xml:space="preserve"> (</w:t>
      </w:r>
      <w:r w:rsidR="00F8359E" w:rsidRPr="009C1CBC">
        <w:rPr>
          <w:rFonts w:ascii="Garamond" w:hAnsi="Garamond"/>
          <w:sz w:val="24"/>
        </w:rPr>
        <w:t>following</w:t>
      </w:r>
      <w:r w:rsidR="00F8359E" w:rsidRPr="009C1CBC">
        <w:rPr>
          <w:rFonts w:ascii="Garamond" w:hAnsi="Garamond"/>
          <w:smallCaps/>
          <w:sz w:val="24"/>
        </w:rPr>
        <w:t xml:space="preserve"> A Uniform System of Citation </w:t>
      </w:r>
      <w:r w:rsidR="007F78E9" w:rsidRPr="009C1CBC">
        <w:rPr>
          <w:rFonts w:ascii="Garamond" w:hAnsi="Garamond"/>
          <w:sz w:val="24"/>
        </w:rPr>
        <w:t>(20</w:t>
      </w:r>
      <w:r w:rsidR="00F8359E" w:rsidRPr="009C1CBC">
        <w:rPr>
          <w:rFonts w:ascii="Garamond" w:hAnsi="Garamond"/>
          <w:sz w:val="24"/>
        </w:rPr>
        <w:t>th ed.</w:t>
      </w:r>
      <w:r w:rsidR="007F78E9" w:rsidRPr="009C1CBC">
        <w:rPr>
          <w:rFonts w:ascii="Garamond" w:hAnsi="Garamond"/>
          <w:sz w:val="24"/>
        </w:rPr>
        <w:t xml:space="preserve"> 2016</w:t>
      </w:r>
      <w:r w:rsidR="00F8359E" w:rsidRPr="009C1CBC">
        <w:rPr>
          <w:rFonts w:ascii="Garamond" w:hAnsi="Garamond"/>
          <w:sz w:val="24"/>
        </w:rPr>
        <w:t xml:space="preserve">).  An </w:t>
      </w:r>
      <w:r w:rsidR="00F8359E" w:rsidRPr="009C1CBC">
        <w:rPr>
          <w:rFonts w:ascii="Garamond" w:hAnsi="Garamond"/>
          <w:b/>
          <w:i/>
          <w:iCs/>
          <w:sz w:val="24"/>
        </w:rPr>
        <w:t>A</w:t>
      </w:r>
      <w:r w:rsidR="00F8359E" w:rsidRPr="009C1CBC">
        <w:rPr>
          <w:rFonts w:ascii="Garamond" w:hAnsi="Garamond"/>
          <w:i/>
          <w:iCs/>
          <w:sz w:val="24"/>
        </w:rPr>
        <w:t xml:space="preserve"> </w:t>
      </w:r>
      <w:r w:rsidR="00F8359E" w:rsidRPr="009C1CBC">
        <w:rPr>
          <w:rFonts w:ascii="Garamond" w:hAnsi="Garamond"/>
          <w:iCs/>
          <w:sz w:val="24"/>
        </w:rPr>
        <w:t>traditional</w:t>
      </w:r>
      <w:r w:rsidR="00F8359E" w:rsidRPr="009C1CBC">
        <w:rPr>
          <w:rFonts w:ascii="Garamond" w:hAnsi="Garamond"/>
          <w:sz w:val="24"/>
        </w:rPr>
        <w:t xml:space="preserve"> will develop a clear and imaginative argument based on thorough research and analysis, using accurate citation form.  An </w:t>
      </w:r>
      <w:r w:rsidR="00F8359E" w:rsidRPr="009C1CBC">
        <w:rPr>
          <w:rFonts w:ascii="Garamond" w:hAnsi="Garamond"/>
          <w:b/>
          <w:i/>
          <w:sz w:val="24"/>
        </w:rPr>
        <w:t>A</w:t>
      </w:r>
      <w:r w:rsidR="00F8359E" w:rsidRPr="009C1CBC">
        <w:rPr>
          <w:rFonts w:ascii="Garamond" w:hAnsi="Garamond"/>
          <w:sz w:val="24"/>
        </w:rPr>
        <w:t xml:space="preserve"> record study will present the context of the issues and examine the record in detail, explaining the significance of the action of the court and the parties at each stage, clearly and insightfully.</w:t>
      </w:r>
      <w:r w:rsidR="007F78E9" w:rsidRPr="009C1CBC">
        <w:rPr>
          <w:rFonts w:ascii="Garamond" w:hAnsi="Garamond"/>
          <w:sz w:val="24"/>
        </w:rPr>
        <w:t xml:space="preserve"> It will reflect independent research of the key procedural and substantive issues in the case.</w:t>
      </w:r>
      <w:r w:rsidR="00A6428A" w:rsidRPr="009C1CBC">
        <w:rPr>
          <w:rFonts w:ascii="Garamond" w:hAnsi="Garamond"/>
          <w:sz w:val="24"/>
        </w:rPr>
        <w:t xml:space="preserve"> It will include citations litigation documents by their ECF (electronic case filing) number, as described in the Blue Book.  </w:t>
      </w:r>
    </w:p>
    <w:p w14:paraId="6CE93889" w14:textId="312B3887" w:rsidR="00F8359E" w:rsidRPr="009C1CBC" w:rsidRDefault="00F8359E" w:rsidP="00453B18">
      <w:pPr>
        <w:tabs>
          <w:tab w:val="num" w:pos="360"/>
        </w:tabs>
        <w:spacing w:before="80"/>
        <w:ind w:left="360"/>
        <w:jc w:val="both"/>
        <w:rPr>
          <w:rFonts w:ascii="Garamond" w:hAnsi="Garamond"/>
          <w:b/>
          <w:i/>
          <w:sz w:val="24"/>
          <w:szCs w:val="24"/>
        </w:rPr>
      </w:pPr>
      <w:r w:rsidRPr="009C1CBC">
        <w:rPr>
          <w:rFonts w:ascii="Garamond" w:hAnsi="Garamond"/>
          <w:b/>
          <w:i/>
          <w:sz w:val="24"/>
          <w:szCs w:val="24"/>
        </w:rPr>
        <w:t xml:space="preserve">Prospectuses, drafts, and final papers must be submitted </w:t>
      </w:r>
      <w:r w:rsidRPr="009C1CBC">
        <w:rPr>
          <w:rFonts w:ascii="Garamond" w:hAnsi="Garamond"/>
          <w:b/>
          <w:i/>
          <w:iCs/>
          <w:sz w:val="24"/>
          <w:szCs w:val="24"/>
        </w:rPr>
        <w:t xml:space="preserve">to </w:t>
      </w:r>
      <w:r w:rsidR="007F78E9" w:rsidRPr="009C1CBC">
        <w:rPr>
          <w:rFonts w:ascii="Garamond" w:hAnsi="Garamond"/>
          <w:b/>
          <w:i/>
          <w:iCs/>
          <w:sz w:val="24"/>
          <w:szCs w:val="24"/>
        </w:rPr>
        <w:t>me by email</w:t>
      </w:r>
      <w:r w:rsidRPr="009C1CBC">
        <w:rPr>
          <w:rFonts w:ascii="Garamond" w:hAnsi="Garamond"/>
          <w:b/>
          <w:i/>
          <w:sz w:val="24"/>
          <w:szCs w:val="24"/>
        </w:rPr>
        <w:t xml:space="preserve"> or before the dates indicated in the syllabus.  The grade for </w:t>
      </w:r>
      <w:r w:rsidR="00F47260" w:rsidRPr="009C1CBC">
        <w:rPr>
          <w:rFonts w:ascii="Garamond" w:hAnsi="Garamond"/>
          <w:b/>
          <w:i/>
          <w:sz w:val="24"/>
          <w:szCs w:val="24"/>
        </w:rPr>
        <w:t>a component</w:t>
      </w:r>
      <w:r w:rsidRPr="009C1CBC">
        <w:rPr>
          <w:rFonts w:ascii="Garamond" w:hAnsi="Garamond"/>
          <w:b/>
          <w:i/>
          <w:sz w:val="24"/>
          <w:szCs w:val="24"/>
        </w:rPr>
        <w:t xml:space="preserve"> portion of the </w:t>
      </w:r>
      <w:r w:rsidR="00F47260" w:rsidRPr="009C1CBC">
        <w:rPr>
          <w:rFonts w:ascii="Garamond" w:hAnsi="Garamond"/>
          <w:b/>
          <w:i/>
          <w:sz w:val="24"/>
          <w:szCs w:val="24"/>
        </w:rPr>
        <w:t>paper grade</w:t>
      </w:r>
      <w:r w:rsidRPr="009C1CBC">
        <w:rPr>
          <w:rFonts w:ascii="Garamond" w:hAnsi="Garamond"/>
          <w:b/>
          <w:i/>
          <w:sz w:val="24"/>
          <w:szCs w:val="24"/>
        </w:rPr>
        <w:t xml:space="preserve"> will decline by one letter grade for each week past the deadline that the assignment is submitted.  </w:t>
      </w:r>
    </w:p>
    <w:p w14:paraId="4A2AC5D2" w14:textId="77777777" w:rsidR="00F8359E" w:rsidRPr="009C1CBC" w:rsidRDefault="00F8359E" w:rsidP="00453B18">
      <w:pPr>
        <w:pStyle w:val="BodyText2"/>
        <w:spacing w:before="80"/>
        <w:ind w:left="360" w:firstLine="0"/>
        <w:rPr>
          <w:rFonts w:ascii="Garamond" w:hAnsi="Garamond"/>
          <w:sz w:val="24"/>
        </w:rPr>
      </w:pPr>
      <w:r w:rsidRPr="009C1CBC">
        <w:rPr>
          <w:rFonts w:ascii="Garamond" w:hAnsi="Garamond"/>
          <w:b/>
          <w:sz w:val="24"/>
        </w:rPr>
        <w:t xml:space="preserve">Also, please review the College honor code, particularly with reference to plagiarism:  </w:t>
      </w:r>
      <w:hyperlink r:id="rId9" w:history="1">
        <w:r w:rsidR="00A64B78" w:rsidRPr="009C1CBC">
          <w:rPr>
            <w:rStyle w:val="Hyperlink"/>
            <w:rFonts w:ascii="Garamond" w:hAnsi="Garamond"/>
          </w:rPr>
          <w:t>https://www.law.ufl.edu/life-at-uf-law/office-of-student-affairs/additional-information/honor-code-and-committee/honor-code</w:t>
        </w:r>
      </w:hyperlink>
      <w:r w:rsidR="00A64B78" w:rsidRPr="009C1CBC">
        <w:rPr>
          <w:rFonts w:ascii="Garamond" w:hAnsi="Garamond"/>
        </w:rPr>
        <w:t xml:space="preserve"> </w:t>
      </w:r>
    </w:p>
    <w:p w14:paraId="65F3F269" w14:textId="77777777" w:rsidR="00F8359E" w:rsidRPr="009C1CBC" w:rsidRDefault="00F8359E" w:rsidP="00453B18">
      <w:pPr>
        <w:spacing w:before="80"/>
        <w:jc w:val="both"/>
        <w:rPr>
          <w:rFonts w:ascii="Garamond" w:hAnsi="Garamond"/>
          <w:b/>
          <w:bCs/>
          <w:sz w:val="24"/>
          <w:szCs w:val="24"/>
        </w:rPr>
      </w:pPr>
      <w:r w:rsidRPr="009C1CBC">
        <w:rPr>
          <w:rFonts w:ascii="Garamond" w:hAnsi="Garamond"/>
          <w:b/>
          <w:bCs/>
          <w:sz w:val="24"/>
          <w:szCs w:val="24"/>
        </w:rPr>
        <w:t xml:space="preserve">Accommodations.  </w:t>
      </w:r>
      <w:r w:rsidRPr="009C1CBC">
        <w:rPr>
          <w:rFonts w:ascii="Garamond" w:hAnsi="Garamond"/>
          <w:sz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5AA7A047" w14:textId="77777777" w:rsidR="00F8359E" w:rsidRPr="009C1CBC" w:rsidRDefault="00F8359E" w:rsidP="00453B18">
      <w:pPr>
        <w:pStyle w:val="BodyTextIndent"/>
        <w:ind w:firstLine="0"/>
        <w:rPr>
          <w:rFonts w:ascii="Garamond" w:hAnsi="Garamond"/>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891"/>
        <w:gridCol w:w="8010"/>
      </w:tblGrid>
      <w:tr w:rsidR="00F8359E" w:rsidRPr="009C1CBC" w14:paraId="519EA2EA" w14:textId="77777777" w:rsidTr="00453B18">
        <w:trPr>
          <w:cantSplit/>
        </w:trPr>
        <w:tc>
          <w:tcPr>
            <w:tcW w:w="1350" w:type="dxa"/>
            <w:gridSpan w:val="2"/>
            <w:tcBorders>
              <w:bottom w:val="single" w:sz="4" w:space="0" w:color="auto"/>
            </w:tcBorders>
            <w:shd w:val="clear" w:color="auto" w:fill="auto"/>
            <w:vAlign w:val="center"/>
          </w:tcPr>
          <w:p w14:paraId="6BBCA07A" w14:textId="77777777" w:rsidR="00F8359E" w:rsidRPr="009C1CBC" w:rsidRDefault="00F8359E" w:rsidP="00453B18">
            <w:pPr>
              <w:rPr>
                <w:rFonts w:ascii="Garamond" w:hAnsi="Garamond"/>
                <w:b/>
                <w:bCs/>
                <w:i/>
                <w:sz w:val="24"/>
                <w:szCs w:val="24"/>
              </w:rPr>
            </w:pPr>
            <w:r w:rsidRPr="009C1CBC">
              <w:rPr>
                <w:rFonts w:ascii="Garamond" w:hAnsi="Garamond"/>
                <w:sz w:val="24"/>
                <w:szCs w:val="24"/>
              </w:rPr>
              <w:br w:type="page"/>
            </w:r>
            <w:r w:rsidRPr="009C1CBC">
              <w:rPr>
                <w:rFonts w:ascii="Garamond" w:hAnsi="Garamond"/>
                <w:b/>
                <w:bCs/>
                <w:i/>
                <w:sz w:val="24"/>
                <w:szCs w:val="24"/>
              </w:rPr>
              <w:t>Class</w:t>
            </w:r>
          </w:p>
        </w:tc>
        <w:tc>
          <w:tcPr>
            <w:tcW w:w="8010" w:type="dxa"/>
            <w:tcBorders>
              <w:bottom w:val="single" w:sz="4" w:space="0" w:color="auto"/>
            </w:tcBorders>
            <w:shd w:val="clear" w:color="auto" w:fill="auto"/>
            <w:vAlign w:val="center"/>
          </w:tcPr>
          <w:p w14:paraId="3E655C9C" w14:textId="77777777" w:rsidR="00F8359E" w:rsidRPr="009C1CBC" w:rsidRDefault="00F8359E" w:rsidP="00453B18">
            <w:pPr>
              <w:rPr>
                <w:rFonts w:ascii="Garamond" w:hAnsi="Garamond"/>
                <w:b/>
                <w:bCs/>
                <w:i/>
                <w:sz w:val="24"/>
                <w:szCs w:val="24"/>
              </w:rPr>
            </w:pPr>
            <w:r w:rsidRPr="009C1CBC">
              <w:rPr>
                <w:rFonts w:ascii="Garamond" w:hAnsi="Garamond"/>
                <w:b/>
                <w:bCs/>
                <w:i/>
                <w:sz w:val="24"/>
                <w:szCs w:val="24"/>
              </w:rPr>
              <w:t>Topic &amp; Casebook Pages</w:t>
            </w:r>
          </w:p>
        </w:tc>
      </w:tr>
      <w:tr w:rsidR="00F8359E" w:rsidRPr="009C1CBC" w14:paraId="36E72E0E" w14:textId="77777777" w:rsidTr="00453B18">
        <w:trPr>
          <w:cantSplit/>
        </w:trPr>
        <w:tc>
          <w:tcPr>
            <w:tcW w:w="459" w:type="dxa"/>
            <w:tcBorders>
              <w:bottom w:val="single" w:sz="4" w:space="0" w:color="auto"/>
            </w:tcBorders>
            <w:shd w:val="clear" w:color="auto" w:fill="auto"/>
            <w:vAlign w:val="center"/>
          </w:tcPr>
          <w:p w14:paraId="4DDCC778" w14:textId="77777777" w:rsidR="00F8359E" w:rsidRPr="009C1CBC" w:rsidRDefault="00F8359E" w:rsidP="00453B18">
            <w:pPr>
              <w:rPr>
                <w:rFonts w:ascii="Garamond" w:hAnsi="Garamond"/>
                <w:sz w:val="24"/>
                <w:szCs w:val="24"/>
              </w:rPr>
            </w:pPr>
            <w:r w:rsidRPr="009C1CBC">
              <w:rPr>
                <w:rFonts w:ascii="Garamond" w:hAnsi="Garamond"/>
                <w:sz w:val="24"/>
                <w:szCs w:val="24"/>
              </w:rPr>
              <w:t>1</w:t>
            </w:r>
          </w:p>
        </w:tc>
        <w:tc>
          <w:tcPr>
            <w:tcW w:w="891" w:type="dxa"/>
            <w:tcBorders>
              <w:bottom w:val="single" w:sz="4" w:space="0" w:color="auto"/>
            </w:tcBorders>
            <w:shd w:val="clear" w:color="auto" w:fill="auto"/>
            <w:vAlign w:val="center"/>
          </w:tcPr>
          <w:p w14:paraId="29DD25FB" w14:textId="4E6FA741" w:rsidR="00F8359E" w:rsidRPr="009C1CBC" w:rsidRDefault="00F91038" w:rsidP="00453B18">
            <w:pPr>
              <w:spacing w:before="20"/>
              <w:rPr>
                <w:rFonts w:ascii="Garamond" w:hAnsi="Garamond"/>
                <w:sz w:val="24"/>
                <w:szCs w:val="24"/>
              </w:rPr>
            </w:pPr>
            <w:r w:rsidRPr="009C1CBC">
              <w:rPr>
                <w:rFonts w:ascii="Garamond" w:hAnsi="Garamond"/>
                <w:sz w:val="24"/>
                <w:szCs w:val="24"/>
              </w:rPr>
              <w:t>1/14</w:t>
            </w:r>
          </w:p>
        </w:tc>
        <w:tc>
          <w:tcPr>
            <w:tcW w:w="8010" w:type="dxa"/>
            <w:tcBorders>
              <w:bottom w:val="single" w:sz="4" w:space="0" w:color="auto"/>
            </w:tcBorders>
            <w:shd w:val="clear" w:color="auto" w:fill="auto"/>
            <w:vAlign w:val="center"/>
          </w:tcPr>
          <w:p w14:paraId="2406CA6E" w14:textId="77777777" w:rsidR="00F8359E" w:rsidRPr="009C1CBC" w:rsidRDefault="00F8359E" w:rsidP="006379A4">
            <w:pPr>
              <w:spacing w:after="60"/>
              <w:rPr>
                <w:rFonts w:ascii="Garamond" w:hAnsi="Garamond"/>
                <w:b/>
                <w:sz w:val="24"/>
                <w:szCs w:val="24"/>
              </w:rPr>
            </w:pPr>
            <w:r w:rsidRPr="009C1CBC">
              <w:rPr>
                <w:rFonts w:ascii="Garamond" w:hAnsi="Garamond"/>
                <w:b/>
                <w:sz w:val="24"/>
                <w:szCs w:val="24"/>
              </w:rPr>
              <w:t>Introduction to Class Action Litigation</w:t>
            </w:r>
          </w:p>
          <w:p w14:paraId="339092F0" w14:textId="77777777" w:rsidR="006379A4" w:rsidRPr="009C1CBC" w:rsidRDefault="006379A4" w:rsidP="006379A4">
            <w:pPr>
              <w:rPr>
                <w:rFonts w:ascii="Garamond" w:hAnsi="Garamond"/>
                <w:sz w:val="24"/>
                <w:szCs w:val="24"/>
              </w:rPr>
            </w:pPr>
            <w:r w:rsidRPr="009C1CBC">
              <w:rPr>
                <w:rFonts w:ascii="Garamond" w:hAnsi="Garamond"/>
                <w:sz w:val="24"/>
                <w:szCs w:val="24"/>
              </w:rPr>
              <w:t>Overview of course plan &amp; expectations</w:t>
            </w:r>
          </w:p>
          <w:p w14:paraId="4C61C4C6" w14:textId="77777777" w:rsidR="006379A4" w:rsidRPr="009C1CBC" w:rsidRDefault="006379A4" w:rsidP="006379A4">
            <w:pPr>
              <w:rPr>
                <w:rFonts w:ascii="Garamond" w:hAnsi="Garamond"/>
                <w:sz w:val="24"/>
                <w:szCs w:val="24"/>
              </w:rPr>
            </w:pPr>
            <w:r w:rsidRPr="009C1CBC">
              <w:rPr>
                <w:rFonts w:ascii="Garamond" w:hAnsi="Garamond"/>
                <w:sz w:val="24"/>
                <w:szCs w:val="24"/>
              </w:rPr>
              <w:t xml:space="preserve">Overview of course topics: </w:t>
            </w:r>
          </w:p>
          <w:p w14:paraId="5DC6B3A0" w14:textId="77777777" w:rsidR="006379A4" w:rsidRPr="009C1CBC" w:rsidRDefault="006379A4" w:rsidP="006379A4">
            <w:pPr>
              <w:spacing w:after="60"/>
              <w:rPr>
                <w:rFonts w:ascii="Garamond" w:hAnsi="Garamond"/>
                <w:i/>
                <w:sz w:val="24"/>
                <w:szCs w:val="24"/>
              </w:rPr>
            </w:pPr>
            <w:r w:rsidRPr="009C1CBC">
              <w:rPr>
                <w:rFonts w:ascii="Garamond" w:hAnsi="Garamond"/>
                <w:i/>
                <w:sz w:val="24"/>
                <w:szCs w:val="24"/>
              </w:rPr>
              <w:t>Procedural Contexts</w:t>
            </w:r>
            <w:r w:rsidRPr="009C1CBC">
              <w:rPr>
                <w:rFonts w:ascii="Garamond" w:hAnsi="Garamond"/>
                <w:sz w:val="24"/>
                <w:szCs w:val="24"/>
              </w:rPr>
              <w:t>: Conditions for Class Certification—Threshold, 23(b)(2), 23(b)(3); Discovery, Summary Judgment, The Certification Decision, Settlement, Appellate Review, Arbitration</w:t>
            </w:r>
          </w:p>
          <w:p w14:paraId="2AE5D6D8" w14:textId="77777777" w:rsidR="006379A4" w:rsidRPr="009C1CBC" w:rsidRDefault="006379A4" w:rsidP="006379A4">
            <w:pPr>
              <w:rPr>
                <w:rFonts w:ascii="Garamond" w:hAnsi="Garamond"/>
                <w:sz w:val="24"/>
                <w:szCs w:val="24"/>
              </w:rPr>
            </w:pPr>
            <w:r w:rsidRPr="009C1CBC">
              <w:rPr>
                <w:rFonts w:ascii="Garamond" w:hAnsi="Garamond"/>
                <w:i/>
                <w:sz w:val="24"/>
                <w:szCs w:val="24"/>
              </w:rPr>
              <w:t>Assignments</w:t>
            </w:r>
            <w:r w:rsidRPr="009C1CBC">
              <w:rPr>
                <w:rFonts w:ascii="Garamond" w:hAnsi="Garamond"/>
                <w:sz w:val="24"/>
                <w:szCs w:val="24"/>
              </w:rPr>
              <w:t>:</w:t>
            </w:r>
          </w:p>
          <w:p w14:paraId="4E6FEE84" w14:textId="77777777" w:rsidR="006379A4" w:rsidRPr="009C1CBC" w:rsidRDefault="006379A4" w:rsidP="006379A4">
            <w:pPr>
              <w:rPr>
                <w:rFonts w:ascii="Garamond" w:hAnsi="Garamond"/>
                <w:sz w:val="24"/>
                <w:szCs w:val="24"/>
              </w:rPr>
            </w:pPr>
            <w:r w:rsidRPr="009C1CBC">
              <w:rPr>
                <w:rFonts w:ascii="Garamond" w:hAnsi="Garamond"/>
                <w:sz w:val="24"/>
                <w:szCs w:val="24"/>
              </w:rPr>
              <w:t>Casebook, pp 1-14</w:t>
            </w:r>
          </w:p>
          <w:p w14:paraId="371E13D2" w14:textId="77777777" w:rsidR="00F8359E" w:rsidRPr="009C1CBC" w:rsidRDefault="00F8359E" w:rsidP="00453B18">
            <w:pPr>
              <w:rPr>
                <w:rFonts w:ascii="Garamond" w:hAnsi="Garamond"/>
                <w:sz w:val="24"/>
                <w:szCs w:val="24"/>
              </w:rPr>
            </w:pPr>
            <w:r w:rsidRPr="009C1CBC">
              <w:rPr>
                <w:rFonts w:ascii="Garamond" w:hAnsi="Garamond"/>
                <w:smallCaps/>
                <w:sz w:val="24"/>
                <w:szCs w:val="24"/>
              </w:rPr>
              <w:t>Fed. R. Civ. P</w:t>
            </w:r>
            <w:r w:rsidRPr="009C1CBC">
              <w:rPr>
                <w:rFonts w:ascii="Garamond" w:hAnsi="Garamond"/>
                <w:sz w:val="24"/>
                <w:szCs w:val="24"/>
              </w:rPr>
              <w:t>. 23 Class Actions</w:t>
            </w:r>
            <w:r w:rsidR="006379A4" w:rsidRPr="009C1CBC">
              <w:rPr>
                <w:rFonts w:ascii="Garamond" w:hAnsi="Garamond"/>
                <w:sz w:val="24"/>
                <w:szCs w:val="24"/>
              </w:rPr>
              <w:t xml:space="preserve">, </w:t>
            </w:r>
            <w:r w:rsidR="006379A4" w:rsidRPr="009C1CBC">
              <w:rPr>
                <w:rFonts w:ascii="Garamond" w:hAnsi="Garamond"/>
                <w:i/>
                <w:sz w:val="24"/>
                <w:szCs w:val="24"/>
              </w:rPr>
              <w:t>close</w:t>
            </w:r>
            <w:r w:rsidR="006379A4" w:rsidRPr="009C1CBC">
              <w:rPr>
                <w:rFonts w:ascii="Garamond" w:hAnsi="Garamond"/>
                <w:sz w:val="24"/>
                <w:szCs w:val="24"/>
              </w:rPr>
              <w:t xml:space="preserve"> reading</w:t>
            </w:r>
          </w:p>
          <w:p w14:paraId="17EB3F46" w14:textId="77777777" w:rsidR="00F8359E" w:rsidRPr="009C1CBC" w:rsidRDefault="00645546" w:rsidP="00453B18">
            <w:pPr>
              <w:rPr>
                <w:rFonts w:ascii="Garamond" w:hAnsi="Garamond"/>
                <w:sz w:val="24"/>
                <w:szCs w:val="24"/>
              </w:rPr>
            </w:pPr>
            <w:r w:rsidRPr="009C1CBC">
              <w:rPr>
                <w:rFonts w:ascii="Garamond" w:hAnsi="Garamond"/>
                <w:i/>
                <w:sz w:val="24"/>
                <w:szCs w:val="24"/>
              </w:rPr>
              <w:t>Menocal v. GEO Group, Inc.</w:t>
            </w:r>
            <w:r w:rsidRPr="009C1CBC">
              <w:rPr>
                <w:rFonts w:ascii="Garamond" w:hAnsi="Garamond"/>
                <w:sz w:val="24"/>
                <w:szCs w:val="24"/>
              </w:rPr>
              <w:t>, 882 F.3d 905 (10th Cir. 2018) (available on TWEN)</w:t>
            </w:r>
          </w:p>
        </w:tc>
      </w:tr>
      <w:tr w:rsidR="00F8359E" w:rsidRPr="009C1CBC" w14:paraId="04628EE1" w14:textId="77777777" w:rsidTr="00453B18">
        <w:trPr>
          <w:cantSplit/>
          <w:trHeight w:val="269"/>
        </w:trPr>
        <w:tc>
          <w:tcPr>
            <w:tcW w:w="459" w:type="dxa"/>
            <w:tcBorders>
              <w:bottom w:val="single" w:sz="4" w:space="0" w:color="auto"/>
            </w:tcBorders>
            <w:shd w:val="clear" w:color="auto" w:fill="auto"/>
            <w:vAlign w:val="center"/>
          </w:tcPr>
          <w:p w14:paraId="5DDEAFD1" w14:textId="77777777" w:rsidR="00F8359E" w:rsidRPr="009C1CBC" w:rsidRDefault="00F8359E" w:rsidP="00453B18">
            <w:pPr>
              <w:rPr>
                <w:rFonts w:ascii="Garamond" w:hAnsi="Garamond"/>
                <w:sz w:val="24"/>
                <w:szCs w:val="24"/>
              </w:rPr>
            </w:pPr>
            <w:r w:rsidRPr="009C1CBC">
              <w:rPr>
                <w:rFonts w:ascii="Garamond" w:hAnsi="Garamond"/>
                <w:sz w:val="24"/>
                <w:szCs w:val="24"/>
              </w:rPr>
              <w:t>2</w:t>
            </w:r>
          </w:p>
        </w:tc>
        <w:tc>
          <w:tcPr>
            <w:tcW w:w="891" w:type="dxa"/>
            <w:tcBorders>
              <w:bottom w:val="single" w:sz="4" w:space="0" w:color="auto"/>
            </w:tcBorders>
            <w:shd w:val="clear" w:color="auto" w:fill="auto"/>
            <w:vAlign w:val="center"/>
          </w:tcPr>
          <w:p w14:paraId="430BD1DF" w14:textId="21A9E569" w:rsidR="00F8359E" w:rsidRPr="009C1CBC" w:rsidRDefault="00F91038" w:rsidP="00453B18">
            <w:pPr>
              <w:spacing w:before="20"/>
              <w:rPr>
                <w:rFonts w:ascii="Garamond" w:hAnsi="Garamond"/>
                <w:sz w:val="24"/>
                <w:szCs w:val="24"/>
              </w:rPr>
            </w:pPr>
            <w:r w:rsidRPr="009C1CBC">
              <w:rPr>
                <w:rFonts w:ascii="Garamond" w:hAnsi="Garamond"/>
                <w:sz w:val="24"/>
                <w:szCs w:val="24"/>
              </w:rPr>
              <w:t>1/21</w:t>
            </w:r>
          </w:p>
        </w:tc>
        <w:tc>
          <w:tcPr>
            <w:tcW w:w="8010" w:type="dxa"/>
            <w:tcBorders>
              <w:bottom w:val="single" w:sz="4" w:space="0" w:color="auto"/>
            </w:tcBorders>
            <w:shd w:val="clear" w:color="auto" w:fill="auto"/>
            <w:vAlign w:val="center"/>
          </w:tcPr>
          <w:p w14:paraId="377F35E6" w14:textId="77777777" w:rsidR="00F8359E" w:rsidRPr="009C1CBC" w:rsidRDefault="00F8359E" w:rsidP="006379A4">
            <w:pPr>
              <w:spacing w:after="60"/>
              <w:rPr>
                <w:rFonts w:ascii="Garamond" w:hAnsi="Garamond"/>
                <w:b/>
                <w:sz w:val="24"/>
                <w:szCs w:val="24"/>
              </w:rPr>
            </w:pPr>
            <w:r w:rsidRPr="009C1CBC">
              <w:rPr>
                <w:rFonts w:ascii="Garamond" w:hAnsi="Garamond"/>
                <w:b/>
                <w:sz w:val="24"/>
                <w:szCs w:val="24"/>
              </w:rPr>
              <w:t xml:space="preserve">Threshold Requirements </w:t>
            </w:r>
          </w:p>
          <w:p w14:paraId="264382E3" w14:textId="77777777" w:rsidR="00F8359E" w:rsidRPr="009C1CBC" w:rsidRDefault="00F8359E" w:rsidP="00453B18">
            <w:pPr>
              <w:rPr>
                <w:rFonts w:ascii="Garamond" w:hAnsi="Garamond"/>
                <w:sz w:val="24"/>
                <w:szCs w:val="24"/>
              </w:rPr>
            </w:pPr>
            <w:r w:rsidRPr="009C1CBC">
              <w:rPr>
                <w:rFonts w:ascii="Garamond" w:hAnsi="Garamond"/>
                <w:i/>
                <w:sz w:val="24"/>
                <w:szCs w:val="24"/>
              </w:rPr>
              <w:t>Assignments</w:t>
            </w:r>
            <w:r w:rsidRPr="009C1CBC">
              <w:rPr>
                <w:rFonts w:ascii="Garamond" w:hAnsi="Garamond"/>
                <w:sz w:val="24"/>
                <w:szCs w:val="24"/>
              </w:rPr>
              <w:t>:</w:t>
            </w:r>
          </w:p>
          <w:p w14:paraId="0700F923" w14:textId="77777777" w:rsidR="001D1FB5" w:rsidRPr="009C1CBC" w:rsidRDefault="001D1FB5" w:rsidP="00453B18">
            <w:pPr>
              <w:rPr>
                <w:rFonts w:ascii="Garamond" w:hAnsi="Garamond"/>
                <w:sz w:val="24"/>
                <w:szCs w:val="24"/>
              </w:rPr>
            </w:pPr>
            <w:r w:rsidRPr="009C1CBC">
              <w:rPr>
                <w:rFonts w:ascii="Garamond" w:hAnsi="Garamond"/>
                <w:b/>
                <w:sz w:val="24"/>
                <w:szCs w:val="24"/>
              </w:rPr>
              <w:t>Rule 23(a)</w:t>
            </w:r>
            <w:r w:rsidRPr="009C1CBC">
              <w:rPr>
                <w:rFonts w:ascii="Garamond" w:hAnsi="Garamond"/>
                <w:sz w:val="24"/>
                <w:szCs w:val="24"/>
              </w:rPr>
              <w:t xml:space="preserve"> Threshold Certification Requirements</w:t>
            </w:r>
          </w:p>
          <w:p w14:paraId="4B626FCF" w14:textId="77777777" w:rsidR="001D1FB5" w:rsidRPr="009C1CBC" w:rsidRDefault="001D1FB5" w:rsidP="00453B18">
            <w:pPr>
              <w:rPr>
                <w:rFonts w:ascii="Garamond" w:hAnsi="Garamond"/>
                <w:sz w:val="24"/>
                <w:szCs w:val="24"/>
              </w:rPr>
            </w:pPr>
            <w:r w:rsidRPr="009C1CBC">
              <w:rPr>
                <w:rFonts w:ascii="Garamond" w:hAnsi="Garamond"/>
                <w:sz w:val="24"/>
                <w:szCs w:val="24"/>
                <w:u w:val="single"/>
              </w:rPr>
              <w:t>Implicit Requirements</w:t>
            </w:r>
            <w:r w:rsidRPr="009C1CBC">
              <w:rPr>
                <w:rFonts w:ascii="Garamond" w:hAnsi="Garamond"/>
                <w:sz w:val="24"/>
                <w:szCs w:val="24"/>
              </w:rPr>
              <w:t>—Ascertainability</w:t>
            </w:r>
            <w:r w:rsidR="002E4A6D" w:rsidRPr="009C1CBC">
              <w:rPr>
                <w:rFonts w:ascii="Garamond" w:hAnsi="Garamond"/>
                <w:sz w:val="24"/>
                <w:szCs w:val="24"/>
              </w:rPr>
              <w:t xml:space="preserve"> (for (b)(3) classes)</w:t>
            </w:r>
            <w:r w:rsidR="00D551D3" w:rsidRPr="009C1CBC">
              <w:rPr>
                <w:rFonts w:ascii="Garamond" w:hAnsi="Garamond"/>
                <w:sz w:val="24"/>
                <w:szCs w:val="24"/>
              </w:rPr>
              <w:t>, casebook pp.</w:t>
            </w:r>
            <w:r w:rsidRPr="009C1CBC">
              <w:rPr>
                <w:rFonts w:ascii="Garamond" w:hAnsi="Garamond"/>
                <w:sz w:val="24"/>
                <w:szCs w:val="24"/>
              </w:rPr>
              <w:t xml:space="preserve"> 35-37; Representative’s Membership in the Class</w:t>
            </w:r>
            <w:r w:rsidR="00D551D3" w:rsidRPr="009C1CBC">
              <w:rPr>
                <w:rFonts w:ascii="Garamond" w:hAnsi="Garamond"/>
                <w:sz w:val="24"/>
                <w:szCs w:val="24"/>
              </w:rPr>
              <w:t>, casebook pp.</w:t>
            </w:r>
            <w:r w:rsidRPr="009C1CBC">
              <w:rPr>
                <w:rFonts w:ascii="Garamond" w:hAnsi="Garamond"/>
                <w:sz w:val="24"/>
                <w:szCs w:val="24"/>
              </w:rPr>
              <w:t xml:space="preserve"> 54-58</w:t>
            </w:r>
          </w:p>
          <w:p w14:paraId="1A68259A" w14:textId="77777777" w:rsidR="00F8359E" w:rsidRPr="009C1CBC" w:rsidRDefault="001D1FB5" w:rsidP="006379A4">
            <w:pPr>
              <w:spacing w:after="60"/>
              <w:rPr>
                <w:rFonts w:ascii="Garamond" w:hAnsi="Garamond"/>
                <w:sz w:val="24"/>
                <w:szCs w:val="24"/>
              </w:rPr>
            </w:pPr>
            <w:r w:rsidRPr="009C1CBC">
              <w:rPr>
                <w:rFonts w:ascii="Garamond" w:hAnsi="Garamond"/>
                <w:sz w:val="24"/>
                <w:szCs w:val="24"/>
                <w:u w:val="single"/>
              </w:rPr>
              <w:t>Explicit Requirements</w:t>
            </w:r>
            <w:r w:rsidR="00295343" w:rsidRPr="009C1CBC">
              <w:rPr>
                <w:rFonts w:ascii="Garamond" w:hAnsi="Garamond"/>
                <w:sz w:val="24"/>
                <w:szCs w:val="24"/>
              </w:rPr>
              <w:t xml:space="preserve"> </w:t>
            </w:r>
            <w:r w:rsidRPr="009C1CBC">
              <w:rPr>
                <w:rFonts w:ascii="Garamond" w:hAnsi="Garamond"/>
                <w:sz w:val="24"/>
                <w:szCs w:val="24"/>
              </w:rPr>
              <w:t>(1</w:t>
            </w:r>
            <w:r w:rsidR="00295343" w:rsidRPr="009C1CBC">
              <w:rPr>
                <w:rFonts w:ascii="Garamond" w:hAnsi="Garamond"/>
                <w:sz w:val="24"/>
                <w:szCs w:val="24"/>
              </w:rPr>
              <w:t>)</w:t>
            </w:r>
            <w:r w:rsidRPr="009C1CBC">
              <w:rPr>
                <w:rFonts w:ascii="Garamond" w:hAnsi="Garamond"/>
                <w:sz w:val="24"/>
                <w:szCs w:val="24"/>
              </w:rPr>
              <w:t xml:space="preserve"> Numerosity</w:t>
            </w:r>
            <w:r w:rsidR="00D551D3" w:rsidRPr="009C1CBC">
              <w:rPr>
                <w:rFonts w:ascii="Garamond" w:hAnsi="Garamond"/>
                <w:sz w:val="24"/>
                <w:szCs w:val="24"/>
              </w:rPr>
              <w:t>, casebook pp.</w:t>
            </w:r>
            <w:r w:rsidRPr="009C1CBC">
              <w:rPr>
                <w:rFonts w:ascii="Garamond" w:hAnsi="Garamond"/>
                <w:sz w:val="24"/>
                <w:szCs w:val="24"/>
              </w:rPr>
              <w:t xml:space="preserve"> 78-86; (2) Commonality</w:t>
            </w:r>
            <w:r w:rsidR="00D551D3" w:rsidRPr="009C1CBC">
              <w:rPr>
                <w:rFonts w:ascii="Garamond" w:hAnsi="Garamond"/>
                <w:sz w:val="24"/>
                <w:szCs w:val="24"/>
              </w:rPr>
              <w:t>, casebook pp.</w:t>
            </w:r>
            <w:r w:rsidRPr="009C1CBC">
              <w:rPr>
                <w:rFonts w:ascii="Garamond" w:hAnsi="Garamond"/>
                <w:sz w:val="24"/>
                <w:szCs w:val="24"/>
              </w:rPr>
              <w:t xml:space="preserve"> 86-103</w:t>
            </w:r>
            <w:r w:rsidR="00403B99" w:rsidRPr="009C1CBC">
              <w:rPr>
                <w:rFonts w:ascii="Garamond" w:hAnsi="Garamond"/>
                <w:sz w:val="24"/>
                <w:szCs w:val="24"/>
              </w:rPr>
              <w:t xml:space="preserve"> (</w:t>
            </w:r>
            <w:r w:rsidR="00403B99" w:rsidRPr="009C1CBC">
              <w:rPr>
                <w:rFonts w:ascii="Garamond" w:hAnsi="Garamond"/>
                <w:i/>
                <w:sz w:val="24"/>
                <w:szCs w:val="24"/>
              </w:rPr>
              <w:t>Wal-Mart v. Dukes</w:t>
            </w:r>
            <w:r w:rsidR="00403B99" w:rsidRPr="009C1CBC">
              <w:rPr>
                <w:rFonts w:ascii="Garamond" w:hAnsi="Garamond"/>
                <w:sz w:val="24"/>
                <w:szCs w:val="24"/>
              </w:rPr>
              <w:t>)</w:t>
            </w:r>
            <w:r w:rsidRPr="009C1CBC">
              <w:rPr>
                <w:rFonts w:ascii="Garamond" w:hAnsi="Garamond"/>
                <w:sz w:val="24"/>
                <w:szCs w:val="24"/>
              </w:rPr>
              <w:t>; (3) Typicality</w:t>
            </w:r>
            <w:r w:rsidR="00D551D3" w:rsidRPr="009C1CBC">
              <w:rPr>
                <w:rFonts w:ascii="Garamond" w:hAnsi="Garamond"/>
                <w:sz w:val="24"/>
                <w:szCs w:val="24"/>
              </w:rPr>
              <w:t>, casebook pp.</w:t>
            </w:r>
            <w:r w:rsidRPr="009C1CBC">
              <w:rPr>
                <w:rFonts w:ascii="Garamond" w:hAnsi="Garamond"/>
                <w:sz w:val="24"/>
                <w:szCs w:val="24"/>
              </w:rPr>
              <w:t xml:space="preserve"> 103-15</w:t>
            </w:r>
          </w:p>
          <w:p w14:paraId="287750C6" w14:textId="77777777" w:rsidR="00411A5C" w:rsidRPr="009C1CBC" w:rsidRDefault="00411A5C" w:rsidP="00453B18">
            <w:pPr>
              <w:rPr>
                <w:rFonts w:ascii="Garamond" w:hAnsi="Garamond"/>
                <w:b/>
                <w:sz w:val="24"/>
                <w:szCs w:val="24"/>
              </w:rPr>
            </w:pPr>
            <w:r w:rsidRPr="009C1CBC">
              <w:rPr>
                <w:rFonts w:ascii="Garamond" w:hAnsi="Garamond"/>
                <w:b/>
                <w:sz w:val="24"/>
                <w:szCs w:val="24"/>
              </w:rPr>
              <w:t>Show &amp; Tells, 1-</w:t>
            </w:r>
            <w:r w:rsidR="00B26F4E" w:rsidRPr="009C1CBC">
              <w:rPr>
                <w:rFonts w:ascii="Garamond" w:hAnsi="Garamond"/>
                <w:b/>
                <w:sz w:val="24"/>
                <w:szCs w:val="24"/>
              </w:rPr>
              <w:t>4</w:t>
            </w:r>
          </w:p>
        </w:tc>
      </w:tr>
      <w:tr w:rsidR="00F8359E" w:rsidRPr="009C1CBC" w14:paraId="32F53CBC" w14:textId="77777777" w:rsidTr="00453B18">
        <w:trPr>
          <w:cantSplit/>
        </w:trPr>
        <w:tc>
          <w:tcPr>
            <w:tcW w:w="459" w:type="dxa"/>
            <w:shd w:val="clear" w:color="auto" w:fill="auto"/>
            <w:vAlign w:val="center"/>
          </w:tcPr>
          <w:p w14:paraId="54100423" w14:textId="77777777" w:rsidR="00F8359E" w:rsidRPr="009C1CBC" w:rsidRDefault="00F8359E" w:rsidP="00453B18">
            <w:pPr>
              <w:rPr>
                <w:rFonts w:ascii="Garamond" w:hAnsi="Garamond"/>
                <w:sz w:val="24"/>
                <w:szCs w:val="24"/>
              </w:rPr>
            </w:pPr>
            <w:r w:rsidRPr="009C1CBC">
              <w:rPr>
                <w:rFonts w:ascii="Garamond" w:hAnsi="Garamond"/>
                <w:sz w:val="24"/>
                <w:szCs w:val="24"/>
              </w:rPr>
              <w:t>3</w:t>
            </w:r>
          </w:p>
        </w:tc>
        <w:tc>
          <w:tcPr>
            <w:tcW w:w="891" w:type="dxa"/>
            <w:shd w:val="clear" w:color="auto" w:fill="auto"/>
            <w:vAlign w:val="center"/>
          </w:tcPr>
          <w:p w14:paraId="057B879D" w14:textId="0CC24ED2" w:rsidR="00F8359E" w:rsidRPr="009C1CBC" w:rsidRDefault="00F91038" w:rsidP="00453B18">
            <w:pPr>
              <w:spacing w:before="20"/>
              <w:rPr>
                <w:rFonts w:ascii="Garamond" w:hAnsi="Garamond"/>
                <w:sz w:val="24"/>
                <w:szCs w:val="24"/>
              </w:rPr>
            </w:pPr>
            <w:r w:rsidRPr="009C1CBC">
              <w:rPr>
                <w:rFonts w:ascii="Garamond" w:hAnsi="Garamond"/>
                <w:sz w:val="24"/>
                <w:szCs w:val="24"/>
              </w:rPr>
              <w:t>1/28</w:t>
            </w:r>
          </w:p>
        </w:tc>
        <w:tc>
          <w:tcPr>
            <w:tcW w:w="8010" w:type="dxa"/>
            <w:shd w:val="clear" w:color="auto" w:fill="auto"/>
            <w:vAlign w:val="center"/>
          </w:tcPr>
          <w:p w14:paraId="6F0E3DCA" w14:textId="77777777" w:rsidR="001D1FB5" w:rsidRPr="009C1CBC" w:rsidRDefault="001D1FB5" w:rsidP="006379A4">
            <w:pPr>
              <w:spacing w:after="60"/>
              <w:rPr>
                <w:rFonts w:ascii="Garamond" w:hAnsi="Garamond"/>
                <w:b/>
                <w:sz w:val="24"/>
                <w:szCs w:val="24"/>
              </w:rPr>
            </w:pPr>
            <w:r w:rsidRPr="009C1CBC">
              <w:rPr>
                <w:rFonts w:ascii="Garamond" w:hAnsi="Garamond"/>
                <w:b/>
                <w:sz w:val="24"/>
                <w:szCs w:val="24"/>
              </w:rPr>
              <w:t xml:space="preserve">Threshold Requirements (cont’d) </w:t>
            </w:r>
          </w:p>
          <w:p w14:paraId="10657196" w14:textId="77777777" w:rsidR="006379A4" w:rsidRPr="009C1CBC" w:rsidRDefault="006379A4" w:rsidP="006379A4">
            <w:pPr>
              <w:rPr>
                <w:rFonts w:ascii="Garamond" w:hAnsi="Garamond"/>
                <w:sz w:val="24"/>
                <w:szCs w:val="24"/>
              </w:rPr>
            </w:pPr>
            <w:r w:rsidRPr="009C1CBC">
              <w:rPr>
                <w:rFonts w:ascii="Garamond" w:hAnsi="Garamond"/>
                <w:i/>
                <w:sz w:val="24"/>
                <w:szCs w:val="24"/>
              </w:rPr>
              <w:t>Assignments</w:t>
            </w:r>
            <w:r w:rsidRPr="009C1CBC">
              <w:rPr>
                <w:rFonts w:ascii="Garamond" w:hAnsi="Garamond"/>
                <w:sz w:val="24"/>
                <w:szCs w:val="24"/>
              </w:rPr>
              <w:t>:</w:t>
            </w:r>
          </w:p>
          <w:p w14:paraId="1EC33D11" w14:textId="77777777" w:rsidR="001D1FB5" w:rsidRPr="009C1CBC" w:rsidRDefault="001D1FB5" w:rsidP="00453B18">
            <w:pPr>
              <w:rPr>
                <w:rFonts w:ascii="Garamond" w:hAnsi="Garamond"/>
                <w:sz w:val="24"/>
                <w:szCs w:val="24"/>
              </w:rPr>
            </w:pPr>
            <w:r w:rsidRPr="009C1CBC">
              <w:rPr>
                <w:rFonts w:ascii="Garamond" w:hAnsi="Garamond"/>
                <w:b/>
                <w:sz w:val="24"/>
                <w:szCs w:val="24"/>
              </w:rPr>
              <w:t>Rule 23(a)(4)</w:t>
            </w:r>
            <w:r w:rsidRPr="009C1CBC">
              <w:rPr>
                <w:rFonts w:ascii="Garamond" w:hAnsi="Garamond"/>
                <w:sz w:val="24"/>
                <w:szCs w:val="24"/>
              </w:rPr>
              <w:t xml:space="preserve"> Adequacy of Representation</w:t>
            </w:r>
            <w:r w:rsidR="00295343" w:rsidRPr="009C1CBC">
              <w:rPr>
                <w:rFonts w:ascii="Garamond" w:hAnsi="Garamond"/>
                <w:sz w:val="24"/>
                <w:szCs w:val="24"/>
              </w:rPr>
              <w:t xml:space="preserve">, casebook pp. </w:t>
            </w:r>
            <w:r w:rsidRPr="009C1CBC">
              <w:rPr>
                <w:rFonts w:ascii="Garamond" w:hAnsi="Garamond"/>
                <w:sz w:val="24"/>
                <w:szCs w:val="24"/>
              </w:rPr>
              <w:t>123-38; 147-57</w:t>
            </w:r>
          </w:p>
          <w:p w14:paraId="430A8A25" w14:textId="77777777" w:rsidR="001D1FB5" w:rsidRPr="009C1CBC" w:rsidRDefault="001D1FB5" w:rsidP="00453B18">
            <w:pPr>
              <w:rPr>
                <w:rFonts w:ascii="Garamond" w:hAnsi="Garamond"/>
                <w:sz w:val="24"/>
                <w:szCs w:val="24"/>
              </w:rPr>
            </w:pPr>
          </w:p>
          <w:p w14:paraId="06628689" w14:textId="77777777" w:rsidR="001D1FB5" w:rsidRPr="009C1CBC" w:rsidRDefault="001D1FB5" w:rsidP="00453B18">
            <w:pPr>
              <w:rPr>
                <w:rFonts w:ascii="Garamond" w:hAnsi="Garamond"/>
                <w:b/>
                <w:sz w:val="24"/>
                <w:szCs w:val="24"/>
              </w:rPr>
            </w:pPr>
            <w:r w:rsidRPr="009C1CBC">
              <w:rPr>
                <w:rFonts w:ascii="Garamond" w:hAnsi="Garamond"/>
                <w:b/>
                <w:sz w:val="24"/>
                <w:szCs w:val="24"/>
              </w:rPr>
              <w:t xml:space="preserve">Certification Requirements for Different Types of Class Actions </w:t>
            </w:r>
          </w:p>
          <w:p w14:paraId="0CCFE820" w14:textId="77777777" w:rsidR="001D1FB5" w:rsidRPr="009C1CBC" w:rsidRDefault="001D1FB5" w:rsidP="00453B18">
            <w:pPr>
              <w:rPr>
                <w:rFonts w:ascii="Garamond" w:hAnsi="Garamond"/>
                <w:sz w:val="24"/>
                <w:szCs w:val="24"/>
              </w:rPr>
            </w:pPr>
            <w:r w:rsidRPr="009C1CBC">
              <w:rPr>
                <w:rFonts w:ascii="Garamond" w:hAnsi="Garamond"/>
                <w:b/>
                <w:sz w:val="24"/>
                <w:szCs w:val="24"/>
              </w:rPr>
              <w:t>Rule 23(b)(1)</w:t>
            </w:r>
            <w:r w:rsidRPr="009C1CBC">
              <w:rPr>
                <w:rFonts w:ascii="Garamond" w:hAnsi="Garamond"/>
                <w:sz w:val="24"/>
                <w:szCs w:val="24"/>
              </w:rPr>
              <w:t xml:space="preserve"> Classes based on risks of non-class treatment</w:t>
            </w:r>
          </w:p>
          <w:p w14:paraId="1F08C980" w14:textId="77777777" w:rsidR="001D1FB5" w:rsidRPr="009C1CBC" w:rsidRDefault="001D1FB5" w:rsidP="00453B18">
            <w:pPr>
              <w:rPr>
                <w:rFonts w:ascii="Garamond" w:hAnsi="Garamond"/>
                <w:sz w:val="24"/>
                <w:szCs w:val="24"/>
              </w:rPr>
            </w:pPr>
            <w:r w:rsidRPr="009C1CBC">
              <w:rPr>
                <w:rFonts w:ascii="Garamond" w:hAnsi="Garamond"/>
                <w:sz w:val="24"/>
                <w:szCs w:val="24"/>
              </w:rPr>
              <w:t>(A) incompatible standards for the opponent of the class</w:t>
            </w:r>
            <w:r w:rsidR="00295343" w:rsidRPr="009C1CBC">
              <w:rPr>
                <w:rFonts w:ascii="Garamond" w:hAnsi="Garamond"/>
                <w:sz w:val="24"/>
                <w:szCs w:val="24"/>
              </w:rPr>
              <w:t>, casebook pp.</w:t>
            </w:r>
            <w:r w:rsidRPr="009C1CBC">
              <w:rPr>
                <w:rFonts w:ascii="Garamond" w:hAnsi="Garamond"/>
                <w:sz w:val="24"/>
                <w:szCs w:val="24"/>
              </w:rPr>
              <w:t xml:space="preserve"> 159-65</w:t>
            </w:r>
          </w:p>
          <w:p w14:paraId="2F26FDFB" w14:textId="77777777" w:rsidR="001D1FB5" w:rsidRPr="009C1CBC" w:rsidRDefault="001D1FB5" w:rsidP="00453B18">
            <w:pPr>
              <w:rPr>
                <w:rFonts w:ascii="Garamond" w:hAnsi="Garamond"/>
                <w:sz w:val="24"/>
                <w:szCs w:val="24"/>
              </w:rPr>
            </w:pPr>
            <w:r w:rsidRPr="009C1CBC">
              <w:rPr>
                <w:rFonts w:ascii="Garamond" w:hAnsi="Garamond"/>
                <w:sz w:val="24"/>
                <w:szCs w:val="24"/>
              </w:rPr>
              <w:t>(B) harm to class members’ interests</w:t>
            </w:r>
            <w:r w:rsidR="00295343" w:rsidRPr="009C1CBC">
              <w:rPr>
                <w:rFonts w:ascii="Garamond" w:hAnsi="Garamond"/>
                <w:sz w:val="24"/>
                <w:szCs w:val="24"/>
              </w:rPr>
              <w:t>, casebook pp.</w:t>
            </w:r>
            <w:r w:rsidRPr="009C1CBC">
              <w:rPr>
                <w:rFonts w:ascii="Garamond" w:hAnsi="Garamond"/>
                <w:sz w:val="24"/>
                <w:szCs w:val="24"/>
              </w:rPr>
              <w:t xml:space="preserve"> 171-82</w:t>
            </w:r>
          </w:p>
          <w:p w14:paraId="05EA4ECB" w14:textId="125A8009" w:rsidR="00F8359E" w:rsidRPr="009C1CBC" w:rsidRDefault="001D1FB5" w:rsidP="006379A4">
            <w:pPr>
              <w:spacing w:after="60"/>
              <w:rPr>
                <w:rFonts w:ascii="Garamond" w:hAnsi="Garamond"/>
                <w:sz w:val="24"/>
                <w:szCs w:val="24"/>
              </w:rPr>
            </w:pPr>
            <w:r w:rsidRPr="009C1CBC">
              <w:rPr>
                <w:rFonts w:ascii="Garamond" w:hAnsi="Garamond"/>
                <w:b/>
                <w:sz w:val="24"/>
                <w:szCs w:val="24"/>
              </w:rPr>
              <w:t>Rule 23(b)(2</w:t>
            </w:r>
            <w:r w:rsidR="00295343" w:rsidRPr="009C1CBC">
              <w:rPr>
                <w:rFonts w:ascii="Garamond" w:hAnsi="Garamond"/>
                <w:b/>
                <w:sz w:val="24"/>
                <w:szCs w:val="24"/>
              </w:rPr>
              <w:t>)</w:t>
            </w:r>
            <w:r w:rsidRPr="009C1CBC">
              <w:rPr>
                <w:rFonts w:ascii="Garamond" w:hAnsi="Garamond"/>
                <w:b/>
                <w:sz w:val="24"/>
                <w:szCs w:val="24"/>
              </w:rPr>
              <w:t xml:space="preserve"> </w:t>
            </w:r>
            <w:r w:rsidRPr="009C1CBC">
              <w:rPr>
                <w:rFonts w:ascii="Garamond" w:hAnsi="Garamond"/>
                <w:sz w:val="24"/>
                <w:szCs w:val="24"/>
              </w:rPr>
              <w:t>“Injunction Classes</w:t>
            </w:r>
            <w:r w:rsidR="00295343" w:rsidRPr="009C1CBC">
              <w:rPr>
                <w:rFonts w:ascii="Garamond" w:hAnsi="Garamond"/>
                <w:sz w:val="24"/>
                <w:szCs w:val="24"/>
              </w:rPr>
              <w:t>,</w:t>
            </w:r>
            <w:r w:rsidRPr="009C1CBC">
              <w:rPr>
                <w:rFonts w:ascii="Garamond" w:hAnsi="Garamond"/>
                <w:sz w:val="24"/>
                <w:szCs w:val="24"/>
              </w:rPr>
              <w:t>”</w:t>
            </w:r>
            <w:r w:rsidR="00295343" w:rsidRPr="009C1CBC">
              <w:t xml:space="preserve"> </w:t>
            </w:r>
            <w:r w:rsidR="00295343" w:rsidRPr="009C1CBC">
              <w:rPr>
                <w:rFonts w:ascii="Garamond" w:hAnsi="Garamond"/>
                <w:sz w:val="24"/>
                <w:szCs w:val="24"/>
              </w:rPr>
              <w:t>casebook pp.</w:t>
            </w:r>
            <w:r w:rsidRPr="009C1CBC">
              <w:rPr>
                <w:rFonts w:ascii="Garamond" w:hAnsi="Garamond"/>
                <w:sz w:val="24"/>
                <w:szCs w:val="24"/>
              </w:rPr>
              <w:t xml:space="preserve"> 190-20</w:t>
            </w:r>
            <w:r w:rsidR="008D566B" w:rsidRPr="009C1CBC">
              <w:rPr>
                <w:rFonts w:ascii="Garamond" w:hAnsi="Garamond"/>
                <w:sz w:val="24"/>
                <w:szCs w:val="24"/>
              </w:rPr>
              <w:t>7</w:t>
            </w:r>
          </w:p>
          <w:p w14:paraId="08DD759A" w14:textId="77777777" w:rsidR="00411A5C" w:rsidRPr="009C1CBC" w:rsidRDefault="00411A5C" w:rsidP="00453B18">
            <w:pPr>
              <w:rPr>
                <w:rFonts w:ascii="Garamond" w:hAnsi="Garamond"/>
                <w:sz w:val="24"/>
                <w:szCs w:val="24"/>
              </w:rPr>
            </w:pPr>
            <w:r w:rsidRPr="009C1CBC">
              <w:rPr>
                <w:rFonts w:ascii="Garamond" w:hAnsi="Garamond"/>
                <w:b/>
                <w:sz w:val="24"/>
                <w:szCs w:val="24"/>
              </w:rPr>
              <w:t xml:space="preserve">Show &amp; Tells, </w:t>
            </w:r>
            <w:r w:rsidR="00B26F4E" w:rsidRPr="009C1CBC">
              <w:rPr>
                <w:rFonts w:ascii="Garamond" w:hAnsi="Garamond"/>
                <w:b/>
                <w:sz w:val="24"/>
                <w:szCs w:val="24"/>
              </w:rPr>
              <w:t>5</w:t>
            </w:r>
            <w:r w:rsidRPr="009C1CBC">
              <w:rPr>
                <w:rFonts w:ascii="Garamond" w:hAnsi="Garamond"/>
                <w:b/>
                <w:sz w:val="24"/>
                <w:szCs w:val="24"/>
              </w:rPr>
              <w:t>-</w:t>
            </w:r>
            <w:r w:rsidR="00B26F4E" w:rsidRPr="009C1CBC">
              <w:rPr>
                <w:rFonts w:ascii="Garamond" w:hAnsi="Garamond"/>
                <w:b/>
                <w:sz w:val="24"/>
                <w:szCs w:val="24"/>
              </w:rPr>
              <w:t>8</w:t>
            </w:r>
          </w:p>
        </w:tc>
      </w:tr>
      <w:tr w:rsidR="00F8359E" w:rsidRPr="009C1CBC" w14:paraId="32216BF2" w14:textId="77777777" w:rsidTr="00453B18">
        <w:trPr>
          <w:cantSplit/>
          <w:trHeight w:val="368"/>
        </w:trPr>
        <w:tc>
          <w:tcPr>
            <w:tcW w:w="459" w:type="dxa"/>
            <w:shd w:val="clear" w:color="auto" w:fill="auto"/>
            <w:vAlign w:val="center"/>
          </w:tcPr>
          <w:p w14:paraId="52963752" w14:textId="77777777" w:rsidR="00F8359E" w:rsidRPr="009C1CBC" w:rsidRDefault="00F8359E" w:rsidP="00453B18">
            <w:pPr>
              <w:rPr>
                <w:rFonts w:ascii="Garamond" w:hAnsi="Garamond"/>
                <w:sz w:val="24"/>
                <w:szCs w:val="24"/>
              </w:rPr>
            </w:pPr>
            <w:r w:rsidRPr="009C1CBC">
              <w:rPr>
                <w:rFonts w:ascii="Garamond" w:hAnsi="Garamond"/>
                <w:sz w:val="24"/>
                <w:szCs w:val="24"/>
              </w:rPr>
              <w:t>4</w:t>
            </w:r>
          </w:p>
        </w:tc>
        <w:tc>
          <w:tcPr>
            <w:tcW w:w="891" w:type="dxa"/>
            <w:shd w:val="clear" w:color="auto" w:fill="auto"/>
            <w:vAlign w:val="center"/>
          </w:tcPr>
          <w:p w14:paraId="67D5260B" w14:textId="11E115DA" w:rsidR="00F8359E" w:rsidRPr="009C1CBC" w:rsidRDefault="00F91038" w:rsidP="00453B18">
            <w:pPr>
              <w:spacing w:before="20"/>
              <w:rPr>
                <w:rFonts w:ascii="Garamond" w:hAnsi="Garamond"/>
                <w:sz w:val="24"/>
                <w:szCs w:val="24"/>
              </w:rPr>
            </w:pPr>
            <w:r w:rsidRPr="009C1CBC">
              <w:rPr>
                <w:rFonts w:ascii="Garamond" w:hAnsi="Garamond"/>
                <w:sz w:val="24"/>
                <w:szCs w:val="24"/>
              </w:rPr>
              <w:t>2/4</w:t>
            </w:r>
          </w:p>
        </w:tc>
        <w:tc>
          <w:tcPr>
            <w:tcW w:w="8010" w:type="dxa"/>
            <w:shd w:val="clear" w:color="auto" w:fill="auto"/>
            <w:vAlign w:val="center"/>
          </w:tcPr>
          <w:p w14:paraId="77216B5B" w14:textId="77777777" w:rsidR="006379A4" w:rsidRPr="009C1CBC" w:rsidRDefault="00F8359E" w:rsidP="006379A4">
            <w:pPr>
              <w:spacing w:after="60"/>
              <w:rPr>
                <w:rFonts w:ascii="Garamond" w:hAnsi="Garamond"/>
                <w:b/>
                <w:sz w:val="24"/>
                <w:szCs w:val="24"/>
              </w:rPr>
            </w:pPr>
            <w:r w:rsidRPr="009C1CBC">
              <w:rPr>
                <w:rFonts w:ascii="Garamond" w:hAnsi="Garamond"/>
                <w:b/>
                <w:sz w:val="24"/>
                <w:szCs w:val="24"/>
              </w:rPr>
              <w:t>Damage Classes</w:t>
            </w:r>
          </w:p>
          <w:p w14:paraId="58206975" w14:textId="77777777" w:rsidR="006379A4" w:rsidRPr="009C1CBC" w:rsidRDefault="006379A4" w:rsidP="00453B18">
            <w:pPr>
              <w:rPr>
                <w:rFonts w:ascii="Garamond" w:hAnsi="Garamond"/>
                <w:i/>
                <w:sz w:val="24"/>
                <w:szCs w:val="24"/>
              </w:rPr>
            </w:pPr>
            <w:r w:rsidRPr="009C1CBC">
              <w:rPr>
                <w:rFonts w:ascii="Garamond" w:hAnsi="Garamond"/>
                <w:i/>
                <w:sz w:val="24"/>
                <w:szCs w:val="24"/>
              </w:rPr>
              <w:t>Assignments:</w:t>
            </w:r>
          </w:p>
          <w:p w14:paraId="6E7AA0D1" w14:textId="77777777" w:rsidR="00F8359E" w:rsidRPr="009C1CBC" w:rsidRDefault="00B77BF8" w:rsidP="006379A4">
            <w:pPr>
              <w:spacing w:after="60"/>
              <w:rPr>
                <w:rFonts w:ascii="Garamond" w:hAnsi="Garamond"/>
                <w:sz w:val="24"/>
                <w:szCs w:val="24"/>
              </w:rPr>
            </w:pPr>
            <w:r w:rsidRPr="009C1CBC">
              <w:rPr>
                <w:rFonts w:ascii="Garamond" w:hAnsi="Garamond"/>
                <w:b/>
                <w:sz w:val="24"/>
                <w:szCs w:val="24"/>
              </w:rPr>
              <w:t>Rule 23(b)(3)</w:t>
            </w:r>
            <w:r w:rsidR="00A64B78" w:rsidRPr="009C1CBC">
              <w:rPr>
                <w:rFonts w:ascii="Garamond" w:hAnsi="Garamond"/>
                <w:sz w:val="24"/>
                <w:szCs w:val="24"/>
              </w:rPr>
              <w:t xml:space="preserve"> </w:t>
            </w:r>
            <w:r w:rsidR="00295343" w:rsidRPr="009C1CBC">
              <w:rPr>
                <w:rFonts w:ascii="Garamond" w:hAnsi="Garamond"/>
                <w:sz w:val="24"/>
                <w:szCs w:val="24"/>
              </w:rPr>
              <w:t>&amp; casebook pp.</w:t>
            </w:r>
            <w:r w:rsidR="002E4A6D" w:rsidRPr="009C1CBC">
              <w:rPr>
                <w:rFonts w:ascii="Garamond" w:hAnsi="Garamond"/>
                <w:sz w:val="24"/>
                <w:szCs w:val="24"/>
              </w:rPr>
              <w:t xml:space="preserve"> </w:t>
            </w:r>
            <w:r w:rsidR="00E93DE3" w:rsidRPr="009C1CBC">
              <w:rPr>
                <w:rFonts w:ascii="Garamond" w:hAnsi="Garamond"/>
                <w:sz w:val="24"/>
                <w:szCs w:val="24"/>
              </w:rPr>
              <w:t xml:space="preserve">211-37; </w:t>
            </w:r>
            <w:r w:rsidR="008D566B" w:rsidRPr="009C1CBC">
              <w:rPr>
                <w:rFonts w:ascii="Garamond" w:hAnsi="Garamond"/>
                <w:sz w:val="24"/>
                <w:szCs w:val="24"/>
              </w:rPr>
              <w:t>269-81</w:t>
            </w:r>
            <w:r w:rsidR="00E93DE3" w:rsidRPr="009C1CBC">
              <w:rPr>
                <w:rFonts w:ascii="Garamond" w:hAnsi="Garamond"/>
                <w:sz w:val="24"/>
                <w:szCs w:val="24"/>
              </w:rPr>
              <w:t>; 237-51</w:t>
            </w:r>
          </w:p>
          <w:p w14:paraId="717860AB" w14:textId="77777777" w:rsidR="00411A5C" w:rsidRPr="009C1CBC" w:rsidRDefault="00411A5C" w:rsidP="00453B18">
            <w:pPr>
              <w:rPr>
                <w:rFonts w:ascii="Garamond" w:hAnsi="Garamond"/>
                <w:b/>
                <w:sz w:val="24"/>
                <w:szCs w:val="24"/>
              </w:rPr>
            </w:pPr>
            <w:r w:rsidRPr="009C1CBC">
              <w:rPr>
                <w:rFonts w:ascii="Garamond" w:hAnsi="Garamond"/>
                <w:b/>
                <w:sz w:val="24"/>
                <w:szCs w:val="24"/>
              </w:rPr>
              <w:t>Show &amp; Tells,</w:t>
            </w:r>
            <w:r w:rsidR="00B26F4E" w:rsidRPr="009C1CBC">
              <w:rPr>
                <w:rFonts w:ascii="Garamond" w:hAnsi="Garamond"/>
                <w:b/>
                <w:sz w:val="24"/>
                <w:szCs w:val="24"/>
              </w:rPr>
              <w:t xml:space="preserve"> 9</w:t>
            </w:r>
            <w:r w:rsidRPr="009C1CBC">
              <w:rPr>
                <w:rFonts w:ascii="Garamond" w:hAnsi="Garamond"/>
                <w:b/>
                <w:sz w:val="24"/>
                <w:szCs w:val="24"/>
              </w:rPr>
              <w:t>-1</w:t>
            </w:r>
            <w:r w:rsidR="00B26F4E" w:rsidRPr="009C1CBC">
              <w:rPr>
                <w:rFonts w:ascii="Garamond" w:hAnsi="Garamond"/>
                <w:b/>
                <w:sz w:val="24"/>
                <w:szCs w:val="24"/>
              </w:rPr>
              <w:t>2</w:t>
            </w:r>
          </w:p>
        </w:tc>
      </w:tr>
      <w:tr w:rsidR="00F8359E" w:rsidRPr="009C1CBC" w14:paraId="7C393627" w14:textId="77777777" w:rsidTr="00453B18">
        <w:trPr>
          <w:cantSplit/>
          <w:trHeight w:val="1124"/>
        </w:trPr>
        <w:tc>
          <w:tcPr>
            <w:tcW w:w="459" w:type="dxa"/>
            <w:shd w:val="clear" w:color="auto" w:fill="auto"/>
            <w:vAlign w:val="center"/>
          </w:tcPr>
          <w:p w14:paraId="4736E513" w14:textId="77777777" w:rsidR="00F8359E" w:rsidRPr="009C1CBC" w:rsidRDefault="00F8359E" w:rsidP="00453B18">
            <w:pPr>
              <w:rPr>
                <w:rFonts w:ascii="Garamond" w:hAnsi="Garamond"/>
                <w:sz w:val="24"/>
                <w:szCs w:val="24"/>
              </w:rPr>
            </w:pPr>
            <w:r w:rsidRPr="009C1CBC">
              <w:rPr>
                <w:rFonts w:ascii="Garamond" w:hAnsi="Garamond"/>
                <w:sz w:val="24"/>
                <w:szCs w:val="24"/>
              </w:rPr>
              <w:t>5</w:t>
            </w:r>
          </w:p>
        </w:tc>
        <w:tc>
          <w:tcPr>
            <w:tcW w:w="891" w:type="dxa"/>
            <w:shd w:val="clear" w:color="auto" w:fill="auto"/>
            <w:vAlign w:val="center"/>
          </w:tcPr>
          <w:p w14:paraId="1FFEF2A8" w14:textId="5E108193" w:rsidR="00F8359E" w:rsidRPr="009C1CBC" w:rsidRDefault="00F91038" w:rsidP="00453B18">
            <w:pPr>
              <w:spacing w:before="20"/>
              <w:rPr>
                <w:rFonts w:ascii="Garamond" w:hAnsi="Garamond"/>
                <w:sz w:val="24"/>
                <w:szCs w:val="24"/>
              </w:rPr>
            </w:pPr>
            <w:r w:rsidRPr="009C1CBC">
              <w:rPr>
                <w:rFonts w:ascii="Garamond" w:hAnsi="Garamond"/>
                <w:sz w:val="24"/>
                <w:szCs w:val="24"/>
              </w:rPr>
              <w:t>2/11</w:t>
            </w:r>
          </w:p>
        </w:tc>
        <w:tc>
          <w:tcPr>
            <w:tcW w:w="8010" w:type="dxa"/>
            <w:shd w:val="clear" w:color="auto" w:fill="auto"/>
            <w:vAlign w:val="center"/>
          </w:tcPr>
          <w:p w14:paraId="12AFC7F6" w14:textId="77777777" w:rsidR="00F23A88" w:rsidRPr="009C1CBC" w:rsidRDefault="00F23A88" w:rsidP="00453B18">
            <w:pPr>
              <w:rPr>
                <w:rFonts w:ascii="Garamond" w:hAnsi="Garamond"/>
                <w:b/>
                <w:sz w:val="24"/>
                <w:szCs w:val="24"/>
              </w:rPr>
            </w:pPr>
            <w:r w:rsidRPr="009C1CBC">
              <w:rPr>
                <w:rFonts w:ascii="Garamond" w:hAnsi="Garamond"/>
                <w:b/>
                <w:sz w:val="24"/>
                <w:szCs w:val="24"/>
              </w:rPr>
              <w:t xml:space="preserve">Summary Judgment </w:t>
            </w:r>
          </w:p>
          <w:p w14:paraId="7C96F34B" w14:textId="32268282" w:rsidR="00F23A88" w:rsidRPr="009C1CBC" w:rsidRDefault="00442351" w:rsidP="006379A4">
            <w:pPr>
              <w:spacing w:after="60"/>
              <w:rPr>
                <w:rFonts w:ascii="Garamond" w:hAnsi="Garamond"/>
                <w:sz w:val="24"/>
                <w:szCs w:val="24"/>
              </w:rPr>
            </w:pPr>
            <w:r w:rsidRPr="009C1CBC">
              <w:rPr>
                <w:rFonts w:ascii="Garamond" w:hAnsi="Garamond"/>
                <w:sz w:val="24"/>
                <w:szCs w:val="24"/>
              </w:rPr>
              <w:t xml:space="preserve">Guest practitioner: </w:t>
            </w:r>
            <w:r w:rsidR="00F23A88" w:rsidRPr="009C1CBC">
              <w:rPr>
                <w:rFonts w:ascii="Garamond" w:hAnsi="Garamond"/>
                <w:sz w:val="24"/>
                <w:szCs w:val="24"/>
              </w:rPr>
              <w:t xml:space="preserve">George Paul, </w:t>
            </w:r>
            <w:r w:rsidR="004F2184" w:rsidRPr="009C1CBC">
              <w:rPr>
                <w:rFonts w:ascii="Garamond" w:hAnsi="Garamond"/>
                <w:sz w:val="24"/>
                <w:szCs w:val="24"/>
              </w:rPr>
              <w:t xml:space="preserve">Partner, </w:t>
            </w:r>
            <w:r w:rsidR="00F23A88" w:rsidRPr="009C1CBC">
              <w:rPr>
                <w:rFonts w:ascii="Garamond" w:hAnsi="Garamond"/>
                <w:sz w:val="24"/>
                <w:szCs w:val="24"/>
              </w:rPr>
              <w:t xml:space="preserve">White &amp; Case, Washington, DC </w:t>
            </w:r>
          </w:p>
          <w:p w14:paraId="460076A9" w14:textId="77777777" w:rsidR="00F23A88" w:rsidRPr="009C1CBC" w:rsidRDefault="00F23A88" w:rsidP="006379A4">
            <w:pPr>
              <w:spacing w:after="60"/>
              <w:rPr>
                <w:rFonts w:ascii="Garamond" w:hAnsi="Garamond"/>
                <w:sz w:val="24"/>
                <w:szCs w:val="24"/>
              </w:rPr>
            </w:pPr>
            <w:r w:rsidRPr="009C1CBC">
              <w:rPr>
                <w:rFonts w:ascii="Garamond" w:hAnsi="Garamond"/>
                <w:i/>
                <w:sz w:val="24"/>
                <w:szCs w:val="24"/>
              </w:rPr>
              <w:t>Assignments TBA</w:t>
            </w:r>
            <w:r w:rsidRPr="009C1CBC">
              <w:rPr>
                <w:rFonts w:ascii="Garamond" w:hAnsi="Garamond"/>
                <w:sz w:val="24"/>
                <w:szCs w:val="24"/>
              </w:rPr>
              <w:t xml:space="preserve"> </w:t>
            </w:r>
            <w:r w:rsidR="006379A4" w:rsidRPr="009C1CBC">
              <w:rPr>
                <w:rFonts w:ascii="Garamond" w:hAnsi="Garamond"/>
                <w:sz w:val="24"/>
                <w:szCs w:val="24"/>
              </w:rPr>
              <w:t>&amp;</w:t>
            </w:r>
            <w:r w:rsidR="00295343" w:rsidRPr="009C1CBC">
              <w:rPr>
                <w:rFonts w:ascii="Garamond" w:hAnsi="Garamond"/>
                <w:sz w:val="24"/>
                <w:szCs w:val="24"/>
              </w:rPr>
              <w:t xml:space="preserve"> casebook pp. </w:t>
            </w:r>
            <w:r w:rsidRPr="009C1CBC">
              <w:rPr>
                <w:rFonts w:ascii="Garamond" w:hAnsi="Garamond"/>
                <w:sz w:val="24"/>
                <w:szCs w:val="24"/>
              </w:rPr>
              <w:t>336-38</w:t>
            </w:r>
          </w:p>
          <w:p w14:paraId="1AD51953" w14:textId="77777777" w:rsidR="00F8359E" w:rsidRPr="009C1CBC" w:rsidRDefault="006379A4" w:rsidP="006379A4">
            <w:pPr>
              <w:jc w:val="center"/>
              <w:rPr>
                <w:rFonts w:ascii="Garamond" w:hAnsi="Garamond"/>
                <w:b/>
                <w:sz w:val="24"/>
                <w:szCs w:val="24"/>
              </w:rPr>
            </w:pPr>
            <w:r w:rsidRPr="009C1CBC">
              <w:rPr>
                <w:rFonts w:ascii="Garamond" w:hAnsi="Garamond"/>
                <w:b/>
                <w:i/>
                <w:sz w:val="24"/>
                <w:szCs w:val="24"/>
              </w:rPr>
              <w:t>****</w:t>
            </w:r>
            <w:r w:rsidR="00F23A88" w:rsidRPr="009C1CBC">
              <w:rPr>
                <w:rFonts w:ascii="Garamond" w:hAnsi="Garamond"/>
                <w:b/>
                <w:i/>
                <w:sz w:val="24"/>
                <w:szCs w:val="24"/>
              </w:rPr>
              <w:t>Prospectuses Due</w:t>
            </w:r>
            <w:r w:rsidRPr="009C1CBC">
              <w:rPr>
                <w:rFonts w:ascii="Garamond" w:hAnsi="Garamond"/>
                <w:b/>
                <w:sz w:val="24"/>
                <w:szCs w:val="24"/>
              </w:rPr>
              <w:t>****</w:t>
            </w:r>
          </w:p>
        </w:tc>
      </w:tr>
      <w:tr w:rsidR="003F759D" w:rsidRPr="009C1CBC" w14:paraId="67FC7A21" w14:textId="77777777" w:rsidTr="00453B18">
        <w:trPr>
          <w:cantSplit/>
        </w:trPr>
        <w:tc>
          <w:tcPr>
            <w:tcW w:w="459" w:type="dxa"/>
            <w:tcBorders>
              <w:bottom w:val="single" w:sz="4" w:space="0" w:color="auto"/>
            </w:tcBorders>
            <w:shd w:val="clear" w:color="auto" w:fill="auto"/>
            <w:vAlign w:val="center"/>
          </w:tcPr>
          <w:p w14:paraId="39DF6E6E" w14:textId="77777777" w:rsidR="003F759D" w:rsidRPr="009C1CBC" w:rsidRDefault="003F759D" w:rsidP="003F759D">
            <w:pPr>
              <w:rPr>
                <w:rFonts w:ascii="Garamond" w:hAnsi="Garamond"/>
                <w:color w:val="70AD47" w:themeColor="accent6"/>
                <w:sz w:val="24"/>
                <w:szCs w:val="24"/>
              </w:rPr>
            </w:pPr>
            <w:r w:rsidRPr="009C1CBC">
              <w:rPr>
                <w:rFonts w:ascii="Garamond" w:hAnsi="Garamond"/>
                <w:color w:val="70AD47" w:themeColor="accent6"/>
                <w:sz w:val="24"/>
                <w:szCs w:val="24"/>
              </w:rPr>
              <w:t>6</w:t>
            </w:r>
          </w:p>
        </w:tc>
        <w:tc>
          <w:tcPr>
            <w:tcW w:w="891" w:type="dxa"/>
            <w:tcBorders>
              <w:bottom w:val="single" w:sz="4" w:space="0" w:color="auto"/>
            </w:tcBorders>
            <w:shd w:val="clear" w:color="auto" w:fill="auto"/>
            <w:vAlign w:val="center"/>
          </w:tcPr>
          <w:p w14:paraId="4B9C39F7" w14:textId="2371D804" w:rsidR="003F759D" w:rsidRPr="009C1CBC" w:rsidRDefault="003F759D" w:rsidP="003F759D">
            <w:pPr>
              <w:spacing w:before="20"/>
              <w:rPr>
                <w:rFonts w:ascii="Garamond" w:hAnsi="Garamond"/>
                <w:sz w:val="24"/>
                <w:szCs w:val="24"/>
              </w:rPr>
            </w:pPr>
            <w:r w:rsidRPr="009C1CBC">
              <w:rPr>
                <w:rFonts w:ascii="Garamond" w:hAnsi="Garamond"/>
                <w:sz w:val="24"/>
                <w:szCs w:val="24"/>
              </w:rPr>
              <w:t>2/18</w:t>
            </w:r>
          </w:p>
        </w:tc>
        <w:tc>
          <w:tcPr>
            <w:tcW w:w="8010" w:type="dxa"/>
            <w:shd w:val="clear" w:color="auto" w:fill="auto"/>
            <w:vAlign w:val="center"/>
          </w:tcPr>
          <w:p w14:paraId="7BAB8E0E" w14:textId="77777777" w:rsidR="003F759D" w:rsidRPr="009C1CBC" w:rsidRDefault="003F759D" w:rsidP="003F759D">
            <w:pPr>
              <w:spacing w:after="60"/>
              <w:rPr>
                <w:rFonts w:ascii="Garamond" w:hAnsi="Garamond"/>
                <w:b/>
                <w:sz w:val="24"/>
                <w:szCs w:val="24"/>
              </w:rPr>
            </w:pPr>
            <w:r w:rsidRPr="009C1CBC">
              <w:rPr>
                <w:rFonts w:ascii="Garamond" w:hAnsi="Garamond"/>
                <w:b/>
                <w:sz w:val="24"/>
                <w:szCs w:val="24"/>
              </w:rPr>
              <w:t>Litigating Class Certification</w:t>
            </w:r>
          </w:p>
          <w:p w14:paraId="7F75A026" w14:textId="388C4E9E" w:rsidR="003F759D" w:rsidRPr="009C1CBC" w:rsidRDefault="003F759D" w:rsidP="003F759D">
            <w:pPr>
              <w:spacing w:after="60"/>
              <w:rPr>
                <w:rFonts w:ascii="Garamond" w:hAnsi="Garamond"/>
                <w:sz w:val="24"/>
                <w:szCs w:val="24"/>
              </w:rPr>
            </w:pPr>
            <w:r w:rsidRPr="009C1CBC">
              <w:rPr>
                <w:rFonts w:ascii="Garamond" w:hAnsi="Garamond"/>
                <w:sz w:val="24"/>
                <w:szCs w:val="24"/>
              </w:rPr>
              <w:t xml:space="preserve">Guest Practitioners:  </w:t>
            </w:r>
            <w:r w:rsidRPr="009C1CBC">
              <w:rPr>
                <w:rFonts w:ascii="Garamond" w:hAnsi="Garamond"/>
                <w:sz w:val="24"/>
                <w:szCs w:val="24"/>
              </w:rPr>
              <w:t>Meegan F. Hollywood</w:t>
            </w:r>
            <w:r w:rsidRPr="009C1CBC">
              <w:rPr>
                <w:rFonts w:ascii="Garamond" w:hAnsi="Garamond"/>
                <w:sz w:val="24"/>
                <w:szCs w:val="24"/>
              </w:rPr>
              <w:t>, Partner, RobinsKaplan LLP, New York, NY &amp; Adam Hemlock, Partner, Weil, Gotschal &amp; Manges, New York NY</w:t>
            </w:r>
          </w:p>
          <w:p w14:paraId="2C05723E" w14:textId="5E8DD5C0" w:rsidR="003F759D" w:rsidRPr="009C1CBC" w:rsidRDefault="003F759D" w:rsidP="003F759D">
            <w:pPr>
              <w:rPr>
                <w:rFonts w:ascii="Garamond" w:hAnsi="Garamond"/>
                <w:i/>
                <w:sz w:val="24"/>
                <w:szCs w:val="24"/>
              </w:rPr>
            </w:pPr>
            <w:r w:rsidRPr="009C1CBC">
              <w:rPr>
                <w:rFonts w:ascii="Garamond" w:hAnsi="Garamond"/>
                <w:i/>
                <w:sz w:val="24"/>
                <w:szCs w:val="24"/>
              </w:rPr>
              <w:t>Assignments:  TBA</w:t>
            </w:r>
            <w:r w:rsidRPr="009C1CBC">
              <w:rPr>
                <w:rFonts w:ascii="Garamond" w:hAnsi="Garamond"/>
                <w:sz w:val="24"/>
                <w:szCs w:val="24"/>
              </w:rPr>
              <w:t xml:space="preserve"> &amp; casebook pp.266-81</w:t>
            </w:r>
          </w:p>
        </w:tc>
      </w:tr>
      <w:tr w:rsidR="003F759D" w:rsidRPr="009C1CBC" w14:paraId="4996D5A0" w14:textId="77777777" w:rsidTr="00453B18">
        <w:trPr>
          <w:cantSplit/>
        </w:trPr>
        <w:tc>
          <w:tcPr>
            <w:tcW w:w="459" w:type="dxa"/>
            <w:shd w:val="clear" w:color="auto" w:fill="auto"/>
            <w:vAlign w:val="center"/>
          </w:tcPr>
          <w:p w14:paraId="5BE63A60" w14:textId="77777777" w:rsidR="003F759D" w:rsidRPr="009C1CBC" w:rsidRDefault="003F759D" w:rsidP="003F759D">
            <w:pPr>
              <w:rPr>
                <w:rFonts w:ascii="Garamond" w:hAnsi="Garamond"/>
                <w:sz w:val="24"/>
                <w:szCs w:val="24"/>
              </w:rPr>
            </w:pPr>
            <w:r w:rsidRPr="009C1CBC">
              <w:rPr>
                <w:rFonts w:ascii="Garamond" w:hAnsi="Garamond"/>
                <w:sz w:val="24"/>
                <w:szCs w:val="24"/>
              </w:rPr>
              <w:t>7</w:t>
            </w:r>
          </w:p>
        </w:tc>
        <w:tc>
          <w:tcPr>
            <w:tcW w:w="891" w:type="dxa"/>
            <w:shd w:val="clear" w:color="auto" w:fill="auto"/>
            <w:vAlign w:val="center"/>
          </w:tcPr>
          <w:p w14:paraId="2A5A4E6A" w14:textId="1E5957B4" w:rsidR="003F759D" w:rsidRPr="009C1CBC" w:rsidRDefault="003F759D" w:rsidP="003F759D">
            <w:pPr>
              <w:spacing w:before="20"/>
              <w:rPr>
                <w:rFonts w:ascii="Garamond" w:hAnsi="Garamond"/>
                <w:sz w:val="24"/>
                <w:szCs w:val="24"/>
              </w:rPr>
            </w:pPr>
            <w:r w:rsidRPr="009C1CBC">
              <w:rPr>
                <w:rFonts w:ascii="Garamond" w:hAnsi="Garamond"/>
                <w:sz w:val="24"/>
                <w:szCs w:val="24"/>
              </w:rPr>
              <w:t>2/25</w:t>
            </w:r>
          </w:p>
        </w:tc>
        <w:tc>
          <w:tcPr>
            <w:tcW w:w="8010" w:type="dxa"/>
            <w:shd w:val="clear" w:color="auto" w:fill="auto"/>
            <w:vAlign w:val="center"/>
          </w:tcPr>
          <w:p w14:paraId="47C013E7" w14:textId="77777777" w:rsidR="003F759D" w:rsidRPr="009C1CBC" w:rsidRDefault="003F759D" w:rsidP="003F759D">
            <w:pPr>
              <w:spacing w:after="60"/>
              <w:rPr>
                <w:rFonts w:ascii="Garamond" w:hAnsi="Garamond"/>
                <w:b/>
                <w:i/>
                <w:sz w:val="24"/>
                <w:szCs w:val="24"/>
              </w:rPr>
            </w:pPr>
            <w:r w:rsidRPr="009C1CBC">
              <w:rPr>
                <w:rFonts w:ascii="Garamond" w:hAnsi="Garamond"/>
                <w:b/>
                <w:sz w:val="24"/>
                <w:szCs w:val="24"/>
              </w:rPr>
              <w:t xml:space="preserve">Settlements </w:t>
            </w:r>
          </w:p>
          <w:p w14:paraId="2EC86474" w14:textId="77777777" w:rsidR="003F759D" w:rsidRPr="009C1CBC" w:rsidRDefault="003F759D" w:rsidP="003F759D">
            <w:pPr>
              <w:spacing w:after="60"/>
              <w:rPr>
                <w:rFonts w:ascii="Garamond" w:hAnsi="Garamond"/>
                <w:sz w:val="24"/>
                <w:szCs w:val="24"/>
              </w:rPr>
            </w:pPr>
            <w:r w:rsidRPr="009C1CBC">
              <w:rPr>
                <w:rFonts w:ascii="Garamond" w:hAnsi="Garamond"/>
                <w:sz w:val="24"/>
                <w:szCs w:val="24"/>
              </w:rPr>
              <w:t>Guest Practitioner:  Brent W. Landau, Partner, Hausfeld LLP, Philadelphia PA</w:t>
            </w:r>
          </w:p>
          <w:p w14:paraId="1F137C5E" w14:textId="08D99147" w:rsidR="003F759D" w:rsidRPr="009C1CBC" w:rsidRDefault="003F759D" w:rsidP="003F759D">
            <w:pPr>
              <w:spacing w:after="60"/>
              <w:rPr>
                <w:rFonts w:ascii="Garamond" w:hAnsi="Garamond"/>
                <w:i/>
                <w:sz w:val="24"/>
                <w:szCs w:val="24"/>
              </w:rPr>
            </w:pPr>
            <w:r w:rsidRPr="009C1CBC">
              <w:rPr>
                <w:rFonts w:ascii="Garamond" w:hAnsi="Garamond"/>
                <w:i/>
                <w:sz w:val="24"/>
                <w:szCs w:val="24"/>
              </w:rPr>
              <w:t>Assignments: TBA</w:t>
            </w:r>
            <w:r w:rsidRPr="009C1CBC">
              <w:rPr>
                <w:rFonts w:ascii="Garamond" w:hAnsi="Garamond"/>
                <w:sz w:val="24"/>
                <w:szCs w:val="24"/>
              </w:rPr>
              <w:t xml:space="preserve"> &amp; casebook pp. 529-624 </w:t>
            </w:r>
          </w:p>
        </w:tc>
      </w:tr>
      <w:tr w:rsidR="003F759D" w:rsidRPr="009C1CBC" w14:paraId="653FE4DE" w14:textId="77777777" w:rsidTr="00453B18">
        <w:trPr>
          <w:cantSplit/>
        </w:trPr>
        <w:tc>
          <w:tcPr>
            <w:tcW w:w="459" w:type="dxa"/>
            <w:tcBorders>
              <w:bottom w:val="single" w:sz="4" w:space="0" w:color="auto"/>
            </w:tcBorders>
            <w:shd w:val="clear" w:color="auto" w:fill="auto"/>
            <w:vAlign w:val="center"/>
          </w:tcPr>
          <w:p w14:paraId="3A8E2CCC" w14:textId="77777777" w:rsidR="003F759D" w:rsidRPr="009C1CBC" w:rsidRDefault="003F759D" w:rsidP="003F759D">
            <w:pPr>
              <w:rPr>
                <w:rFonts w:ascii="Garamond" w:hAnsi="Garamond"/>
                <w:sz w:val="24"/>
                <w:szCs w:val="24"/>
              </w:rPr>
            </w:pPr>
            <w:r w:rsidRPr="009C1CBC">
              <w:rPr>
                <w:rFonts w:ascii="Garamond" w:hAnsi="Garamond"/>
                <w:sz w:val="24"/>
                <w:szCs w:val="24"/>
              </w:rPr>
              <w:t>8</w:t>
            </w:r>
          </w:p>
        </w:tc>
        <w:tc>
          <w:tcPr>
            <w:tcW w:w="891" w:type="dxa"/>
            <w:shd w:val="clear" w:color="auto" w:fill="auto"/>
            <w:vAlign w:val="center"/>
          </w:tcPr>
          <w:p w14:paraId="7B59677F" w14:textId="285718E8" w:rsidR="003F759D" w:rsidRPr="009C1CBC" w:rsidRDefault="003F759D" w:rsidP="003F759D">
            <w:pPr>
              <w:spacing w:before="20"/>
              <w:rPr>
                <w:rFonts w:ascii="Garamond" w:hAnsi="Garamond"/>
                <w:sz w:val="24"/>
                <w:szCs w:val="24"/>
              </w:rPr>
            </w:pPr>
            <w:r w:rsidRPr="009C1CBC">
              <w:rPr>
                <w:rFonts w:ascii="Garamond" w:hAnsi="Garamond"/>
                <w:sz w:val="24"/>
                <w:szCs w:val="24"/>
              </w:rPr>
              <w:t>3/10</w:t>
            </w:r>
          </w:p>
        </w:tc>
        <w:tc>
          <w:tcPr>
            <w:tcW w:w="8010" w:type="dxa"/>
            <w:tcBorders>
              <w:bottom w:val="single" w:sz="4" w:space="0" w:color="auto"/>
            </w:tcBorders>
            <w:shd w:val="clear" w:color="auto" w:fill="auto"/>
            <w:vAlign w:val="center"/>
          </w:tcPr>
          <w:p w14:paraId="56A70D7A" w14:textId="77777777" w:rsidR="003F759D" w:rsidRPr="009C1CBC" w:rsidRDefault="003F759D" w:rsidP="003F759D">
            <w:pPr>
              <w:spacing w:after="60"/>
              <w:rPr>
                <w:rFonts w:ascii="Garamond" w:hAnsi="Garamond"/>
                <w:b/>
                <w:sz w:val="24"/>
                <w:szCs w:val="24"/>
              </w:rPr>
            </w:pPr>
            <w:r w:rsidRPr="009C1CBC">
              <w:rPr>
                <w:rFonts w:ascii="Garamond" w:hAnsi="Garamond"/>
                <w:b/>
                <w:sz w:val="24"/>
                <w:szCs w:val="24"/>
              </w:rPr>
              <w:t xml:space="preserve">Discovery and Case Management </w:t>
            </w:r>
          </w:p>
          <w:p w14:paraId="61BCF349" w14:textId="77777777" w:rsidR="003F759D" w:rsidRPr="009C1CBC" w:rsidRDefault="003F759D" w:rsidP="003F759D">
            <w:pPr>
              <w:rPr>
                <w:rFonts w:ascii="Garamond" w:eastAsiaTheme="minorHAnsi" w:hAnsi="Garamond"/>
                <w:sz w:val="24"/>
                <w:szCs w:val="24"/>
              </w:rPr>
            </w:pPr>
            <w:r w:rsidRPr="009C1CBC">
              <w:rPr>
                <w:rFonts w:ascii="Garamond" w:eastAsiaTheme="minorHAnsi" w:hAnsi="Garamond"/>
                <w:sz w:val="24"/>
                <w:szCs w:val="24"/>
              </w:rPr>
              <w:t>Guest judge:  Gary R. Jones, U.S. Magistrate Judge, Northern District of Florida</w:t>
            </w:r>
          </w:p>
          <w:p w14:paraId="28CE1BED" w14:textId="77777777" w:rsidR="003F759D" w:rsidRPr="009C1CBC" w:rsidRDefault="003F759D" w:rsidP="003F759D">
            <w:pPr>
              <w:spacing w:after="60"/>
              <w:rPr>
                <w:rFonts w:ascii="Garamond" w:hAnsi="Garamond"/>
                <w:sz w:val="24"/>
                <w:szCs w:val="24"/>
              </w:rPr>
            </w:pPr>
            <w:r w:rsidRPr="009C1CBC">
              <w:rPr>
                <w:rFonts w:ascii="Garamond" w:hAnsi="Garamond"/>
                <w:sz w:val="24"/>
                <w:szCs w:val="24"/>
              </w:rPr>
              <w:t>Guest instructor:  Prof. William Hamilton, Executive Director, UF Law E-Discovery Project</w:t>
            </w:r>
          </w:p>
          <w:p w14:paraId="15A13A22" w14:textId="061215DD" w:rsidR="003F759D" w:rsidRPr="009C1CBC" w:rsidRDefault="003F759D" w:rsidP="003F759D">
            <w:pPr>
              <w:rPr>
                <w:rFonts w:ascii="Garamond" w:hAnsi="Garamond"/>
              </w:rPr>
            </w:pPr>
            <w:r w:rsidRPr="009C1CBC">
              <w:rPr>
                <w:rFonts w:ascii="Garamond" w:eastAsiaTheme="minorHAnsi" w:hAnsi="Garamond"/>
                <w:i/>
                <w:sz w:val="24"/>
                <w:szCs w:val="24"/>
              </w:rPr>
              <w:t xml:space="preserve">Assignments:  TBA &amp; </w:t>
            </w:r>
            <w:r w:rsidRPr="009C1CBC">
              <w:rPr>
                <w:rFonts w:ascii="Garamond" w:eastAsiaTheme="minorHAnsi" w:hAnsi="Garamond"/>
                <w:sz w:val="24"/>
                <w:szCs w:val="24"/>
              </w:rPr>
              <w:t>casebook pp. 307-36</w:t>
            </w:r>
          </w:p>
        </w:tc>
      </w:tr>
      <w:tr w:rsidR="003F759D" w:rsidRPr="009C1CBC" w14:paraId="540E8077" w14:textId="77777777" w:rsidTr="00453B18">
        <w:trPr>
          <w:cantSplit/>
        </w:trPr>
        <w:tc>
          <w:tcPr>
            <w:tcW w:w="459" w:type="dxa"/>
            <w:tcBorders>
              <w:bottom w:val="single" w:sz="4" w:space="0" w:color="auto"/>
            </w:tcBorders>
            <w:shd w:val="clear" w:color="auto" w:fill="auto"/>
            <w:vAlign w:val="center"/>
          </w:tcPr>
          <w:p w14:paraId="5F3C1387" w14:textId="77777777" w:rsidR="003F759D" w:rsidRPr="009C1CBC" w:rsidRDefault="003F759D" w:rsidP="003F759D">
            <w:pPr>
              <w:rPr>
                <w:rFonts w:ascii="Garamond" w:hAnsi="Garamond"/>
                <w:sz w:val="24"/>
                <w:szCs w:val="24"/>
              </w:rPr>
            </w:pPr>
            <w:r w:rsidRPr="009C1CBC">
              <w:rPr>
                <w:rFonts w:ascii="Garamond" w:hAnsi="Garamond"/>
                <w:sz w:val="24"/>
                <w:szCs w:val="24"/>
              </w:rPr>
              <w:t>9</w:t>
            </w:r>
          </w:p>
        </w:tc>
        <w:tc>
          <w:tcPr>
            <w:tcW w:w="891" w:type="dxa"/>
            <w:shd w:val="clear" w:color="auto" w:fill="auto"/>
            <w:vAlign w:val="center"/>
          </w:tcPr>
          <w:p w14:paraId="1EC61E0D" w14:textId="0DE80212" w:rsidR="003F759D" w:rsidRPr="009C1CBC" w:rsidRDefault="003F759D" w:rsidP="003F759D">
            <w:pPr>
              <w:spacing w:before="20"/>
              <w:rPr>
                <w:rFonts w:ascii="Garamond" w:hAnsi="Garamond"/>
                <w:sz w:val="24"/>
                <w:szCs w:val="24"/>
              </w:rPr>
            </w:pPr>
            <w:r w:rsidRPr="009C1CBC">
              <w:rPr>
                <w:rFonts w:ascii="Garamond" w:hAnsi="Garamond"/>
                <w:sz w:val="24"/>
                <w:szCs w:val="24"/>
              </w:rPr>
              <w:t>3/17</w:t>
            </w:r>
          </w:p>
        </w:tc>
        <w:tc>
          <w:tcPr>
            <w:tcW w:w="8010" w:type="dxa"/>
            <w:tcBorders>
              <w:bottom w:val="single" w:sz="4" w:space="0" w:color="auto"/>
            </w:tcBorders>
            <w:shd w:val="clear" w:color="auto" w:fill="auto"/>
            <w:vAlign w:val="center"/>
          </w:tcPr>
          <w:p w14:paraId="36FD88F5" w14:textId="77777777" w:rsidR="003F759D" w:rsidRPr="009C1CBC" w:rsidRDefault="003F759D" w:rsidP="003F759D">
            <w:pPr>
              <w:spacing w:after="60"/>
              <w:rPr>
                <w:rFonts w:ascii="Garamond" w:hAnsi="Garamond"/>
                <w:b/>
                <w:sz w:val="24"/>
                <w:szCs w:val="24"/>
              </w:rPr>
            </w:pPr>
            <w:r w:rsidRPr="009C1CBC">
              <w:rPr>
                <w:rFonts w:ascii="Garamond" w:hAnsi="Garamond"/>
                <w:b/>
                <w:sz w:val="24"/>
                <w:szCs w:val="24"/>
              </w:rPr>
              <w:t>Economic Expert Witnesses</w:t>
            </w:r>
          </w:p>
          <w:p w14:paraId="377BE4B0" w14:textId="77777777" w:rsidR="003F759D" w:rsidRPr="009C1CBC" w:rsidRDefault="003F759D" w:rsidP="003F759D">
            <w:pPr>
              <w:spacing w:after="60"/>
              <w:rPr>
                <w:rFonts w:ascii="Garamond" w:hAnsi="Garamond"/>
                <w:sz w:val="24"/>
                <w:szCs w:val="24"/>
              </w:rPr>
            </w:pPr>
            <w:r w:rsidRPr="009C1CBC">
              <w:rPr>
                <w:rFonts w:ascii="Garamond" w:hAnsi="Garamond"/>
                <w:sz w:val="24"/>
                <w:szCs w:val="24"/>
              </w:rPr>
              <w:t>Guest: James McClave, Ph.D., President, Info Tech, Inc., Gainesville, FL</w:t>
            </w:r>
          </w:p>
          <w:p w14:paraId="3008937A" w14:textId="27010AEE" w:rsidR="003F759D" w:rsidRPr="009C1CBC" w:rsidRDefault="003F759D" w:rsidP="003F759D">
            <w:pPr>
              <w:rPr>
                <w:rFonts w:ascii="Garamond" w:hAnsi="Garamond"/>
                <w:sz w:val="24"/>
                <w:szCs w:val="24"/>
              </w:rPr>
            </w:pPr>
            <w:r w:rsidRPr="009C1CBC">
              <w:rPr>
                <w:rFonts w:ascii="Garamond" w:hAnsi="Garamond"/>
                <w:i/>
                <w:sz w:val="24"/>
                <w:szCs w:val="24"/>
              </w:rPr>
              <w:t>Assignments:  TBA</w:t>
            </w:r>
            <w:r w:rsidRPr="009C1CBC">
              <w:rPr>
                <w:rFonts w:ascii="Garamond" w:hAnsi="Garamond"/>
                <w:sz w:val="24"/>
                <w:szCs w:val="24"/>
              </w:rPr>
              <w:t xml:space="preserve"> &amp; review casebook pp. 269-81; 281-93</w:t>
            </w:r>
          </w:p>
        </w:tc>
      </w:tr>
      <w:tr w:rsidR="003F759D" w:rsidRPr="009C1CBC" w14:paraId="3012BAD1" w14:textId="77777777" w:rsidTr="00453B18">
        <w:trPr>
          <w:cantSplit/>
        </w:trPr>
        <w:tc>
          <w:tcPr>
            <w:tcW w:w="459" w:type="dxa"/>
            <w:tcBorders>
              <w:bottom w:val="single" w:sz="4" w:space="0" w:color="auto"/>
            </w:tcBorders>
            <w:shd w:val="clear" w:color="auto" w:fill="auto"/>
            <w:vAlign w:val="center"/>
          </w:tcPr>
          <w:p w14:paraId="4B634A91" w14:textId="6E54A103" w:rsidR="003F759D" w:rsidRPr="009C1CBC" w:rsidRDefault="003F759D" w:rsidP="003F759D">
            <w:pPr>
              <w:rPr>
                <w:rFonts w:ascii="Garamond" w:hAnsi="Garamond"/>
                <w:sz w:val="24"/>
                <w:szCs w:val="24"/>
              </w:rPr>
            </w:pPr>
          </w:p>
        </w:tc>
        <w:tc>
          <w:tcPr>
            <w:tcW w:w="891" w:type="dxa"/>
            <w:tcBorders>
              <w:bottom w:val="single" w:sz="4" w:space="0" w:color="auto"/>
            </w:tcBorders>
            <w:shd w:val="clear" w:color="auto" w:fill="auto"/>
            <w:vAlign w:val="center"/>
          </w:tcPr>
          <w:p w14:paraId="3B3087C0" w14:textId="77777777" w:rsidR="003F759D" w:rsidRPr="009C1CBC" w:rsidRDefault="003F759D" w:rsidP="003F759D">
            <w:pPr>
              <w:spacing w:before="20"/>
              <w:rPr>
                <w:rFonts w:ascii="Garamond" w:hAnsi="Garamond"/>
                <w:i/>
                <w:sz w:val="18"/>
                <w:szCs w:val="18"/>
              </w:rPr>
            </w:pPr>
            <w:r w:rsidRPr="009C1CBC">
              <w:rPr>
                <w:rFonts w:ascii="Garamond" w:hAnsi="Garamond"/>
                <w:i/>
                <w:sz w:val="18"/>
                <w:szCs w:val="18"/>
              </w:rPr>
              <w:t>Narrated Power Point</w:t>
            </w:r>
          </w:p>
        </w:tc>
        <w:tc>
          <w:tcPr>
            <w:tcW w:w="8010" w:type="dxa"/>
            <w:tcBorders>
              <w:bottom w:val="single" w:sz="4" w:space="0" w:color="auto"/>
            </w:tcBorders>
            <w:shd w:val="clear" w:color="auto" w:fill="auto"/>
            <w:vAlign w:val="center"/>
          </w:tcPr>
          <w:p w14:paraId="4FD499E1" w14:textId="77777777" w:rsidR="003F759D" w:rsidRPr="009C1CBC" w:rsidRDefault="003F759D" w:rsidP="003F759D">
            <w:pPr>
              <w:keepNext/>
              <w:spacing w:after="60"/>
              <w:outlineLvl w:val="1"/>
              <w:rPr>
                <w:rFonts w:ascii="Garamond" w:hAnsi="Garamond"/>
                <w:b/>
                <w:sz w:val="24"/>
                <w:szCs w:val="24"/>
              </w:rPr>
            </w:pPr>
            <w:r w:rsidRPr="009C1CBC">
              <w:rPr>
                <w:rFonts w:ascii="Garamond" w:hAnsi="Garamond"/>
                <w:b/>
                <w:sz w:val="24"/>
                <w:szCs w:val="24"/>
              </w:rPr>
              <w:t xml:space="preserve">Appellate Review </w:t>
            </w:r>
          </w:p>
          <w:p w14:paraId="2A20315E" w14:textId="77777777" w:rsidR="003F759D" w:rsidRPr="009C1CBC" w:rsidRDefault="003F759D" w:rsidP="003F759D">
            <w:pPr>
              <w:keepNext/>
              <w:outlineLvl w:val="1"/>
              <w:rPr>
                <w:rFonts w:ascii="Garamond" w:hAnsi="Garamond"/>
                <w:b/>
                <w:sz w:val="24"/>
                <w:szCs w:val="24"/>
              </w:rPr>
            </w:pPr>
            <w:r w:rsidRPr="009C1CBC">
              <w:rPr>
                <w:rFonts w:ascii="Garamond" w:hAnsi="Garamond"/>
                <w:i/>
                <w:sz w:val="24"/>
                <w:szCs w:val="24"/>
              </w:rPr>
              <w:t xml:space="preserve">Assignments: </w:t>
            </w:r>
            <w:r w:rsidRPr="009C1CBC">
              <w:rPr>
                <w:rFonts w:ascii="Garamond" w:hAnsi="Garamond"/>
                <w:sz w:val="24"/>
                <w:szCs w:val="24"/>
              </w:rPr>
              <w:t xml:space="preserve"> casebook pp. 697-722</w:t>
            </w:r>
          </w:p>
        </w:tc>
      </w:tr>
      <w:tr w:rsidR="003F759D" w:rsidRPr="009C1CBC" w14:paraId="16880A43" w14:textId="77777777" w:rsidTr="00453B18">
        <w:trPr>
          <w:cantSplit/>
        </w:trPr>
        <w:tc>
          <w:tcPr>
            <w:tcW w:w="459" w:type="dxa"/>
            <w:tcBorders>
              <w:bottom w:val="single" w:sz="4" w:space="0" w:color="auto"/>
            </w:tcBorders>
            <w:shd w:val="clear" w:color="auto" w:fill="auto"/>
            <w:vAlign w:val="center"/>
          </w:tcPr>
          <w:p w14:paraId="5995AB55" w14:textId="0470D627" w:rsidR="003F759D" w:rsidRPr="009C1CBC" w:rsidRDefault="003F759D" w:rsidP="003F759D">
            <w:pPr>
              <w:rPr>
                <w:rFonts w:ascii="Garamond" w:hAnsi="Garamond"/>
                <w:sz w:val="24"/>
                <w:szCs w:val="24"/>
              </w:rPr>
            </w:pPr>
            <w:r w:rsidRPr="009C1CBC">
              <w:rPr>
                <w:rFonts w:ascii="Garamond" w:hAnsi="Garamond"/>
                <w:sz w:val="24"/>
                <w:szCs w:val="24"/>
              </w:rPr>
              <w:t>10</w:t>
            </w:r>
          </w:p>
        </w:tc>
        <w:tc>
          <w:tcPr>
            <w:tcW w:w="891" w:type="dxa"/>
            <w:tcBorders>
              <w:bottom w:val="single" w:sz="4" w:space="0" w:color="auto"/>
            </w:tcBorders>
            <w:shd w:val="clear" w:color="auto" w:fill="auto"/>
            <w:vAlign w:val="center"/>
          </w:tcPr>
          <w:p w14:paraId="5DDAB9B0" w14:textId="3B733AB0" w:rsidR="003F759D" w:rsidRPr="009C1CBC" w:rsidRDefault="003F759D" w:rsidP="003F759D">
            <w:pPr>
              <w:spacing w:before="20"/>
              <w:rPr>
                <w:rFonts w:ascii="Garamond" w:hAnsi="Garamond"/>
                <w:sz w:val="24"/>
                <w:szCs w:val="24"/>
              </w:rPr>
            </w:pPr>
            <w:r w:rsidRPr="009C1CBC">
              <w:rPr>
                <w:rFonts w:ascii="Garamond" w:hAnsi="Garamond"/>
                <w:sz w:val="24"/>
                <w:szCs w:val="24"/>
              </w:rPr>
              <w:t>3/24</w:t>
            </w:r>
          </w:p>
        </w:tc>
        <w:tc>
          <w:tcPr>
            <w:tcW w:w="8010" w:type="dxa"/>
            <w:tcBorders>
              <w:bottom w:val="single" w:sz="4" w:space="0" w:color="auto"/>
            </w:tcBorders>
            <w:shd w:val="clear" w:color="auto" w:fill="auto"/>
            <w:vAlign w:val="center"/>
          </w:tcPr>
          <w:p w14:paraId="2B127EAA" w14:textId="77777777" w:rsidR="003F759D" w:rsidRPr="009C1CBC" w:rsidRDefault="003F759D" w:rsidP="003F759D">
            <w:pPr>
              <w:keepNext/>
              <w:spacing w:after="60"/>
              <w:outlineLvl w:val="1"/>
              <w:rPr>
                <w:rFonts w:ascii="Garamond" w:hAnsi="Garamond"/>
                <w:b/>
                <w:sz w:val="24"/>
                <w:szCs w:val="24"/>
              </w:rPr>
            </w:pPr>
            <w:r w:rsidRPr="009C1CBC">
              <w:rPr>
                <w:rFonts w:ascii="Garamond" w:hAnsi="Garamond"/>
                <w:b/>
                <w:sz w:val="24"/>
                <w:szCs w:val="24"/>
              </w:rPr>
              <w:t>Arbitration</w:t>
            </w:r>
          </w:p>
          <w:p w14:paraId="7F91FE8B" w14:textId="77777777" w:rsidR="003F759D" w:rsidRPr="009C1CBC" w:rsidRDefault="003F759D" w:rsidP="003F759D">
            <w:pPr>
              <w:spacing w:after="60"/>
              <w:rPr>
                <w:rFonts w:ascii="Garamond" w:hAnsi="Garamond"/>
                <w:sz w:val="24"/>
                <w:szCs w:val="24"/>
              </w:rPr>
            </w:pPr>
            <w:r w:rsidRPr="009C1CBC">
              <w:rPr>
                <w:rFonts w:ascii="Garamond" w:hAnsi="Garamond"/>
                <w:sz w:val="24"/>
                <w:szCs w:val="24"/>
              </w:rPr>
              <w:t>Guest Practitioner:  Joseph Sellers, Partner, CohenMillstein, Washington, DC</w:t>
            </w:r>
          </w:p>
          <w:p w14:paraId="1EDF22F1" w14:textId="77777777" w:rsidR="003F759D" w:rsidRPr="009C1CBC" w:rsidRDefault="003F759D" w:rsidP="003F759D">
            <w:pPr>
              <w:spacing w:after="60"/>
              <w:rPr>
                <w:rFonts w:ascii="Garamond" w:hAnsi="Garamond"/>
                <w:sz w:val="24"/>
                <w:szCs w:val="24"/>
              </w:rPr>
            </w:pPr>
            <w:r w:rsidRPr="009C1CBC">
              <w:rPr>
                <w:rFonts w:ascii="Garamond" w:hAnsi="Garamond"/>
                <w:i/>
                <w:sz w:val="24"/>
                <w:szCs w:val="24"/>
              </w:rPr>
              <w:t>Assignments:  TBA &amp;</w:t>
            </w:r>
            <w:r w:rsidRPr="009C1CBC">
              <w:rPr>
                <w:rFonts w:ascii="Garamond" w:hAnsi="Garamond"/>
                <w:sz w:val="24"/>
                <w:szCs w:val="24"/>
              </w:rPr>
              <w:t xml:space="preserve"> casebook pp. 675-96</w:t>
            </w:r>
          </w:p>
          <w:p w14:paraId="714C488C" w14:textId="77777777" w:rsidR="003F759D" w:rsidRPr="009C1CBC" w:rsidRDefault="003F759D" w:rsidP="003F759D">
            <w:pPr>
              <w:jc w:val="center"/>
              <w:rPr>
                <w:rFonts w:ascii="Garamond" w:hAnsi="Garamond"/>
                <w:b/>
                <w:i/>
              </w:rPr>
            </w:pPr>
            <w:r w:rsidRPr="009C1CBC">
              <w:rPr>
                <w:rFonts w:ascii="Garamond" w:hAnsi="Garamond"/>
                <w:b/>
                <w:i/>
                <w:sz w:val="24"/>
                <w:szCs w:val="24"/>
              </w:rPr>
              <w:t>****Drafts Due****</w:t>
            </w:r>
          </w:p>
        </w:tc>
      </w:tr>
      <w:tr w:rsidR="003F759D" w:rsidRPr="009C1CBC" w14:paraId="23A3A771" w14:textId="77777777" w:rsidTr="00453B18">
        <w:trPr>
          <w:cantSplit/>
          <w:trHeight w:val="305"/>
        </w:trPr>
        <w:tc>
          <w:tcPr>
            <w:tcW w:w="459" w:type="dxa"/>
            <w:tcBorders>
              <w:bottom w:val="single" w:sz="4" w:space="0" w:color="auto"/>
            </w:tcBorders>
            <w:shd w:val="clear" w:color="auto" w:fill="auto"/>
            <w:vAlign w:val="center"/>
          </w:tcPr>
          <w:p w14:paraId="7BFE794A" w14:textId="572D5131" w:rsidR="003F759D" w:rsidRPr="009C1CBC" w:rsidRDefault="003F759D" w:rsidP="003F759D">
            <w:pPr>
              <w:rPr>
                <w:rFonts w:ascii="Garamond" w:hAnsi="Garamond"/>
                <w:sz w:val="24"/>
                <w:szCs w:val="24"/>
              </w:rPr>
            </w:pPr>
            <w:r w:rsidRPr="009C1CBC">
              <w:rPr>
                <w:rFonts w:ascii="Garamond" w:hAnsi="Garamond"/>
                <w:sz w:val="24"/>
                <w:szCs w:val="24"/>
              </w:rPr>
              <w:t>11</w:t>
            </w:r>
          </w:p>
        </w:tc>
        <w:tc>
          <w:tcPr>
            <w:tcW w:w="891" w:type="dxa"/>
            <w:tcBorders>
              <w:bottom w:val="single" w:sz="4" w:space="0" w:color="auto"/>
            </w:tcBorders>
            <w:shd w:val="clear" w:color="auto" w:fill="auto"/>
            <w:vAlign w:val="center"/>
          </w:tcPr>
          <w:p w14:paraId="6C7FFAA0" w14:textId="1E63FAA2" w:rsidR="003F759D" w:rsidRPr="009C1CBC" w:rsidRDefault="003F759D" w:rsidP="003F759D">
            <w:pPr>
              <w:spacing w:before="20"/>
              <w:rPr>
                <w:rFonts w:ascii="Garamond" w:hAnsi="Garamond"/>
                <w:sz w:val="24"/>
                <w:szCs w:val="24"/>
              </w:rPr>
            </w:pPr>
            <w:r w:rsidRPr="009C1CBC">
              <w:rPr>
                <w:rFonts w:ascii="Garamond" w:hAnsi="Garamond"/>
                <w:sz w:val="24"/>
                <w:szCs w:val="24"/>
              </w:rPr>
              <w:t>3/31</w:t>
            </w:r>
          </w:p>
        </w:tc>
        <w:tc>
          <w:tcPr>
            <w:tcW w:w="8010" w:type="dxa"/>
            <w:tcBorders>
              <w:bottom w:val="single" w:sz="4" w:space="0" w:color="auto"/>
            </w:tcBorders>
            <w:shd w:val="clear" w:color="auto" w:fill="auto"/>
            <w:vAlign w:val="center"/>
          </w:tcPr>
          <w:p w14:paraId="04BEB7F3" w14:textId="77777777" w:rsidR="003F759D" w:rsidRPr="009C1CBC" w:rsidRDefault="003F759D" w:rsidP="003F759D">
            <w:pPr>
              <w:rPr>
                <w:rFonts w:ascii="Garamond" w:hAnsi="Garamond"/>
                <w:i/>
                <w:sz w:val="24"/>
                <w:szCs w:val="24"/>
              </w:rPr>
            </w:pPr>
            <w:r w:rsidRPr="009C1CBC">
              <w:rPr>
                <w:rFonts w:ascii="Garamond" w:hAnsi="Garamond"/>
                <w:b/>
                <w:iCs/>
                <w:sz w:val="24"/>
                <w:szCs w:val="24"/>
              </w:rPr>
              <w:t>Presentations</w:t>
            </w:r>
            <w:r w:rsidRPr="009C1CBC">
              <w:rPr>
                <w:rFonts w:ascii="Garamond" w:hAnsi="Garamond"/>
                <w:i/>
                <w:iCs/>
                <w:sz w:val="24"/>
                <w:szCs w:val="24"/>
              </w:rPr>
              <w:t xml:space="preserve"> </w:t>
            </w:r>
            <w:r w:rsidRPr="009C1CBC">
              <w:rPr>
                <w:rFonts w:ascii="Garamond" w:hAnsi="Garamond"/>
                <w:iCs/>
                <w:sz w:val="24"/>
                <w:szCs w:val="24"/>
              </w:rPr>
              <w:t>1-4</w:t>
            </w:r>
          </w:p>
        </w:tc>
      </w:tr>
      <w:tr w:rsidR="003F759D" w:rsidRPr="009C1CBC" w14:paraId="02099E2F" w14:textId="77777777" w:rsidTr="00453B18">
        <w:trPr>
          <w:cantSplit/>
        </w:trPr>
        <w:tc>
          <w:tcPr>
            <w:tcW w:w="459" w:type="dxa"/>
            <w:tcBorders>
              <w:bottom w:val="single" w:sz="4" w:space="0" w:color="auto"/>
            </w:tcBorders>
            <w:shd w:val="clear" w:color="auto" w:fill="auto"/>
            <w:vAlign w:val="center"/>
          </w:tcPr>
          <w:p w14:paraId="42775558" w14:textId="30003563" w:rsidR="003F759D" w:rsidRPr="009C1CBC" w:rsidRDefault="003F759D" w:rsidP="003F759D">
            <w:pPr>
              <w:rPr>
                <w:rFonts w:ascii="Garamond" w:hAnsi="Garamond"/>
                <w:sz w:val="24"/>
                <w:szCs w:val="24"/>
              </w:rPr>
            </w:pPr>
            <w:r w:rsidRPr="009C1CBC">
              <w:rPr>
                <w:rFonts w:ascii="Garamond" w:hAnsi="Garamond"/>
                <w:sz w:val="24"/>
                <w:szCs w:val="24"/>
              </w:rPr>
              <w:t>12</w:t>
            </w:r>
          </w:p>
        </w:tc>
        <w:tc>
          <w:tcPr>
            <w:tcW w:w="891" w:type="dxa"/>
            <w:tcBorders>
              <w:bottom w:val="single" w:sz="4" w:space="0" w:color="auto"/>
            </w:tcBorders>
            <w:shd w:val="clear" w:color="auto" w:fill="auto"/>
            <w:vAlign w:val="center"/>
          </w:tcPr>
          <w:p w14:paraId="7711E15D" w14:textId="47CDB9F0" w:rsidR="003F759D" w:rsidRPr="009C1CBC" w:rsidRDefault="003F759D" w:rsidP="003F759D">
            <w:pPr>
              <w:spacing w:before="20"/>
              <w:rPr>
                <w:rFonts w:ascii="Garamond" w:hAnsi="Garamond"/>
                <w:sz w:val="24"/>
                <w:szCs w:val="24"/>
              </w:rPr>
            </w:pPr>
            <w:r w:rsidRPr="009C1CBC">
              <w:rPr>
                <w:rFonts w:ascii="Garamond" w:hAnsi="Garamond"/>
                <w:sz w:val="24"/>
                <w:szCs w:val="24"/>
              </w:rPr>
              <w:t>4/7</w:t>
            </w:r>
          </w:p>
        </w:tc>
        <w:tc>
          <w:tcPr>
            <w:tcW w:w="8010" w:type="dxa"/>
            <w:tcBorders>
              <w:bottom w:val="single" w:sz="4" w:space="0" w:color="auto"/>
            </w:tcBorders>
            <w:shd w:val="clear" w:color="auto" w:fill="auto"/>
            <w:vAlign w:val="center"/>
          </w:tcPr>
          <w:p w14:paraId="03FFA92C" w14:textId="77777777" w:rsidR="003F759D" w:rsidRPr="009C1CBC" w:rsidRDefault="003F759D" w:rsidP="003F759D">
            <w:pPr>
              <w:keepNext/>
              <w:outlineLvl w:val="1"/>
              <w:rPr>
                <w:rFonts w:ascii="Garamond" w:hAnsi="Garamond"/>
                <w:i/>
                <w:sz w:val="24"/>
                <w:szCs w:val="24"/>
              </w:rPr>
            </w:pPr>
            <w:r w:rsidRPr="009C1CBC">
              <w:rPr>
                <w:rFonts w:ascii="Garamond" w:hAnsi="Garamond"/>
                <w:b/>
                <w:iCs/>
                <w:sz w:val="24"/>
                <w:szCs w:val="24"/>
              </w:rPr>
              <w:t>Presentations</w:t>
            </w:r>
            <w:r w:rsidRPr="009C1CBC">
              <w:rPr>
                <w:rFonts w:ascii="Garamond" w:hAnsi="Garamond"/>
                <w:i/>
                <w:iCs/>
                <w:sz w:val="24"/>
                <w:szCs w:val="24"/>
              </w:rPr>
              <w:t xml:space="preserve"> </w:t>
            </w:r>
            <w:r w:rsidRPr="009C1CBC">
              <w:rPr>
                <w:rFonts w:ascii="Garamond" w:hAnsi="Garamond"/>
                <w:iCs/>
                <w:sz w:val="24"/>
                <w:szCs w:val="24"/>
              </w:rPr>
              <w:t>5-8</w:t>
            </w:r>
          </w:p>
        </w:tc>
      </w:tr>
      <w:tr w:rsidR="003F759D" w:rsidRPr="009C1CBC" w14:paraId="1DD77949" w14:textId="77777777" w:rsidTr="00453B18">
        <w:trPr>
          <w:cantSplit/>
        </w:trPr>
        <w:tc>
          <w:tcPr>
            <w:tcW w:w="459" w:type="dxa"/>
            <w:tcBorders>
              <w:bottom w:val="single" w:sz="4" w:space="0" w:color="auto"/>
            </w:tcBorders>
            <w:shd w:val="clear" w:color="auto" w:fill="auto"/>
            <w:vAlign w:val="center"/>
          </w:tcPr>
          <w:p w14:paraId="0922813B" w14:textId="71C9C8A7" w:rsidR="003F759D" w:rsidRPr="009C1CBC" w:rsidRDefault="003F759D" w:rsidP="003F759D">
            <w:pPr>
              <w:rPr>
                <w:rFonts w:ascii="Garamond" w:hAnsi="Garamond"/>
                <w:sz w:val="24"/>
                <w:szCs w:val="24"/>
              </w:rPr>
            </w:pPr>
            <w:r w:rsidRPr="009C1CBC">
              <w:rPr>
                <w:rFonts w:ascii="Garamond" w:hAnsi="Garamond"/>
                <w:sz w:val="24"/>
                <w:szCs w:val="24"/>
              </w:rPr>
              <w:t>13</w:t>
            </w:r>
          </w:p>
        </w:tc>
        <w:tc>
          <w:tcPr>
            <w:tcW w:w="891" w:type="dxa"/>
            <w:tcBorders>
              <w:bottom w:val="single" w:sz="4" w:space="0" w:color="auto"/>
            </w:tcBorders>
            <w:shd w:val="clear" w:color="auto" w:fill="auto"/>
            <w:vAlign w:val="center"/>
          </w:tcPr>
          <w:p w14:paraId="0BC4642B" w14:textId="37617A1C" w:rsidR="003F759D" w:rsidRPr="009C1CBC" w:rsidRDefault="003F759D" w:rsidP="003F759D">
            <w:pPr>
              <w:spacing w:before="20"/>
              <w:rPr>
                <w:rFonts w:ascii="Garamond" w:hAnsi="Garamond"/>
                <w:bCs/>
                <w:sz w:val="24"/>
                <w:szCs w:val="24"/>
              </w:rPr>
            </w:pPr>
            <w:r w:rsidRPr="009C1CBC">
              <w:rPr>
                <w:rFonts w:ascii="Garamond" w:hAnsi="Garamond"/>
                <w:sz w:val="24"/>
                <w:szCs w:val="24"/>
              </w:rPr>
              <w:t>4/14</w:t>
            </w:r>
          </w:p>
        </w:tc>
        <w:tc>
          <w:tcPr>
            <w:tcW w:w="8010" w:type="dxa"/>
            <w:tcBorders>
              <w:bottom w:val="single" w:sz="4" w:space="0" w:color="auto"/>
            </w:tcBorders>
            <w:shd w:val="clear" w:color="auto" w:fill="auto"/>
            <w:vAlign w:val="center"/>
          </w:tcPr>
          <w:p w14:paraId="08436DC9" w14:textId="24B6C250" w:rsidR="003F759D" w:rsidRPr="009C1CBC" w:rsidRDefault="003F759D" w:rsidP="003F759D">
            <w:pPr>
              <w:rPr>
                <w:rFonts w:ascii="Garamond" w:hAnsi="Garamond"/>
                <w:b/>
                <w:sz w:val="24"/>
                <w:szCs w:val="24"/>
              </w:rPr>
            </w:pPr>
            <w:r w:rsidRPr="009C1CBC">
              <w:rPr>
                <w:rFonts w:ascii="Garamond" w:hAnsi="Garamond"/>
                <w:b/>
                <w:sz w:val="24"/>
                <w:szCs w:val="24"/>
              </w:rPr>
              <w:t xml:space="preserve">Presentation </w:t>
            </w:r>
            <w:r w:rsidRPr="009C1CBC">
              <w:rPr>
                <w:rFonts w:ascii="Garamond" w:hAnsi="Garamond"/>
                <w:bCs/>
                <w:sz w:val="24"/>
                <w:szCs w:val="24"/>
              </w:rPr>
              <w:t>9-12</w:t>
            </w:r>
          </w:p>
        </w:tc>
      </w:tr>
      <w:tr w:rsidR="003F759D" w:rsidRPr="008E731E" w14:paraId="26C4671C" w14:textId="77777777" w:rsidTr="00453B18">
        <w:trPr>
          <w:cantSplit/>
        </w:trPr>
        <w:tc>
          <w:tcPr>
            <w:tcW w:w="459" w:type="dxa"/>
            <w:tcBorders>
              <w:bottom w:val="single" w:sz="4" w:space="0" w:color="auto"/>
            </w:tcBorders>
            <w:shd w:val="clear" w:color="auto" w:fill="auto"/>
            <w:vAlign w:val="center"/>
          </w:tcPr>
          <w:p w14:paraId="011B1162" w14:textId="77777777" w:rsidR="003F759D" w:rsidRPr="009C1CBC" w:rsidRDefault="003F759D" w:rsidP="003F759D">
            <w:pPr>
              <w:rPr>
                <w:rFonts w:ascii="Garamond" w:hAnsi="Garamond"/>
                <w:sz w:val="24"/>
                <w:szCs w:val="24"/>
              </w:rPr>
            </w:pPr>
          </w:p>
        </w:tc>
        <w:tc>
          <w:tcPr>
            <w:tcW w:w="891" w:type="dxa"/>
            <w:tcBorders>
              <w:bottom w:val="single" w:sz="4" w:space="0" w:color="auto"/>
            </w:tcBorders>
            <w:shd w:val="clear" w:color="auto" w:fill="auto"/>
            <w:vAlign w:val="center"/>
          </w:tcPr>
          <w:p w14:paraId="0676963A" w14:textId="72CBDFED" w:rsidR="003F759D" w:rsidRPr="009C1CBC" w:rsidRDefault="003F759D" w:rsidP="003F759D">
            <w:pPr>
              <w:spacing w:before="20"/>
              <w:rPr>
                <w:rFonts w:ascii="Garamond" w:hAnsi="Garamond"/>
                <w:bCs/>
                <w:sz w:val="24"/>
                <w:szCs w:val="24"/>
              </w:rPr>
            </w:pPr>
            <w:r w:rsidRPr="009C1CBC">
              <w:rPr>
                <w:rFonts w:ascii="Garamond" w:hAnsi="Garamond"/>
                <w:bCs/>
                <w:sz w:val="24"/>
                <w:szCs w:val="24"/>
              </w:rPr>
              <w:t>4/28</w:t>
            </w:r>
          </w:p>
        </w:tc>
        <w:tc>
          <w:tcPr>
            <w:tcW w:w="8010" w:type="dxa"/>
            <w:tcBorders>
              <w:bottom w:val="single" w:sz="4" w:space="0" w:color="auto"/>
            </w:tcBorders>
            <w:shd w:val="clear" w:color="auto" w:fill="auto"/>
            <w:vAlign w:val="center"/>
          </w:tcPr>
          <w:p w14:paraId="0E6DD656" w14:textId="77777777" w:rsidR="003F759D" w:rsidRPr="008E731E" w:rsidRDefault="003F759D" w:rsidP="003F759D">
            <w:pPr>
              <w:jc w:val="center"/>
              <w:rPr>
                <w:rFonts w:ascii="Garamond" w:hAnsi="Garamond"/>
                <w:b/>
                <w:sz w:val="24"/>
                <w:szCs w:val="24"/>
              </w:rPr>
            </w:pPr>
            <w:r w:rsidRPr="009C1CBC">
              <w:rPr>
                <w:rFonts w:ascii="Garamond" w:hAnsi="Garamond"/>
                <w:b/>
                <w:sz w:val="24"/>
                <w:szCs w:val="24"/>
              </w:rPr>
              <w:t>****Final Papers Due****</w:t>
            </w:r>
          </w:p>
        </w:tc>
      </w:tr>
    </w:tbl>
    <w:p w14:paraId="57B46AC7" w14:textId="77777777" w:rsidR="002A67A2" w:rsidRPr="008E731E" w:rsidRDefault="009B7F12">
      <w:pPr>
        <w:rPr>
          <w:rFonts w:ascii="Garamond" w:hAnsi="Garamond"/>
        </w:rPr>
      </w:pPr>
    </w:p>
    <w:sectPr w:rsidR="002A67A2" w:rsidRPr="008E73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21E4" w14:textId="77777777" w:rsidR="00406548" w:rsidRDefault="00406548" w:rsidP="00406548">
      <w:r>
        <w:separator/>
      </w:r>
    </w:p>
  </w:endnote>
  <w:endnote w:type="continuationSeparator" w:id="0">
    <w:p w14:paraId="2096A867" w14:textId="77777777" w:rsidR="00406548" w:rsidRDefault="00406548" w:rsidP="0040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247624"/>
      <w:docPartObj>
        <w:docPartGallery w:val="Page Numbers (Bottom of Page)"/>
        <w:docPartUnique/>
      </w:docPartObj>
    </w:sdtPr>
    <w:sdtEndPr>
      <w:rPr>
        <w:noProof/>
      </w:rPr>
    </w:sdtEndPr>
    <w:sdtContent>
      <w:p w14:paraId="4B40D3CB" w14:textId="77777777" w:rsidR="00406548" w:rsidRDefault="00406548">
        <w:pPr>
          <w:pStyle w:val="Footer"/>
          <w:jc w:val="center"/>
        </w:pPr>
        <w:r>
          <w:fldChar w:fldCharType="begin"/>
        </w:r>
        <w:r>
          <w:instrText xml:space="preserve"> PAGE   \* MERGEFORMAT </w:instrText>
        </w:r>
        <w:r>
          <w:fldChar w:fldCharType="separate"/>
        </w:r>
        <w:r w:rsidR="001508F7">
          <w:rPr>
            <w:noProof/>
          </w:rPr>
          <w:t>6</w:t>
        </w:r>
        <w:r>
          <w:rPr>
            <w:noProof/>
          </w:rPr>
          <w:fldChar w:fldCharType="end"/>
        </w:r>
      </w:p>
    </w:sdtContent>
  </w:sdt>
  <w:p w14:paraId="1109E53F" w14:textId="77777777" w:rsidR="00406548" w:rsidRDefault="0040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3CE5" w14:textId="77777777" w:rsidR="00406548" w:rsidRDefault="00406548" w:rsidP="00406548">
      <w:r>
        <w:separator/>
      </w:r>
    </w:p>
  </w:footnote>
  <w:footnote w:type="continuationSeparator" w:id="0">
    <w:p w14:paraId="264E5C08" w14:textId="77777777" w:rsidR="00406548" w:rsidRDefault="00406548" w:rsidP="0040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0793B"/>
    <w:multiLevelType w:val="hybridMultilevel"/>
    <w:tmpl w:val="1C5C7B1A"/>
    <w:lvl w:ilvl="0" w:tplc="FDFAED2E">
      <w:start w:val="1"/>
      <w:numFmt w:val="decimal"/>
      <w:lvlText w:val="%1."/>
      <w:lvlJc w:val="left"/>
      <w:pPr>
        <w:tabs>
          <w:tab w:val="num" w:pos="1008"/>
        </w:tabs>
        <w:ind w:left="1008" w:hanging="360"/>
      </w:pPr>
      <w:rPr>
        <w:rFonts w:hint="default"/>
        <w:b/>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5E367C1B"/>
    <w:multiLevelType w:val="hybridMultilevel"/>
    <w:tmpl w:val="E0F6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40515"/>
    <w:multiLevelType w:val="hybridMultilevel"/>
    <w:tmpl w:val="29D8C6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9E"/>
    <w:rsid w:val="00030BCA"/>
    <w:rsid w:val="00053A9E"/>
    <w:rsid w:val="00062BAD"/>
    <w:rsid w:val="00142685"/>
    <w:rsid w:val="001508F7"/>
    <w:rsid w:val="00164744"/>
    <w:rsid w:val="00194619"/>
    <w:rsid w:val="001D1FB5"/>
    <w:rsid w:val="001D4FFD"/>
    <w:rsid w:val="00203758"/>
    <w:rsid w:val="0022085F"/>
    <w:rsid w:val="00267913"/>
    <w:rsid w:val="00295343"/>
    <w:rsid w:val="002E4A6D"/>
    <w:rsid w:val="00351A0E"/>
    <w:rsid w:val="003548AB"/>
    <w:rsid w:val="003609DF"/>
    <w:rsid w:val="0038516E"/>
    <w:rsid w:val="003860FC"/>
    <w:rsid w:val="003F759D"/>
    <w:rsid w:val="00403B99"/>
    <w:rsid w:val="00406548"/>
    <w:rsid w:val="00411A5C"/>
    <w:rsid w:val="00421152"/>
    <w:rsid w:val="00423898"/>
    <w:rsid w:val="0043499D"/>
    <w:rsid w:val="00442351"/>
    <w:rsid w:val="00453B18"/>
    <w:rsid w:val="00490F12"/>
    <w:rsid w:val="004B5698"/>
    <w:rsid w:val="004F2184"/>
    <w:rsid w:val="004F2D26"/>
    <w:rsid w:val="00502188"/>
    <w:rsid w:val="0054046E"/>
    <w:rsid w:val="00542C29"/>
    <w:rsid w:val="00554AC3"/>
    <w:rsid w:val="00565A6B"/>
    <w:rsid w:val="00566E8E"/>
    <w:rsid w:val="00581589"/>
    <w:rsid w:val="005B4D69"/>
    <w:rsid w:val="005E7FEF"/>
    <w:rsid w:val="006379A4"/>
    <w:rsid w:val="00645546"/>
    <w:rsid w:val="0066456C"/>
    <w:rsid w:val="00742E78"/>
    <w:rsid w:val="0076620A"/>
    <w:rsid w:val="007849B7"/>
    <w:rsid w:val="00790F58"/>
    <w:rsid w:val="007A486D"/>
    <w:rsid w:val="007B4F6E"/>
    <w:rsid w:val="007E68C2"/>
    <w:rsid w:val="007F0A2B"/>
    <w:rsid w:val="007F78E9"/>
    <w:rsid w:val="00815EB0"/>
    <w:rsid w:val="00825B17"/>
    <w:rsid w:val="0084193E"/>
    <w:rsid w:val="008525BB"/>
    <w:rsid w:val="00852AF9"/>
    <w:rsid w:val="008857EB"/>
    <w:rsid w:val="008A727C"/>
    <w:rsid w:val="008D566B"/>
    <w:rsid w:val="008E731E"/>
    <w:rsid w:val="00923B60"/>
    <w:rsid w:val="009C1CBC"/>
    <w:rsid w:val="00A053B4"/>
    <w:rsid w:val="00A42A1D"/>
    <w:rsid w:val="00A6339C"/>
    <w:rsid w:val="00A6428A"/>
    <w:rsid w:val="00A64B78"/>
    <w:rsid w:val="00A87B05"/>
    <w:rsid w:val="00AC0906"/>
    <w:rsid w:val="00AD4898"/>
    <w:rsid w:val="00AD504F"/>
    <w:rsid w:val="00B26F4E"/>
    <w:rsid w:val="00B77BF8"/>
    <w:rsid w:val="00BB61F7"/>
    <w:rsid w:val="00BC325B"/>
    <w:rsid w:val="00BE39E0"/>
    <w:rsid w:val="00BF31D3"/>
    <w:rsid w:val="00C037DF"/>
    <w:rsid w:val="00C11B7C"/>
    <w:rsid w:val="00C71DC4"/>
    <w:rsid w:val="00C72B94"/>
    <w:rsid w:val="00C91045"/>
    <w:rsid w:val="00CD61E2"/>
    <w:rsid w:val="00D34930"/>
    <w:rsid w:val="00D47E86"/>
    <w:rsid w:val="00D53B6D"/>
    <w:rsid w:val="00D551D3"/>
    <w:rsid w:val="00E14DFF"/>
    <w:rsid w:val="00E55F10"/>
    <w:rsid w:val="00E93DE3"/>
    <w:rsid w:val="00EB267D"/>
    <w:rsid w:val="00EE0D30"/>
    <w:rsid w:val="00F0458A"/>
    <w:rsid w:val="00F23A88"/>
    <w:rsid w:val="00F33691"/>
    <w:rsid w:val="00F40EAB"/>
    <w:rsid w:val="00F47260"/>
    <w:rsid w:val="00F53B03"/>
    <w:rsid w:val="00F8359E"/>
    <w:rsid w:val="00F91038"/>
    <w:rsid w:val="00FA68BA"/>
    <w:rsid w:val="00FB55BE"/>
    <w:rsid w:val="00FC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5CFF"/>
  <w15:chartTrackingRefBased/>
  <w15:docId w15:val="{CD6E67CE-7F97-4C6E-9AC1-BA88DDA0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4898"/>
    <w:pPr>
      <w:keepNext/>
      <w:keepLines/>
      <w:spacing w:after="12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D4898"/>
    <w:pPr>
      <w:keepNext/>
      <w:keepLines/>
      <w:spacing w:after="120"/>
      <w:ind w:left="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footnote">
    <w:name w:val="Article footnote"/>
    <w:basedOn w:val="FootnoteText"/>
    <w:qFormat/>
    <w:rsid w:val="0038516E"/>
    <w:rPr>
      <w:sz w:val="22"/>
    </w:rPr>
  </w:style>
  <w:style w:type="paragraph" w:styleId="FootnoteText">
    <w:name w:val="footnote text"/>
    <w:basedOn w:val="Normal"/>
    <w:link w:val="FootnoteTextChar"/>
    <w:uiPriority w:val="99"/>
    <w:semiHidden/>
    <w:unhideWhenUsed/>
    <w:rsid w:val="0038516E"/>
  </w:style>
  <w:style w:type="character" w:customStyle="1" w:styleId="FootnoteTextChar">
    <w:name w:val="Footnote Text Char"/>
    <w:basedOn w:val="DefaultParagraphFont"/>
    <w:link w:val="FootnoteText"/>
    <w:uiPriority w:val="99"/>
    <w:semiHidden/>
    <w:rsid w:val="0038516E"/>
    <w:rPr>
      <w:sz w:val="20"/>
      <w:szCs w:val="20"/>
    </w:rPr>
  </w:style>
  <w:style w:type="paragraph" w:styleId="BodyTextIndent">
    <w:name w:val="Body Text Indent"/>
    <w:basedOn w:val="Normal"/>
    <w:link w:val="BodyTextIndentChar"/>
    <w:autoRedefine/>
    <w:unhideWhenUsed/>
    <w:qFormat/>
    <w:rsid w:val="00565A6B"/>
    <w:pPr>
      <w:spacing w:before="60"/>
      <w:ind w:firstLine="360"/>
      <w:jc w:val="both"/>
    </w:pPr>
    <w:rPr>
      <w:bCs/>
      <w:sz w:val="24"/>
      <w:szCs w:val="24"/>
    </w:rPr>
  </w:style>
  <w:style w:type="character" w:customStyle="1" w:styleId="BodyTextIndentChar">
    <w:name w:val="Body Text Indent Char"/>
    <w:basedOn w:val="DefaultParagraphFont"/>
    <w:link w:val="BodyTextIndent"/>
    <w:rsid w:val="00565A6B"/>
    <w:rPr>
      <w:rFonts w:ascii="Times New Roman" w:eastAsia="Times New Roman" w:hAnsi="Times New Roman" w:cs="Times New Roman"/>
      <w:bCs/>
      <w:sz w:val="24"/>
      <w:szCs w:val="24"/>
    </w:rPr>
  </w:style>
  <w:style w:type="character" w:customStyle="1" w:styleId="Heading2Char">
    <w:name w:val="Heading 2 Char"/>
    <w:basedOn w:val="DefaultParagraphFont"/>
    <w:link w:val="Heading2"/>
    <w:uiPriority w:val="9"/>
    <w:rsid w:val="00AD4898"/>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AD4898"/>
    <w:rPr>
      <w:rFonts w:ascii="Times New Roman" w:eastAsiaTheme="majorEastAsia" w:hAnsi="Times New Roman" w:cstheme="majorBidi"/>
      <w:sz w:val="24"/>
      <w:szCs w:val="32"/>
    </w:rPr>
  </w:style>
  <w:style w:type="character" w:styleId="Hyperlink">
    <w:name w:val="Hyperlink"/>
    <w:basedOn w:val="DefaultParagraphFont"/>
    <w:uiPriority w:val="99"/>
    <w:rsid w:val="00F8359E"/>
    <w:rPr>
      <w:color w:val="0000FF"/>
      <w:u w:val="single"/>
    </w:rPr>
  </w:style>
  <w:style w:type="paragraph" w:styleId="BodyText2">
    <w:name w:val="Body Text 2"/>
    <w:basedOn w:val="Normal"/>
    <w:link w:val="BodyText2Char"/>
    <w:rsid w:val="00F8359E"/>
    <w:pPr>
      <w:spacing w:before="120"/>
      <w:ind w:firstLine="720"/>
      <w:jc w:val="both"/>
    </w:pPr>
    <w:rPr>
      <w:sz w:val="22"/>
      <w:szCs w:val="24"/>
    </w:rPr>
  </w:style>
  <w:style w:type="character" w:customStyle="1" w:styleId="BodyText2Char">
    <w:name w:val="Body Text 2 Char"/>
    <w:basedOn w:val="DefaultParagraphFont"/>
    <w:link w:val="BodyText2"/>
    <w:rsid w:val="00F8359E"/>
    <w:rPr>
      <w:rFonts w:ascii="Times New Roman" w:eastAsia="Times New Roman" w:hAnsi="Times New Roman" w:cs="Times New Roman"/>
      <w:szCs w:val="24"/>
    </w:rPr>
  </w:style>
  <w:style w:type="paragraph" w:styleId="ListParagraph">
    <w:name w:val="List Paragraph"/>
    <w:basedOn w:val="Normal"/>
    <w:uiPriority w:val="34"/>
    <w:qFormat/>
    <w:rsid w:val="00B26F4E"/>
    <w:pPr>
      <w:ind w:left="720"/>
      <w:contextualSpacing/>
    </w:pPr>
  </w:style>
  <w:style w:type="paragraph" w:styleId="Header">
    <w:name w:val="header"/>
    <w:basedOn w:val="Normal"/>
    <w:link w:val="HeaderChar"/>
    <w:uiPriority w:val="99"/>
    <w:unhideWhenUsed/>
    <w:rsid w:val="00406548"/>
    <w:pPr>
      <w:tabs>
        <w:tab w:val="center" w:pos="4680"/>
        <w:tab w:val="right" w:pos="9360"/>
      </w:tabs>
    </w:pPr>
  </w:style>
  <w:style w:type="character" w:customStyle="1" w:styleId="HeaderChar">
    <w:name w:val="Header Char"/>
    <w:basedOn w:val="DefaultParagraphFont"/>
    <w:link w:val="Header"/>
    <w:uiPriority w:val="99"/>
    <w:rsid w:val="004065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6548"/>
    <w:pPr>
      <w:tabs>
        <w:tab w:val="center" w:pos="4680"/>
        <w:tab w:val="right" w:pos="9360"/>
      </w:tabs>
    </w:pPr>
  </w:style>
  <w:style w:type="character" w:customStyle="1" w:styleId="FooterChar">
    <w:name w:val="Footer Char"/>
    <w:basedOn w:val="DefaultParagraphFont"/>
    <w:link w:val="Footer"/>
    <w:uiPriority w:val="99"/>
    <w:rsid w:val="004065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3" Type="http://schemas.openxmlformats.org/officeDocument/2006/relationships/settings" Target="settings.xml"/><Relationship Id="rId7" Type="http://schemas.openxmlformats.org/officeDocument/2006/relationships/hyperlink" Target="http://www.bloomberg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ufl.edu/life-at-uf-law/office-of-student-affairs/additional-information/honor-code-and-committee/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Page,William H</dc:creator>
  <cp:keywords/>
  <dc:description/>
  <cp:lastModifiedBy>Page,William H</cp:lastModifiedBy>
  <cp:revision>3</cp:revision>
  <cp:lastPrinted>2020-01-06T19:51:00Z</cp:lastPrinted>
  <dcterms:created xsi:type="dcterms:W3CDTF">2020-01-07T16:15:00Z</dcterms:created>
  <dcterms:modified xsi:type="dcterms:W3CDTF">2020-01-07T16:25:00Z</dcterms:modified>
</cp:coreProperties>
</file>