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46EF19C4" w:rsidR="00DC571D" w:rsidRPr="00574BDC" w:rsidRDefault="00325E3B" w:rsidP="00DC571D">
      <w:pPr>
        <w:spacing w:line="259" w:lineRule="auto"/>
        <w:ind w:left="-90"/>
        <w:jc w:val="center"/>
        <w:rPr>
          <w:bCs/>
        </w:rPr>
      </w:pPr>
      <w:r w:rsidRPr="00574BDC">
        <w:rPr>
          <w:b/>
        </w:rPr>
        <w:t>Securities Regulation</w:t>
      </w:r>
    </w:p>
    <w:p w14:paraId="5352C854" w14:textId="77777777" w:rsidR="00DC571D" w:rsidRPr="00574BDC" w:rsidRDefault="00DC571D" w:rsidP="00DC571D">
      <w:pPr>
        <w:spacing w:after="8" w:line="265" w:lineRule="auto"/>
        <w:ind w:left="1791" w:right="1718"/>
        <w:jc w:val="center"/>
        <w:rPr>
          <w:b/>
          <w:sz w:val="22"/>
          <w:szCs w:val="22"/>
        </w:rPr>
      </w:pPr>
      <w:r w:rsidRPr="00574BDC">
        <w:rPr>
          <w:b/>
          <w:sz w:val="22"/>
          <w:szCs w:val="22"/>
        </w:rPr>
        <w:t xml:space="preserve">UNIVERSITY OF FLORIDA LEVIN COLLEGE OF LAW </w:t>
      </w:r>
    </w:p>
    <w:p w14:paraId="1C42F52C" w14:textId="4BCE1E0A" w:rsidR="001E2603" w:rsidRPr="00574BDC" w:rsidRDefault="00AA2DEF" w:rsidP="0044543F">
      <w:pPr>
        <w:spacing w:after="8" w:line="265" w:lineRule="auto"/>
        <w:ind w:left="1791" w:right="1718"/>
        <w:jc w:val="center"/>
        <w:rPr>
          <w:b/>
          <w:smallCaps/>
          <w:sz w:val="22"/>
          <w:szCs w:val="22"/>
        </w:rPr>
      </w:pPr>
      <w:r w:rsidRPr="00574BDC">
        <w:rPr>
          <w:b/>
          <w:smallCaps/>
          <w:sz w:val="22"/>
          <w:szCs w:val="22"/>
        </w:rPr>
        <w:t>S</w:t>
      </w:r>
      <w:r w:rsidR="00325E3B" w:rsidRPr="00574BDC">
        <w:rPr>
          <w:b/>
          <w:smallCaps/>
          <w:sz w:val="22"/>
          <w:szCs w:val="22"/>
        </w:rPr>
        <w:t>pring 2023</w:t>
      </w:r>
      <w:r w:rsidRPr="00574BDC">
        <w:rPr>
          <w:b/>
          <w:smallCaps/>
          <w:sz w:val="22"/>
          <w:szCs w:val="22"/>
        </w:rPr>
        <w:t xml:space="preserve"> </w:t>
      </w:r>
      <w:r w:rsidR="00DC571D" w:rsidRPr="00574BDC">
        <w:rPr>
          <w:b/>
          <w:smallCaps/>
          <w:sz w:val="22"/>
          <w:szCs w:val="22"/>
        </w:rPr>
        <w:t>SYLLABUS – LAW</w:t>
      </w:r>
      <w:r w:rsidR="00C50C4B" w:rsidRPr="00574BDC">
        <w:rPr>
          <w:b/>
          <w:smallCaps/>
          <w:sz w:val="22"/>
          <w:szCs w:val="22"/>
        </w:rPr>
        <w:t xml:space="preserve"> </w:t>
      </w:r>
      <w:r w:rsidR="00325E3B" w:rsidRPr="00574BDC">
        <w:rPr>
          <w:b/>
          <w:smallCaps/>
          <w:sz w:val="22"/>
          <w:szCs w:val="22"/>
        </w:rPr>
        <w:t>6560</w:t>
      </w:r>
      <w:r w:rsidR="00DC571D" w:rsidRPr="00574BDC">
        <w:rPr>
          <w:b/>
          <w:smallCaps/>
          <w:sz w:val="22"/>
          <w:szCs w:val="22"/>
        </w:rPr>
        <w:t xml:space="preserve"> – </w:t>
      </w:r>
      <w:r w:rsidR="00325E3B" w:rsidRPr="00574BDC">
        <w:rPr>
          <w:b/>
          <w:smallCaps/>
          <w:sz w:val="22"/>
          <w:szCs w:val="22"/>
        </w:rPr>
        <w:t>3</w:t>
      </w:r>
      <w:r w:rsidR="00DC571D" w:rsidRPr="00574BDC">
        <w:rPr>
          <w:b/>
          <w:smallCaps/>
          <w:sz w:val="22"/>
          <w:szCs w:val="22"/>
        </w:rPr>
        <w:t xml:space="preserve"> CREDITS </w:t>
      </w:r>
    </w:p>
    <w:p w14:paraId="6A1B78BB" w14:textId="77777777" w:rsidR="0044543F" w:rsidRPr="00574BDC" w:rsidRDefault="0044543F" w:rsidP="0044543F">
      <w:pPr>
        <w:spacing w:after="8" w:line="265" w:lineRule="auto"/>
        <w:ind w:left="1791" w:right="1718"/>
        <w:jc w:val="center"/>
        <w:rPr>
          <w:b/>
          <w:sz w:val="22"/>
          <w:szCs w:val="22"/>
        </w:rPr>
      </w:pPr>
    </w:p>
    <w:p w14:paraId="47E47726" w14:textId="0A5AB05E" w:rsidR="006A5D34" w:rsidRPr="00574BDC" w:rsidRDefault="006A5D34" w:rsidP="006A5D34">
      <w:pPr>
        <w:rPr>
          <w:sz w:val="22"/>
          <w:szCs w:val="22"/>
        </w:rPr>
      </w:pPr>
      <w:r w:rsidRPr="00574BDC">
        <w:rPr>
          <w:sz w:val="22"/>
          <w:szCs w:val="22"/>
        </w:rPr>
        <w:t xml:space="preserve">Professor </w:t>
      </w:r>
      <w:r w:rsidR="00325E3B" w:rsidRPr="00574BDC">
        <w:rPr>
          <w:sz w:val="22"/>
          <w:szCs w:val="22"/>
        </w:rPr>
        <w:t>Adam Pritchard</w:t>
      </w:r>
    </w:p>
    <w:p w14:paraId="22BBBF3A" w14:textId="54DD10DE" w:rsidR="006A5D34" w:rsidRPr="00574BDC" w:rsidRDefault="00561911" w:rsidP="006A5D34">
      <w:pPr>
        <w:rPr>
          <w:sz w:val="22"/>
          <w:szCs w:val="22"/>
        </w:rPr>
      </w:pPr>
      <w:r w:rsidRPr="00574BDC">
        <w:rPr>
          <w:sz w:val="22"/>
          <w:szCs w:val="22"/>
        </w:rPr>
        <w:t>Office</w:t>
      </w:r>
      <w:r w:rsidR="00574BDC" w:rsidRPr="00574BDC">
        <w:rPr>
          <w:sz w:val="22"/>
          <w:szCs w:val="22"/>
        </w:rPr>
        <w:t xml:space="preserve">: </w:t>
      </w:r>
      <w:r w:rsidR="000139DC">
        <w:rPr>
          <w:sz w:val="22"/>
          <w:szCs w:val="22"/>
        </w:rPr>
        <w:t>332 Holland Hall</w:t>
      </w:r>
    </w:p>
    <w:p w14:paraId="2390EC8B" w14:textId="77777777" w:rsidR="000139DC" w:rsidRDefault="006A5D34" w:rsidP="000139DC">
      <w:pPr>
        <w:pStyle w:val="PlainText"/>
      </w:pPr>
      <w:r w:rsidRPr="00574BDC">
        <w:rPr>
          <w:szCs w:val="22"/>
        </w:rPr>
        <w:t xml:space="preserve">Office Phone: </w:t>
      </w:r>
      <w:r w:rsidR="000139DC">
        <w:t>(352) 273-0881</w:t>
      </w:r>
    </w:p>
    <w:p w14:paraId="05CB6241" w14:textId="662C3AF5" w:rsidR="006A5D34" w:rsidRPr="00574BDC" w:rsidRDefault="006A5D34" w:rsidP="006A5D34">
      <w:pPr>
        <w:rPr>
          <w:sz w:val="22"/>
          <w:szCs w:val="22"/>
        </w:rPr>
      </w:pPr>
      <w:r w:rsidRPr="00574BDC">
        <w:rPr>
          <w:sz w:val="22"/>
          <w:szCs w:val="22"/>
        </w:rPr>
        <w:t xml:space="preserve">Email: </w:t>
      </w:r>
      <w:hyperlink r:id="rId8" w:history="1">
        <w:r w:rsidR="000139DC" w:rsidRPr="001D2397">
          <w:rPr>
            <w:rStyle w:val="Hyperlink"/>
            <w:sz w:val="22"/>
            <w:szCs w:val="22"/>
            <w:lang w:eastAsia="zh-CN"/>
          </w:rPr>
          <w:t>pritchard@law.ufl.edu</w:t>
        </w:r>
      </w:hyperlink>
      <w:r w:rsidR="000139DC">
        <w:rPr>
          <w:sz w:val="22"/>
          <w:szCs w:val="22"/>
          <w:lang w:eastAsia="zh-CN"/>
        </w:rPr>
        <w:t xml:space="preserve"> or </w:t>
      </w:r>
      <w:hyperlink r:id="rId9" w:history="1">
        <w:r w:rsidR="000139DC" w:rsidRPr="001D2397">
          <w:rPr>
            <w:rStyle w:val="Hyperlink"/>
            <w:sz w:val="22"/>
            <w:szCs w:val="22"/>
            <w:lang w:eastAsia="zh-CN"/>
          </w:rPr>
          <w:t>acplaw@umich.edu</w:t>
        </w:r>
      </w:hyperlink>
      <w:r w:rsidR="000139DC">
        <w:rPr>
          <w:sz w:val="22"/>
          <w:szCs w:val="22"/>
          <w:lang w:eastAsia="zh-CN"/>
        </w:rPr>
        <w:t xml:space="preserve"> </w:t>
      </w:r>
    </w:p>
    <w:p w14:paraId="668500BF" w14:textId="5334D8DD" w:rsidR="006A5D34" w:rsidRPr="00574BDC" w:rsidRDefault="006A5D34" w:rsidP="00561911">
      <w:pPr>
        <w:rPr>
          <w:sz w:val="22"/>
          <w:szCs w:val="22"/>
          <w:lang w:eastAsia="zh-CN"/>
        </w:rPr>
      </w:pPr>
      <w:r w:rsidRPr="00574BDC">
        <w:rPr>
          <w:sz w:val="22"/>
          <w:szCs w:val="22"/>
        </w:rPr>
        <w:t xml:space="preserve">Office Hours: </w:t>
      </w:r>
      <w:r w:rsidR="002B5409" w:rsidRPr="00574BDC">
        <w:rPr>
          <w:sz w:val="22"/>
          <w:szCs w:val="22"/>
          <w:lang w:eastAsia="zh-CN"/>
        </w:rPr>
        <w:t>Mondays, 1:00</w:t>
      </w:r>
      <w:r w:rsidR="006F77EE" w:rsidRPr="00574BDC">
        <w:rPr>
          <w:sz w:val="22"/>
          <w:szCs w:val="22"/>
          <w:lang w:eastAsia="zh-CN"/>
        </w:rPr>
        <w:t>-3:00 PM or by appointment.</w:t>
      </w:r>
    </w:p>
    <w:p w14:paraId="177A94E1" w14:textId="77777777" w:rsidR="006A5D34" w:rsidRPr="00574BDC" w:rsidRDefault="006A5D34" w:rsidP="006A5D34">
      <w:pPr>
        <w:rPr>
          <w:sz w:val="22"/>
          <w:szCs w:val="22"/>
        </w:rPr>
      </w:pPr>
    </w:p>
    <w:p w14:paraId="329582A2" w14:textId="2F4ABECC" w:rsidR="00242088" w:rsidRPr="00574BDC" w:rsidRDefault="006A5D34" w:rsidP="00242088">
      <w:pPr>
        <w:shd w:val="clear" w:color="auto" w:fill="FFFFFF"/>
        <w:rPr>
          <w:sz w:val="22"/>
          <w:szCs w:val="22"/>
          <w:lang w:eastAsia="zh-CN"/>
        </w:rPr>
      </w:pPr>
      <w:r w:rsidRPr="00574BDC">
        <w:rPr>
          <w:b/>
          <w:sz w:val="22"/>
          <w:szCs w:val="22"/>
          <w:u w:val="single"/>
        </w:rPr>
        <w:t>MEETING TIME</w:t>
      </w:r>
      <w:r w:rsidR="000139DC">
        <w:rPr>
          <w:b/>
          <w:sz w:val="22"/>
          <w:szCs w:val="22"/>
          <w:u w:val="single"/>
        </w:rPr>
        <w:t xml:space="preserve">: </w:t>
      </w:r>
      <w:r w:rsidR="000139DC">
        <w:t>Mo</w:t>
      </w:r>
      <w:r w:rsidR="000139DC">
        <w:t>ndays and Wednesdays</w:t>
      </w:r>
      <w:r w:rsidR="000139DC">
        <w:t xml:space="preserve"> 9:00 AM </w:t>
      </w:r>
      <w:r w:rsidR="000139DC">
        <w:t xml:space="preserve">to </w:t>
      </w:r>
      <w:r w:rsidR="000139DC">
        <w:t>10:25 AM</w:t>
      </w:r>
    </w:p>
    <w:p w14:paraId="154C7CCF" w14:textId="618664AF" w:rsidR="006A5D34" w:rsidRDefault="006A5D34" w:rsidP="006A5D34">
      <w:pPr>
        <w:rPr>
          <w:sz w:val="22"/>
          <w:szCs w:val="22"/>
          <w:lang w:eastAsia="zh-CN"/>
        </w:rPr>
      </w:pPr>
      <w:r w:rsidRPr="00574BDC">
        <w:rPr>
          <w:b/>
          <w:sz w:val="22"/>
          <w:szCs w:val="22"/>
          <w:u w:val="single"/>
        </w:rPr>
        <w:t>LOCATION</w:t>
      </w:r>
      <w:r w:rsidR="00242088" w:rsidRPr="00574BDC">
        <w:rPr>
          <w:b/>
          <w:sz w:val="22"/>
          <w:szCs w:val="22"/>
          <w:u w:val="single"/>
        </w:rPr>
        <w:t>:</w:t>
      </w:r>
      <w:r w:rsidRPr="00574BDC">
        <w:rPr>
          <w:sz w:val="22"/>
          <w:szCs w:val="22"/>
          <w:u w:val="single"/>
        </w:rPr>
        <w:t xml:space="preserve"> </w:t>
      </w:r>
      <w:r w:rsidR="000139DC">
        <w:rPr>
          <w:sz w:val="22"/>
          <w:szCs w:val="22"/>
          <w:lang w:eastAsia="zh-CN"/>
        </w:rPr>
        <w:t>284 Holland Hall</w:t>
      </w:r>
    </w:p>
    <w:p w14:paraId="7BD17FD6" w14:textId="77777777" w:rsidR="000139DC" w:rsidRPr="00574BDC" w:rsidRDefault="000139DC" w:rsidP="006A5D34">
      <w:pPr>
        <w:rPr>
          <w:sz w:val="22"/>
          <w:szCs w:val="22"/>
        </w:rPr>
      </w:pPr>
    </w:p>
    <w:p w14:paraId="5373273B" w14:textId="5D669376" w:rsidR="00B47272" w:rsidRPr="00574BDC" w:rsidRDefault="006A5D34" w:rsidP="00B47272">
      <w:pPr>
        <w:rPr>
          <w:b/>
          <w:sz w:val="22"/>
          <w:szCs w:val="22"/>
          <w:u w:val="single"/>
        </w:rPr>
      </w:pPr>
      <w:r w:rsidRPr="00574BDC">
        <w:rPr>
          <w:b/>
          <w:sz w:val="22"/>
          <w:szCs w:val="22"/>
          <w:u w:val="single"/>
        </w:rPr>
        <w:t>COURSE DESCRIPTION</w:t>
      </w:r>
      <w:r w:rsidR="004A4C6F" w:rsidRPr="00574BDC">
        <w:rPr>
          <w:b/>
          <w:sz w:val="22"/>
          <w:szCs w:val="22"/>
          <w:u w:val="single"/>
        </w:rPr>
        <w:t xml:space="preserve"> AND OBJECTIVES</w:t>
      </w:r>
      <w:r w:rsidR="00242088" w:rsidRPr="00574BDC">
        <w:rPr>
          <w:b/>
          <w:sz w:val="22"/>
          <w:szCs w:val="22"/>
          <w:u w:val="single"/>
        </w:rPr>
        <w:t>:</w:t>
      </w:r>
    </w:p>
    <w:p w14:paraId="54C36386" w14:textId="0592425B" w:rsidR="006F77EE" w:rsidRPr="00574BDC" w:rsidRDefault="006F77EE" w:rsidP="006F77EE">
      <w:pPr>
        <w:widowControl w:val="0"/>
        <w:jc w:val="both"/>
        <w:rPr>
          <w:b/>
          <w:sz w:val="22"/>
          <w:szCs w:val="22"/>
        </w:rPr>
      </w:pPr>
      <w:r w:rsidRPr="00574BDC">
        <w:rPr>
          <w:sz w:val="22"/>
          <w:szCs w:val="22"/>
        </w:rPr>
        <w:t>This course examines reporting requirements under the Exchange Act of 1934; the registration process for public offerings under the Securities Act of 1933, and exemptions from registration</w:t>
      </w:r>
      <w:r w:rsidR="007B11B7" w:rsidRPr="00574BDC">
        <w:rPr>
          <w:sz w:val="22"/>
          <w:szCs w:val="22"/>
        </w:rPr>
        <w:t xml:space="preserve">. </w:t>
      </w:r>
      <w:r w:rsidRPr="00574BDC">
        <w:rPr>
          <w:sz w:val="22"/>
          <w:szCs w:val="22"/>
        </w:rPr>
        <w:t xml:space="preserve">The course will also civil liabilities under the Securities Act. Corporations is a prerequisite. </w:t>
      </w:r>
    </w:p>
    <w:p w14:paraId="61212C92" w14:textId="77777777" w:rsidR="00561911" w:rsidRPr="00574BDC" w:rsidRDefault="00561911" w:rsidP="006A5D34">
      <w:pPr>
        <w:rPr>
          <w:b/>
          <w:sz w:val="22"/>
          <w:szCs w:val="22"/>
          <w:u w:val="single"/>
        </w:rPr>
      </w:pPr>
    </w:p>
    <w:p w14:paraId="69B96114" w14:textId="433406A2" w:rsidR="006A5D34" w:rsidRPr="00574BDC" w:rsidRDefault="006A5D34" w:rsidP="006A5D34">
      <w:pPr>
        <w:rPr>
          <w:b/>
          <w:sz w:val="22"/>
          <w:szCs w:val="22"/>
          <w:u w:val="single"/>
        </w:rPr>
      </w:pPr>
      <w:r w:rsidRPr="00574BDC">
        <w:rPr>
          <w:b/>
          <w:sz w:val="22"/>
          <w:szCs w:val="22"/>
          <w:u w:val="single"/>
        </w:rPr>
        <w:t>STUDENT LEARNING OUTCOMES</w:t>
      </w:r>
      <w:r w:rsidR="00242088" w:rsidRPr="00574BDC">
        <w:rPr>
          <w:b/>
          <w:sz w:val="22"/>
          <w:szCs w:val="22"/>
          <w:u w:val="single"/>
        </w:rPr>
        <w:t>:</w:t>
      </w:r>
    </w:p>
    <w:p w14:paraId="07CE2E3C" w14:textId="6CCE9282" w:rsidR="006A5D34" w:rsidRPr="00574BDC" w:rsidRDefault="006A5D34" w:rsidP="006A5D34">
      <w:pPr>
        <w:autoSpaceDE w:val="0"/>
        <w:autoSpaceDN w:val="0"/>
        <w:adjustRightInd w:val="0"/>
        <w:rPr>
          <w:b/>
          <w:bCs/>
          <w:sz w:val="22"/>
          <w:szCs w:val="22"/>
        </w:rPr>
      </w:pPr>
      <w:r w:rsidRPr="00574BDC">
        <w:rPr>
          <w:bCs/>
          <w:sz w:val="22"/>
          <w:szCs w:val="22"/>
        </w:rPr>
        <w:t>At the end of this course, students should be able to:</w:t>
      </w:r>
    </w:p>
    <w:p w14:paraId="3488AF22" w14:textId="253A3033" w:rsidR="006F77EE" w:rsidRPr="00574BDC" w:rsidRDefault="006F77EE" w:rsidP="006F77EE">
      <w:pPr>
        <w:pStyle w:val="ListParagraph"/>
        <w:widowControl w:val="0"/>
        <w:numPr>
          <w:ilvl w:val="0"/>
          <w:numId w:val="3"/>
        </w:numPr>
        <w:jc w:val="both"/>
        <w:rPr>
          <w:b/>
          <w:sz w:val="22"/>
          <w:szCs w:val="22"/>
        </w:rPr>
      </w:pPr>
      <w:r w:rsidRPr="00574BDC">
        <w:rPr>
          <w:sz w:val="22"/>
          <w:szCs w:val="22"/>
        </w:rPr>
        <w:t>Be a securities lawyer!</w:t>
      </w:r>
    </w:p>
    <w:p w14:paraId="5E8EBDAF" w14:textId="0EB809C0" w:rsidR="007B11B7" w:rsidRPr="00574BDC" w:rsidRDefault="006F77EE" w:rsidP="007B11B7">
      <w:pPr>
        <w:numPr>
          <w:ilvl w:val="0"/>
          <w:numId w:val="3"/>
        </w:numPr>
        <w:rPr>
          <w:sz w:val="22"/>
          <w:szCs w:val="22"/>
        </w:rPr>
      </w:pPr>
      <w:r w:rsidRPr="00574BDC">
        <w:rPr>
          <w:sz w:val="22"/>
          <w:szCs w:val="22"/>
        </w:rPr>
        <w:t>Understand how securities law interacts with the financial markets</w:t>
      </w:r>
      <w:r w:rsidR="007B11B7" w:rsidRPr="00574BDC">
        <w:rPr>
          <w:sz w:val="22"/>
          <w:szCs w:val="22"/>
        </w:rPr>
        <w:t xml:space="preserve"> </w:t>
      </w:r>
    </w:p>
    <w:p w14:paraId="2311BA29" w14:textId="1EBC31D8" w:rsidR="00B47272" w:rsidRPr="00574BDC" w:rsidRDefault="007B11B7" w:rsidP="007B11B7">
      <w:pPr>
        <w:numPr>
          <w:ilvl w:val="0"/>
          <w:numId w:val="3"/>
        </w:numPr>
        <w:rPr>
          <w:sz w:val="22"/>
          <w:szCs w:val="22"/>
        </w:rPr>
      </w:pPr>
      <w:r w:rsidRPr="00574BDC">
        <w:rPr>
          <w:sz w:val="22"/>
          <w:szCs w:val="22"/>
        </w:rPr>
        <w:t>Understand a complicated regulatory scheme</w:t>
      </w:r>
    </w:p>
    <w:p w14:paraId="3109D29E" w14:textId="77777777" w:rsidR="006A5D34" w:rsidRPr="00574BDC" w:rsidRDefault="006A5D34" w:rsidP="006A5D34">
      <w:pPr>
        <w:rPr>
          <w:b/>
          <w:sz w:val="22"/>
          <w:szCs w:val="22"/>
          <w:u w:val="single"/>
        </w:rPr>
      </w:pPr>
    </w:p>
    <w:p w14:paraId="0212562F" w14:textId="7F9E8AD0" w:rsidR="00DA68FE" w:rsidRPr="00574BDC" w:rsidRDefault="00DA68FE" w:rsidP="00DA68FE">
      <w:pPr>
        <w:rPr>
          <w:sz w:val="22"/>
          <w:szCs w:val="22"/>
        </w:rPr>
      </w:pPr>
      <w:r w:rsidRPr="00574BDC">
        <w:rPr>
          <w:b/>
          <w:sz w:val="22"/>
          <w:szCs w:val="22"/>
          <w:u w:val="single"/>
        </w:rPr>
        <w:t xml:space="preserve">REQUIRED </w:t>
      </w:r>
      <w:r w:rsidR="00242088" w:rsidRPr="00574BDC">
        <w:rPr>
          <w:b/>
          <w:sz w:val="22"/>
          <w:szCs w:val="22"/>
          <w:u w:val="single"/>
        </w:rPr>
        <w:t>READING MATERIALS:</w:t>
      </w:r>
    </w:p>
    <w:p w14:paraId="27D29B67" w14:textId="517EF296" w:rsidR="00B47272" w:rsidRPr="00574BDC" w:rsidRDefault="006F77EE" w:rsidP="00B942A3">
      <w:pPr>
        <w:autoSpaceDE w:val="0"/>
        <w:autoSpaceDN w:val="0"/>
        <w:adjustRightInd w:val="0"/>
        <w:rPr>
          <w:sz w:val="22"/>
          <w:szCs w:val="22"/>
        </w:rPr>
      </w:pPr>
      <w:r w:rsidRPr="00574BDC">
        <w:rPr>
          <w:sz w:val="22"/>
          <w:szCs w:val="22"/>
        </w:rPr>
        <w:t xml:space="preserve">Choi &amp; Pritchard, </w:t>
      </w:r>
      <w:r w:rsidRPr="00574BDC">
        <w:rPr>
          <w:b/>
          <w:sz w:val="22"/>
          <w:szCs w:val="22"/>
        </w:rPr>
        <w:t>Securities Regulation: Cases and Analysis</w:t>
      </w:r>
      <w:r w:rsidRPr="00574BDC">
        <w:rPr>
          <w:sz w:val="22"/>
          <w:szCs w:val="22"/>
        </w:rPr>
        <w:t xml:space="preserve"> (5th edition, 2019). You will also need Choi &amp; Pritchard, </w:t>
      </w:r>
      <w:r w:rsidRPr="00574BDC">
        <w:rPr>
          <w:b/>
          <w:sz w:val="22"/>
          <w:szCs w:val="22"/>
        </w:rPr>
        <w:t>Securities Regulation: Statutory Supplement</w:t>
      </w:r>
      <w:r w:rsidR="00574BDC">
        <w:rPr>
          <w:b/>
          <w:sz w:val="22"/>
          <w:szCs w:val="22"/>
        </w:rPr>
        <w:t xml:space="preserve"> 2022-2023</w:t>
      </w:r>
      <w:r w:rsidRPr="00574BDC">
        <w:rPr>
          <w:b/>
          <w:sz w:val="22"/>
          <w:szCs w:val="22"/>
        </w:rPr>
        <w:t xml:space="preserve"> </w:t>
      </w:r>
      <w:r w:rsidRPr="00574BDC">
        <w:rPr>
          <w:sz w:val="22"/>
          <w:szCs w:val="22"/>
        </w:rPr>
        <w:t>(Foundation Press, 2022 Edition).</w:t>
      </w:r>
      <w:r w:rsidRPr="00574BDC">
        <w:rPr>
          <w:b/>
          <w:sz w:val="22"/>
          <w:szCs w:val="22"/>
        </w:rPr>
        <w:t xml:space="preserve"> </w:t>
      </w:r>
      <w:r w:rsidRPr="00574BDC">
        <w:rPr>
          <w:sz w:val="22"/>
          <w:szCs w:val="22"/>
        </w:rPr>
        <w:t xml:space="preserve">There is a casebook </w:t>
      </w:r>
      <w:proofErr w:type="gramStart"/>
      <w:r w:rsidRPr="00574BDC">
        <w:rPr>
          <w:sz w:val="22"/>
          <w:szCs w:val="22"/>
        </w:rPr>
        <w:t xml:space="preserve">supplement </w:t>
      </w:r>
      <w:r w:rsidR="00574BDC">
        <w:rPr>
          <w:sz w:val="22"/>
          <w:szCs w:val="22"/>
        </w:rPr>
        <w:t xml:space="preserve"> that</w:t>
      </w:r>
      <w:proofErr w:type="gramEnd"/>
      <w:r w:rsidRPr="00574BDC">
        <w:rPr>
          <w:sz w:val="22"/>
          <w:szCs w:val="22"/>
        </w:rPr>
        <w:t xml:space="preserve"> you will find on Canvas. </w:t>
      </w:r>
      <w:r w:rsidR="00B942A3" w:rsidRPr="00574BDC">
        <w:rPr>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00B942A3" w:rsidRPr="00574BDC">
        <w:rPr>
          <w:rFonts w:eastAsia="Baskerville Old Face"/>
          <w:sz w:val="22"/>
          <w:szCs w:val="22"/>
        </w:rPr>
        <w:t xml:space="preserve"> </w:t>
      </w:r>
    </w:p>
    <w:p w14:paraId="031B2321" w14:textId="32660670" w:rsidR="00561911" w:rsidRPr="00574BDC" w:rsidRDefault="00561911" w:rsidP="00B47272">
      <w:pPr>
        <w:rPr>
          <w:sz w:val="22"/>
          <w:szCs w:val="22"/>
        </w:rPr>
      </w:pPr>
    </w:p>
    <w:p w14:paraId="2795A657" w14:textId="38F67FCB" w:rsidR="00242088" w:rsidRPr="00574BDC" w:rsidRDefault="00242088" w:rsidP="006A5D34">
      <w:pPr>
        <w:rPr>
          <w:b/>
          <w:sz w:val="22"/>
          <w:szCs w:val="22"/>
          <w:u w:val="single"/>
        </w:rPr>
      </w:pPr>
      <w:r w:rsidRPr="00574BDC">
        <w:rPr>
          <w:b/>
          <w:sz w:val="22"/>
          <w:szCs w:val="22"/>
          <w:u w:val="single"/>
        </w:rPr>
        <w:t>COURSE EXPECTATIONS</w:t>
      </w:r>
      <w:r w:rsidR="005B79B1" w:rsidRPr="00574BDC">
        <w:rPr>
          <w:b/>
          <w:sz w:val="22"/>
          <w:szCs w:val="22"/>
          <w:u w:val="single"/>
        </w:rPr>
        <w:t xml:space="preserve"> AND GRADING EVALUATION</w:t>
      </w:r>
      <w:r w:rsidRPr="00574BDC">
        <w:rPr>
          <w:b/>
          <w:sz w:val="22"/>
          <w:szCs w:val="22"/>
          <w:u w:val="single"/>
        </w:rPr>
        <w:t>:</w:t>
      </w:r>
    </w:p>
    <w:p w14:paraId="5DE690FB" w14:textId="77777777" w:rsidR="00427EBD" w:rsidRPr="00574BDC" w:rsidRDefault="00427EBD" w:rsidP="006A5D34">
      <w:pPr>
        <w:rPr>
          <w:sz w:val="22"/>
          <w:szCs w:val="22"/>
        </w:rPr>
      </w:pPr>
      <w:r w:rsidRPr="00574BDC">
        <w:rPr>
          <w:sz w:val="22"/>
          <w:szCs w:val="22"/>
        </w:rPr>
        <w:t xml:space="preserve">Students will be on call </w:t>
      </w:r>
      <w:r w:rsidRPr="00574BDC">
        <w:rPr>
          <w:b/>
          <w:sz w:val="22"/>
          <w:szCs w:val="22"/>
        </w:rPr>
        <w:t xml:space="preserve">once a week </w:t>
      </w:r>
      <w:r w:rsidRPr="00574BDC">
        <w:rPr>
          <w:sz w:val="22"/>
          <w:szCs w:val="22"/>
        </w:rPr>
        <w:t xml:space="preserve">based on the section in which they are seated. </w:t>
      </w:r>
      <w:r w:rsidRPr="00574BDC">
        <w:rPr>
          <w:b/>
          <w:sz w:val="22"/>
          <w:szCs w:val="22"/>
        </w:rPr>
        <w:t xml:space="preserve">You are expected to be prepared on your on-call day. </w:t>
      </w:r>
      <w:r w:rsidRPr="00574BDC">
        <w:rPr>
          <w:sz w:val="22"/>
          <w:szCs w:val="22"/>
        </w:rPr>
        <w:t xml:space="preserve">Being prepared means having done the reading, identified the holding(s) of the case(s), </w:t>
      </w:r>
      <w:r w:rsidRPr="00574BDC">
        <w:rPr>
          <w:b/>
          <w:sz w:val="22"/>
          <w:szCs w:val="22"/>
        </w:rPr>
        <w:t>read the statutes and rules listed on the syllabus</w:t>
      </w:r>
      <w:r w:rsidRPr="00574BDC">
        <w:rPr>
          <w:sz w:val="22"/>
          <w:szCs w:val="22"/>
        </w:rPr>
        <w:t xml:space="preserve">, understood the legal rule(s) applied, answered the questions, </w:t>
      </w:r>
      <w:r w:rsidRPr="00574BDC">
        <w:rPr>
          <w:b/>
          <w:sz w:val="22"/>
          <w:szCs w:val="22"/>
        </w:rPr>
        <w:t>and analyzed the hypotheticals, all prior to coming to class</w:t>
      </w:r>
      <w:r w:rsidRPr="00574BDC">
        <w:rPr>
          <w:sz w:val="22"/>
          <w:szCs w:val="22"/>
        </w:rPr>
        <w:t xml:space="preserve">. </w:t>
      </w:r>
      <w:r w:rsidRPr="00574BDC">
        <w:rPr>
          <w:b/>
          <w:sz w:val="22"/>
          <w:szCs w:val="22"/>
        </w:rPr>
        <w:t xml:space="preserve">Each time </w:t>
      </w:r>
      <w:r w:rsidRPr="00574BDC">
        <w:rPr>
          <w:sz w:val="22"/>
          <w:szCs w:val="22"/>
        </w:rPr>
        <w:t xml:space="preserve">I call on you and I conclude that you are unprepared, I will deduct </w:t>
      </w:r>
      <w:r w:rsidRPr="00574BDC">
        <w:rPr>
          <w:b/>
          <w:sz w:val="22"/>
          <w:szCs w:val="22"/>
        </w:rPr>
        <w:t xml:space="preserve">two points </w:t>
      </w:r>
      <w:r w:rsidRPr="00574BDC">
        <w:rPr>
          <w:sz w:val="22"/>
          <w:szCs w:val="22"/>
        </w:rPr>
        <w:t xml:space="preserve">from your exam score. (The exam will have a </w:t>
      </w:r>
      <w:proofErr w:type="gramStart"/>
      <w:r w:rsidRPr="00574BDC">
        <w:rPr>
          <w:sz w:val="22"/>
          <w:szCs w:val="22"/>
        </w:rPr>
        <w:t>100 point</w:t>
      </w:r>
      <w:proofErr w:type="gramEnd"/>
      <w:r w:rsidRPr="00574BDC">
        <w:rPr>
          <w:sz w:val="22"/>
          <w:szCs w:val="22"/>
        </w:rPr>
        <w:t xml:space="preserve"> scale.). </w:t>
      </w:r>
    </w:p>
    <w:p w14:paraId="5C9AD7DB" w14:textId="1B6AA939" w:rsidR="005B79B1" w:rsidRPr="00574BDC" w:rsidRDefault="005B79B1" w:rsidP="006A5D34">
      <w:pPr>
        <w:rPr>
          <w:sz w:val="22"/>
          <w:szCs w:val="22"/>
        </w:rPr>
      </w:pPr>
      <w:r w:rsidRPr="00574BDC">
        <w:rPr>
          <w:sz w:val="22"/>
          <w:szCs w:val="22"/>
        </w:rPr>
        <w:t xml:space="preserve">Students will be evaluated based upon </w:t>
      </w:r>
      <w:r w:rsidR="00427EBD" w:rsidRPr="00574BDC">
        <w:rPr>
          <w:sz w:val="22"/>
          <w:szCs w:val="22"/>
        </w:rPr>
        <w:t>a final exam</w:t>
      </w:r>
      <w:r w:rsidRPr="00574BDC">
        <w:rPr>
          <w:sz w:val="22"/>
          <w:szCs w:val="22"/>
        </w:rPr>
        <w:t>.</w:t>
      </w:r>
    </w:p>
    <w:p w14:paraId="206235F6" w14:textId="0D5D7966" w:rsidR="00242088" w:rsidRPr="00574BDC" w:rsidRDefault="001C0EA6" w:rsidP="00B942A3">
      <w:pPr>
        <w:spacing w:before="120" w:after="200"/>
        <w:rPr>
          <w:sz w:val="22"/>
          <w:szCs w:val="22"/>
        </w:rPr>
      </w:pPr>
      <w:r w:rsidRPr="00574BDC">
        <w:rPr>
          <w:b/>
          <w:sz w:val="22"/>
          <w:szCs w:val="22"/>
          <w:u w:val="single"/>
        </w:rPr>
        <w:t>CLASS ATTENDANCE POLICY:</w:t>
      </w:r>
      <w:r w:rsidRPr="00574BDC">
        <w:rPr>
          <w:sz w:val="22"/>
          <w:szCs w:val="22"/>
        </w:rPr>
        <w:br/>
        <w:t xml:space="preserve">Attendance in class is required by both the ABA and the Law School. Attendance will be taken at each class meeting.  Students are allowed </w:t>
      </w:r>
      <w:r w:rsidR="0048708A" w:rsidRPr="00574BDC">
        <w:rPr>
          <w:sz w:val="22"/>
          <w:szCs w:val="22"/>
        </w:rPr>
        <w:t>4</w:t>
      </w:r>
      <w:r w:rsidRPr="00574BDC">
        <w:rPr>
          <w:sz w:val="22"/>
          <w:szCs w:val="22"/>
        </w:rPr>
        <w:t xml:space="preserve"> absences </w:t>
      </w:r>
      <w:proofErr w:type="gramStart"/>
      <w:r w:rsidRPr="00574BDC">
        <w:rPr>
          <w:sz w:val="22"/>
          <w:szCs w:val="22"/>
        </w:rPr>
        <w:t>during the course of</w:t>
      </w:r>
      <w:proofErr w:type="gramEnd"/>
      <w:r w:rsidRPr="00574BDC">
        <w:rPr>
          <w:sz w:val="22"/>
          <w:szCs w:val="22"/>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10" w:anchor=":~:text=co%2Dcurricular%20activities.-,Attendance,regular%20and%20punctual%20class%20attendance.&amp;text=UF%20Law%20policy%20permits%20dismissal,of%2012%20credits%20per%20semester." w:history="1">
        <w:r w:rsidRPr="00574BDC">
          <w:rPr>
            <w:rStyle w:val="Hyperlink"/>
            <w:color w:val="auto"/>
            <w:sz w:val="22"/>
            <w:szCs w:val="22"/>
          </w:rPr>
          <w:t>here</w:t>
        </w:r>
      </w:hyperlink>
      <w:r w:rsidRPr="00574BDC">
        <w:rPr>
          <w:sz w:val="22"/>
          <w:szCs w:val="22"/>
        </w:rPr>
        <w:t>.</w:t>
      </w:r>
    </w:p>
    <w:p w14:paraId="2B480FF7" w14:textId="77777777" w:rsidR="00570808" w:rsidRPr="00574BDC" w:rsidRDefault="00570808" w:rsidP="00552454">
      <w:pPr>
        <w:rPr>
          <w:b/>
          <w:sz w:val="22"/>
          <w:szCs w:val="22"/>
          <w:u w:val="single"/>
        </w:rPr>
      </w:pPr>
      <w:r w:rsidRPr="00574BDC">
        <w:rPr>
          <w:b/>
          <w:sz w:val="22"/>
          <w:szCs w:val="22"/>
          <w:u w:val="single"/>
        </w:rPr>
        <w:t>COMPLIANCE WITH UF HONOR CODE:</w:t>
      </w:r>
    </w:p>
    <w:p w14:paraId="06994BC7" w14:textId="45630A07" w:rsidR="00570808" w:rsidRPr="00574BDC" w:rsidRDefault="00570808" w:rsidP="00552454">
      <w:pPr>
        <w:rPr>
          <w:sz w:val="22"/>
          <w:szCs w:val="22"/>
        </w:rPr>
      </w:pPr>
      <w:r w:rsidRPr="00574BDC">
        <w:rPr>
          <w:rFonts w:eastAsia="Calibri"/>
          <w:sz w:val="22"/>
          <w:szCs w:val="22"/>
        </w:rPr>
        <w:lastRenderedPageBreak/>
        <w:t>A</w:t>
      </w:r>
      <w:r w:rsidRPr="00574BDC">
        <w:rPr>
          <w:sz w:val="22"/>
          <w:szCs w:val="22"/>
        </w:rPr>
        <w:t xml:space="preserve">cademic honesty and integrity are fundamental values of the University community. Students should be sure that they understand the UF Law Honor Code located </w:t>
      </w:r>
      <w:hyperlink r:id="rId11" w:history="1">
        <w:r w:rsidRPr="00574BDC">
          <w:rPr>
            <w:rStyle w:val="Hyperlink"/>
            <w:color w:val="auto"/>
            <w:sz w:val="22"/>
            <w:szCs w:val="22"/>
          </w:rPr>
          <w:t>here</w:t>
        </w:r>
      </w:hyperlink>
      <w:r w:rsidRPr="00574BDC">
        <w:rPr>
          <w:sz w:val="22"/>
          <w:szCs w:val="22"/>
        </w:rPr>
        <w:t>.</w:t>
      </w:r>
      <w:r w:rsidR="009F4DAE" w:rsidRPr="00574BDC">
        <w:rPr>
          <w:sz w:val="22"/>
          <w:szCs w:val="22"/>
        </w:rPr>
        <w:t xml:space="preserve"> </w:t>
      </w:r>
      <w:r w:rsidR="009F4DAE" w:rsidRPr="00574BDC">
        <w:rPr>
          <w:sz w:val="22"/>
          <w:szCs w:val="22"/>
          <w:shd w:val="clear" w:color="auto" w:fill="FFFFFF"/>
        </w:rPr>
        <w:t xml:space="preserve">The UF Law Honor Code also prohibits use of artificial intelligence, including, but not limited to, </w:t>
      </w:r>
      <w:proofErr w:type="spellStart"/>
      <w:r w:rsidR="009F4DAE" w:rsidRPr="00574BDC">
        <w:rPr>
          <w:sz w:val="22"/>
          <w:szCs w:val="22"/>
          <w:shd w:val="clear" w:color="auto" w:fill="FFFFFF"/>
        </w:rPr>
        <w:t>ChatGPT</w:t>
      </w:r>
      <w:proofErr w:type="spellEnd"/>
      <w:r w:rsidR="009F4DAE" w:rsidRPr="00574BDC">
        <w:rPr>
          <w:sz w:val="22"/>
          <w:szCs w:val="22"/>
          <w:shd w:val="clear" w:color="auto" w:fill="FFFFFF"/>
        </w:rPr>
        <w:t xml:space="preserve"> and Harvey, to assist in completing quizzes, exams, papers, or other assessments.</w:t>
      </w:r>
    </w:p>
    <w:p w14:paraId="6A9D1843" w14:textId="77777777" w:rsidR="00552454" w:rsidRPr="00574BDC" w:rsidRDefault="00552454" w:rsidP="00552454">
      <w:pPr>
        <w:rPr>
          <w:sz w:val="22"/>
          <w:szCs w:val="22"/>
        </w:rPr>
      </w:pPr>
    </w:p>
    <w:p w14:paraId="41FCCAFD" w14:textId="77777777" w:rsidR="00570808" w:rsidRPr="00574BDC" w:rsidRDefault="00570808" w:rsidP="00570808">
      <w:pPr>
        <w:rPr>
          <w:b/>
          <w:sz w:val="22"/>
          <w:szCs w:val="22"/>
          <w:u w:val="single"/>
        </w:rPr>
      </w:pPr>
      <w:r w:rsidRPr="00574BDC">
        <w:rPr>
          <w:b/>
          <w:sz w:val="22"/>
          <w:szCs w:val="22"/>
          <w:u w:val="single"/>
        </w:rPr>
        <w:t>INFORMATION ON UF LAW GRADING POLICIES:</w:t>
      </w:r>
    </w:p>
    <w:p w14:paraId="1A042082" w14:textId="77777777" w:rsidR="00570808" w:rsidRPr="00574BDC" w:rsidRDefault="00570808" w:rsidP="00570808">
      <w:pPr>
        <w:textAlignment w:val="baseline"/>
        <w:rPr>
          <w:sz w:val="22"/>
          <w:szCs w:val="22"/>
        </w:rPr>
      </w:pPr>
      <w:r w:rsidRPr="00574BDC">
        <w:rPr>
          <w:sz w:val="22"/>
          <w:szCs w:val="22"/>
        </w:rPr>
        <w:t>The Levin College of Law’s mean and mandatory distributions are posted on the College’s website and this class adheres to that posted grading policy. The following chart describes the specific letter grade/grade point equivalent in place:  </w:t>
      </w:r>
    </w:p>
    <w:p w14:paraId="2B5FD17A" w14:textId="77777777" w:rsidR="00570808" w:rsidRPr="00574BDC" w:rsidRDefault="00570808" w:rsidP="00570808">
      <w:pPr>
        <w:textAlignment w:val="baseline"/>
        <w:rPr>
          <w:sz w:val="22"/>
          <w:szCs w:val="22"/>
        </w:rPr>
      </w:pPr>
      <w:r w:rsidRPr="00574BDC">
        <w:rPr>
          <w:sz w:val="22"/>
          <w:szCs w:val="22"/>
        </w:rPr>
        <w:t>  </w:t>
      </w:r>
    </w:p>
    <w:tbl>
      <w:tblPr>
        <w:tblW w:w="459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1066"/>
        <w:gridCol w:w="1307"/>
        <w:gridCol w:w="1063"/>
      </w:tblGrid>
      <w:tr w:rsidR="00574BDC" w:rsidRPr="00574BDC" w14:paraId="09FA2D30" w14:textId="77777777" w:rsidTr="00D40CB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auto"/>
            <w:hideMark/>
          </w:tcPr>
          <w:p w14:paraId="15F3FC48" w14:textId="77777777" w:rsidR="00570808" w:rsidRPr="00574BDC" w:rsidRDefault="00570808" w:rsidP="00D40CB5">
            <w:pPr>
              <w:textAlignment w:val="baseline"/>
              <w:rPr>
                <w:sz w:val="22"/>
                <w:szCs w:val="22"/>
              </w:rPr>
            </w:pPr>
            <w:r w:rsidRPr="00574BDC">
              <w:rPr>
                <w:sz w:val="22"/>
                <w:szCs w:val="22"/>
              </w:rPr>
              <w:t>Letter Grade  </w:t>
            </w:r>
          </w:p>
        </w:tc>
        <w:tc>
          <w:tcPr>
            <w:tcW w:w="1062" w:type="dxa"/>
            <w:tcBorders>
              <w:top w:val="single" w:sz="6" w:space="0" w:color="auto"/>
              <w:left w:val="nil"/>
              <w:bottom w:val="single" w:sz="6" w:space="0" w:color="auto"/>
              <w:right w:val="single" w:sz="4" w:space="0" w:color="auto"/>
            </w:tcBorders>
            <w:shd w:val="clear" w:color="auto" w:fill="auto"/>
            <w:hideMark/>
          </w:tcPr>
          <w:p w14:paraId="4C220A28" w14:textId="77777777" w:rsidR="00570808" w:rsidRPr="00574BDC" w:rsidRDefault="00570808" w:rsidP="00D40CB5">
            <w:pPr>
              <w:textAlignment w:val="baseline"/>
              <w:rPr>
                <w:sz w:val="22"/>
                <w:szCs w:val="22"/>
              </w:rPr>
            </w:pPr>
            <w:r w:rsidRPr="00574BDC">
              <w:rPr>
                <w:sz w:val="22"/>
                <w:szCs w:val="22"/>
              </w:rPr>
              <w:t>Point Equivalent  </w:t>
            </w:r>
          </w:p>
        </w:tc>
        <w:tc>
          <w:tcPr>
            <w:tcW w:w="1236" w:type="dxa"/>
            <w:tcBorders>
              <w:top w:val="single" w:sz="4" w:space="0" w:color="auto"/>
              <w:left w:val="single" w:sz="4" w:space="0" w:color="auto"/>
              <w:bottom w:val="single" w:sz="4" w:space="0" w:color="auto"/>
              <w:right w:val="single" w:sz="4" w:space="0" w:color="auto"/>
            </w:tcBorders>
          </w:tcPr>
          <w:p w14:paraId="50EC7C9E" w14:textId="77777777" w:rsidR="00570808" w:rsidRPr="00574BDC" w:rsidRDefault="00570808" w:rsidP="00D40CB5">
            <w:pPr>
              <w:rPr>
                <w:sz w:val="22"/>
                <w:szCs w:val="22"/>
              </w:rPr>
            </w:pPr>
            <w:r w:rsidRPr="00574BDC">
              <w:rPr>
                <w:sz w:val="22"/>
                <w:szCs w:val="22"/>
              </w:rPr>
              <w:t>Letter Grade  </w:t>
            </w:r>
          </w:p>
        </w:tc>
        <w:tc>
          <w:tcPr>
            <w:tcW w:w="1059" w:type="dxa"/>
            <w:tcBorders>
              <w:top w:val="single" w:sz="4" w:space="0" w:color="auto"/>
              <w:left w:val="single" w:sz="4" w:space="0" w:color="auto"/>
              <w:bottom w:val="single" w:sz="4" w:space="0" w:color="auto"/>
              <w:right w:val="single" w:sz="4" w:space="0" w:color="auto"/>
            </w:tcBorders>
          </w:tcPr>
          <w:p w14:paraId="1B759C4E" w14:textId="77777777" w:rsidR="00570808" w:rsidRPr="00574BDC" w:rsidRDefault="00570808" w:rsidP="00D40CB5">
            <w:pPr>
              <w:rPr>
                <w:sz w:val="22"/>
                <w:szCs w:val="22"/>
              </w:rPr>
            </w:pPr>
            <w:r w:rsidRPr="00574BDC">
              <w:rPr>
                <w:sz w:val="22"/>
                <w:szCs w:val="22"/>
              </w:rPr>
              <w:t>Point Equivalent  </w:t>
            </w:r>
          </w:p>
        </w:tc>
      </w:tr>
      <w:tr w:rsidR="00574BDC" w:rsidRPr="00574BDC" w14:paraId="296FD75C" w14:textId="77777777" w:rsidTr="00D40CB5">
        <w:trPr>
          <w:trHeight w:val="300"/>
        </w:trPr>
        <w:tc>
          <w:tcPr>
            <w:tcW w:w="1241" w:type="dxa"/>
            <w:tcBorders>
              <w:top w:val="nil"/>
              <w:left w:val="single" w:sz="6" w:space="0" w:color="auto"/>
              <w:bottom w:val="single" w:sz="6" w:space="0" w:color="auto"/>
              <w:right w:val="single" w:sz="6" w:space="0" w:color="auto"/>
            </w:tcBorders>
            <w:shd w:val="clear" w:color="auto" w:fill="auto"/>
            <w:hideMark/>
          </w:tcPr>
          <w:p w14:paraId="5DA43D8A" w14:textId="77777777" w:rsidR="00570808" w:rsidRPr="00574BDC" w:rsidRDefault="00570808" w:rsidP="00D40CB5">
            <w:pPr>
              <w:textAlignment w:val="baseline"/>
              <w:rPr>
                <w:sz w:val="22"/>
                <w:szCs w:val="22"/>
              </w:rPr>
            </w:pPr>
            <w:r w:rsidRPr="00574BDC">
              <w:rPr>
                <w:sz w:val="22"/>
                <w:szCs w:val="22"/>
              </w:rPr>
              <w:t>A (Excellent)  </w:t>
            </w:r>
          </w:p>
        </w:tc>
        <w:tc>
          <w:tcPr>
            <w:tcW w:w="1062" w:type="dxa"/>
            <w:tcBorders>
              <w:top w:val="nil"/>
              <w:left w:val="nil"/>
              <w:bottom w:val="single" w:sz="6" w:space="0" w:color="auto"/>
              <w:right w:val="single" w:sz="4" w:space="0" w:color="auto"/>
            </w:tcBorders>
            <w:shd w:val="clear" w:color="auto" w:fill="auto"/>
            <w:hideMark/>
          </w:tcPr>
          <w:p w14:paraId="00D9AC55" w14:textId="77777777" w:rsidR="00570808" w:rsidRPr="00574BDC" w:rsidRDefault="00570808" w:rsidP="00D40CB5">
            <w:pPr>
              <w:ind w:left="30"/>
              <w:textAlignment w:val="baseline"/>
              <w:rPr>
                <w:sz w:val="22"/>
                <w:szCs w:val="22"/>
              </w:rPr>
            </w:pPr>
            <w:r w:rsidRPr="00574BDC">
              <w:rPr>
                <w:sz w:val="22"/>
                <w:szCs w:val="22"/>
              </w:rPr>
              <w:t>4.0  </w:t>
            </w:r>
          </w:p>
        </w:tc>
        <w:tc>
          <w:tcPr>
            <w:tcW w:w="1236" w:type="dxa"/>
            <w:tcBorders>
              <w:top w:val="single" w:sz="4" w:space="0" w:color="auto"/>
              <w:left w:val="single" w:sz="4" w:space="0" w:color="auto"/>
              <w:bottom w:val="single" w:sz="4" w:space="0" w:color="auto"/>
              <w:right w:val="single" w:sz="4" w:space="0" w:color="auto"/>
            </w:tcBorders>
          </w:tcPr>
          <w:p w14:paraId="39B4DA26" w14:textId="77777777" w:rsidR="00570808" w:rsidRPr="00574BDC" w:rsidRDefault="00570808" w:rsidP="00D40CB5">
            <w:pPr>
              <w:rPr>
                <w:sz w:val="22"/>
                <w:szCs w:val="22"/>
              </w:rPr>
            </w:pPr>
            <w:r w:rsidRPr="00574BDC">
              <w:rPr>
                <w:sz w:val="22"/>
                <w:szCs w:val="22"/>
              </w:rPr>
              <w:t>C (Satisfactory)  </w:t>
            </w:r>
          </w:p>
        </w:tc>
        <w:tc>
          <w:tcPr>
            <w:tcW w:w="1059" w:type="dxa"/>
            <w:tcBorders>
              <w:top w:val="single" w:sz="4" w:space="0" w:color="auto"/>
              <w:left w:val="single" w:sz="4" w:space="0" w:color="auto"/>
              <w:bottom w:val="single" w:sz="4" w:space="0" w:color="auto"/>
              <w:right w:val="single" w:sz="4" w:space="0" w:color="auto"/>
            </w:tcBorders>
          </w:tcPr>
          <w:p w14:paraId="6A21B028" w14:textId="77777777" w:rsidR="00570808" w:rsidRPr="00574BDC" w:rsidRDefault="00570808" w:rsidP="00D40CB5">
            <w:pPr>
              <w:rPr>
                <w:sz w:val="22"/>
                <w:szCs w:val="22"/>
              </w:rPr>
            </w:pPr>
            <w:r w:rsidRPr="00574BDC">
              <w:rPr>
                <w:sz w:val="22"/>
                <w:szCs w:val="22"/>
              </w:rPr>
              <w:t>2.0  </w:t>
            </w:r>
          </w:p>
        </w:tc>
      </w:tr>
      <w:tr w:rsidR="00574BDC" w:rsidRPr="00574BDC" w14:paraId="30747E3E"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A59C52" w14:textId="77777777" w:rsidR="00570808" w:rsidRPr="00574BDC" w:rsidRDefault="00570808" w:rsidP="00D40CB5">
            <w:pPr>
              <w:textAlignment w:val="baseline"/>
              <w:rPr>
                <w:sz w:val="22"/>
                <w:szCs w:val="22"/>
              </w:rPr>
            </w:pPr>
            <w:r w:rsidRPr="00574BDC">
              <w:rPr>
                <w:sz w:val="22"/>
                <w:szCs w:val="22"/>
              </w:rPr>
              <w:t>A-  </w:t>
            </w:r>
          </w:p>
        </w:tc>
        <w:tc>
          <w:tcPr>
            <w:tcW w:w="1062" w:type="dxa"/>
            <w:tcBorders>
              <w:top w:val="nil"/>
              <w:left w:val="nil"/>
              <w:bottom w:val="single" w:sz="6" w:space="0" w:color="auto"/>
              <w:right w:val="single" w:sz="4" w:space="0" w:color="auto"/>
            </w:tcBorders>
            <w:shd w:val="clear" w:color="auto" w:fill="auto"/>
            <w:hideMark/>
          </w:tcPr>
          <w:p w14:paraId="666ABC98" w14:textId="77777777" w:rsidR="00570808" w:rsidRPr="00574BDC" w:rsidRDefault="00570808" w:rsidP="00D40CB5">
            <w:pPr>
              <w:ind w:left="30"/>
              <w:textAlignment w:val="baseline"/>
              <w:rPr>
                <w:sz w:val="22"/>
                <w:szCs w:val="22"/>
              </w:rPr>
            </w:pPr>
            <w:r w:rsidRPr="00574BDC">
              <w:rPr>
                <w:sz w:val="22"/>
                <w:szCs w:val="22"/>
              </w:rPr>
              <w:t>3.67  </w:t>
            </w:r>
          </w:p>
        </w:tc>
        <w:tc>
          <w:tcPr>
            <w:tcW w:w="1236" w:type="dxa"/>
            <w:tcBorders>
              <w:top w:val="single" w:sz="4" w:space="0" w:color="auto"/>
              <w:left w:val="single" w:sz="4" w:space="0" w:color="auto"/>
              <w:bottom w:val="single" w:sz="4" w:space="0" w:color="auto"/>
              <w:right w:val="single" w:sz="4" w:space="0" w:color="auto"/>
            </w:tcBorders>
          </w:tcPr>
          <w:p w14:paraId="27D20603" w14:textId="77777777" w:rsidR="00570808" w:rsidRPr="00574BDC" w:rsidRDefault="00570808" w:rsidP="00D40CB5">
            <w:pPr>
              <w:rPr>
                <w:sz w:val="22"/>
                <w:szCs w:val="22"/>
              </w:rPr>
            </w:pPr>
            <w:r w:rsidRPr="00574BDC">
              <w:rPr>
                <w:sz w:val="22"/>
                <w:szCs w:val="22"/>
              </w:rPr>
              <w:t>C-  </w:t>
            </w:r>
          </w:p>
        </w:tc>
        <w:tc>
          <w:tcPr>
            <w:tcW w:w="1059" w:type="dxa"/>
            <w:tcBorders>
              <w:top w:val="single" w:sz="4" w:space="0" w:color="auto"/>
              <w:left w:val="single" w:sz="4" w:space="0" w:color="auto"/>
              <w:bottom w:val="single" w:sz="4" w:space="0" w:color="auto"/>
              <w:right w:val="single" w:sz="4" w:space="0" w:color="auto"/>
            </w:tcBorders>
          </w:tcPr>
          <w:p w14:paraId="3F3D5F0E" w14:textId="77777777" w:rsidR="00570808" w:rsidRPr="00574BDC" w:rsidRDefault="00570808" w:rsidP="00D40CB5">
            <w:pPr>
              <w:rPr>
                <w:sz w:val="22"/>
                <w:szCs w:val="22"/>
              </w:rPr>
            </w:pPr>
            <w:r w:rsidRPr="00574BDC">
              <w:rPr>
                <w:sz w:val="22"/>
                <w:szCs w:val="22"/>
              </w:rPr>
              <w:t>1.67  </w:t>
            </w:r>
          </w:p>
        </w:tc>
      </w:tr>
      <w:tr w:rsidR="00574BDC" w:rsidRPr="00574BDC" w14:paraId="7A5C1732"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001BE86B" w14:textId="77777777" w:rsidR="00570808" w:rsidRPr="00574BDC" w:rsidRDefault="00570808" w:rsidP="00D40CB5">
            <w:pPr>
              <w:textAlignment w:val="baseline"/>
              <w:rPr>
                <w:sz w:val="22"/>
                <w:szCs w:val="22"/>
              </w:rPr>
            </w:pPr>
            <w:r w:rsidRPr="00574BDC">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49B006D2" w14:textId="77777777" w:rsidR="00570808" w:rsidRPr="00574BDC" w:rsidRDefault="00570808" w:rsidP="00D40CB5">
            <w:pPr>
              <w:ind w:left="30"/>
              <w:textAlignment w:val="baseline"/>
              <w:rPr>
                <w:sz w:val="22"/>
                <w:szCs w:val="22"/>
              </w:rPr>
            </w:pPr>
            <w:r w:rsidRPr="00574BDC">
              <w:rPr>
                <w:sz w:val="22"/>
                <w:szCs w:val="22"/>
              </w:rPr>
              <w:t>3.33  </w:t>
            </w:r>
          </w:p>
        </w:tc>
        <w:tc>
          <w:tcPr>
            <w:tcW w:w="1236" w:type="dxa"/>
            <w:tcBorders>
              <w:top w:val="single" w:sz="4" w:space="0" w:color="auto"/>
              <w:left w:val="single" w:sz="4" w:space="0" w:color="auto"/>
              <w:bottom w:val="single" w:sz="4" w:space="0" w:color="auto"/>
              <w:right w:val="single" w:sz="4" w:space="0" w:color="auto"/>
            </w:tcBorders>
          </w:tcPr>
          <w:p w14:paraId="010277BE" w14:textId="77777777" w:rsidR="00570808" w:rsidRPr="00574BDC" w:rsidRDefault="00570808" w:rsidP="00D40CB5">
            <w:pPr>
              <w:rPr>
                <w:sz w:val="22"/>
                <w:szCs w:val="22"/>
              </w:rPr>
            </w:pPr>
            <w:r w:rsidRPr="00574BDC">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56B86088" w14:textId="77777777" w:rsidR="00570808" w:rsidRPr="00574BDC" w:rsidRDefault="00570808" w:rsidP="00D40CB5">
            <w:pPr>
              <w:rPr>
                <w:sz w:val="22"/>
                <w:szCs w:val="22"/>
              </w:rPr>
            </w:pPr>
            <w:r w:rsidRPr="00574BDC">
              <w:rPr>
                <w:sz w:val="22"/>
                <w:szCs w:val="22"/>
              </w:rPr>
              <w:t>1.33  </w:t>
            </w:r>
          </w:p>
        </w:tc>
      </w:tr>
      <w:tr w:rsidR="00574BDC" w:rsidRPr="00574BDC" w14:paraId="00505D0B"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39F2E402" w14:textId="77777777" w:rsidR="00570808" w:rsidRPr="00574BDC" w:rsidRDefault="00570808" w:rsidP="00D40CB5">
            <w:pPr>
              <w:textAlignment w:val="baseline"/>
              <w:rPr>
                <w:sz w:val="22"/>
                <w:szCs w:val="22"/>
              </w:rPr>
            </w:pPr>
            <w:r w:rsidRPr="00574BDC">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3621EA88" w14:textId="77777777" w:rsidR="00570808" w:rsidRPr="00574BDC" w:rsidRDefault="00570808" w:rsidP="00D40CB5">
            <w:pPr>
              <w:ind w:left="30"/>
              <w:textAlignment w:val="baseline"/>
              <w:rPr>
                <w:sz w:val="22"/>
                <w:szCs w:val="22"/>
              </w:rPr>
            </w:pPr>
            <w:r w:rsidRPr="00574BDC">
              <w:rPr>
                <w:sz w:val="22"/>
                <w:szCs w:val="22"/>
              </w:rPr>
              <w:t>3.0  </w:t>
            </w:r>
          </w:p>
        </w:tc>
        <w:tc>
          <w:tcPr>
            <w:tcW w:w="1236" w:type="dxa"/>
            <w:tcBorders>
              <w:top w:val="single" w:sz="4" w:space="0" w:color="auto"/>
              <w:left w:val="single" w:sz="4" w:space="0" w:color="auto"/>
              <w:bottom w:val="single" w:sz="4" w:space="0" w:color="auto"/>
              <w:right w:val="single" w:sz="4" w:space="0" w:color="auto"/>
            </w:tcBorders>
          </w:tcPr>
          <w:p w14:paraId="4E2F3A06" w14:textId="77777777" w:rsidR="00570808" w:rsidRPr="00574BDC" w:rsidRDefault="00570808" w:rsidP="00D40CB5">
            <w:pPr>
              <w:rPr>
                <w:sz w:val="22"/>
                <w:szCs w:val="22"/>
              </w:rPr>
            </w:pPr>
            <w:r w:rsidRPr="00574BDC">
              <w:rPr>
                <w:sz w:val="22"/>
                <w:szCs w:val="22"/>
              </w:rPr>
              <w:t>D (Poor)  </w:t>
            </w:r>
          </w:p>
        </w:tc>
        <w:tc>
          <w:tcPr>
            <w:tcW w:w="1059" w:type="dxa"/>
            <w:tcBorders>
              <w:top w:val="single" w:sz="4" w:space="0" w:color="auto"/>
              <w:left w:val="single" w:sz="4" w:space="0" w:color="auto"/>
              <w:bottom w:val="single" w:sz="4" w:space="0" w:color="auto"/>
              <w:right w:val="single" w:sz="4" w:space="0" w:color="auto"/>
            </w:tcBorders>
          </w:tcPr>
          <w:p w14:paraId="04D1D120" w14:textId="77777777" w:rsidR="00570808" w:rsidRPr="00574BDC" w:rsidRDefault="00570808" w:rsidP="00D40CB5">
            <w:pPr>
              <w:rPr>
                <w:sz w:val="22"/>
                <w:szCs w:val="22"/>
              </w:rPr>
            </w:pPr>
            <w:r w:rsidRPr="00574BDC">
              <w:rPr>
                <w:sz w:val="22"/>
                <w:szCs w:val="22"/>
              </w:rPr>
              <w:t>1.0  </w:t>
            </w:r>
          </w:p>
        </w:tc>
      </w:tr>
      <w:tr w:rsidR="00574BDC" w:rsidRPr="00574BDC" w14:paraId="276403E4"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260E2D1D" w14:textId="77777777" w:rsidR="00570808" w:rsidRPr="00574BDC" w:rsidRDefault="00570808" w:rsidP="00D40CB5">
            <w:pPr>
              <w:textAlignment w:val="baseline"/>
              <w:rPr>
                <w:sz w:val="22"/>
                <w:szCs w:val="22"/>
              </w:rPr>
            </w:pPr>
            <w:r w:rsidRPr="00574BDC">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08E57B45" w14:textId="77777777" w:rsidR="00570808" w:rsidRPr="00574BDC" w:rsidRDefault="00570808" w:rsidP="00D40CB5">
            <w:pPr>
              <w:ind w:left="30"/>
              <w:textAlignment w:val="baseline"/>
              <w:rPr>
                <w:sz w:val="22"/>
                <w:szCs w:val="22"/>
              </w:rPr>
            </w:pPr>
            <w:r w:rsidRPr="00574BDC">
              <w:rPr>
                <w:sz w:val="22"/>
                <w:szCs w:val="22"/>
              </w:rPr>
              <w:t>2.67  </w:t>
            </w:r>
          </w:p>
        </w:tc>
        <w:tc>
          <w:tcPr>
            <w:tcW w:w="1236" w:type="dxa"/>
            <w:tcBorders>
              <w:top w:val="single" w:sz="4" w:space="0" w:color="auto"/>
              <w:left w:val="single" w:sz="4" w:space="0" w:color="auto"/>
              <w:bottom w:val="single" w:sz="4" w:space="0" w:color="auto"/>
              <w:right w:val="single" w:sz="4" w:space="0" w:color="auto"/>
            </w:tcBorders>
          </w:tcPr>
          <w:p w14:paraId="66B6BDBC" w14:textId="77777777" w:rsidR="00570808" w:rsidRPr="00574BDC" w:rsidRDefault="00570808" w:rsidP="00D40CB5">
            <w:pPr>
              <w:rPr>
                <w:sz w:val="22"/>
                <w:szCs w:val="22"/>
              </w:rPr>
            </w:pPr>
            <w:r w:rsidRPr="00574BDC">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0B99D3EE" w14:textId="77777777" w:rsidR="00570808" w:rsidRPr="00574BDC" w:rsidRDefault="00570808" w:rsidP="00D40CB5">
            <w:pPr>
              <w:rPr>
                <w:sz w:val="22"/>
                <w:szCs w:val="22"/>
              </w:rPr>
            </w:pPr>
            <w:r w:rsidRPr="00574BDC">
              <w:rPr>
                <w:sz w:val="22"/>
                <w:szCs w:val="22"/>
              </w:rPr>
              <w:t>0.67  </w:t>
            </w:r>
          </w:p>
        </w:tc>
      </w:tr>
      <w:tr w:rsidR="00574BDC" w:rsidRPr="00574BDC" w14:paraId="1E22DE3F"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F5FEAC" w14:textId="77777777" w:rsidR="00570808" w:rsidRPr="00574BDC" w:rsidRDefault="00570808" w:rsidP="00D40CB5">
            <w:pPr>
              <w:textAlignment w:val="baseline"/>
              <w:rPr>
                <w:sz w:val="22"/>
                <w:szCs w:val="22"/>
              </w:rPr>
            </w:pPr>
            <w:r w:rsidRPr="00574BDC">
              <w:rPr>
                <w:sz w:val="22"/>
                <w:szCs w:val="22"/>
              </w:rPr>
              <w:t>C+  </w:t>
            </w:r>
          </w:p>
        </w:tc>
        <w:tc>
          <w:tcPr>
            <w:tcW w:w="1062" w:type="dxa"/>
            <w:tcBorders>
              <w:top w:val="nil"/>
              <w:left w:val="nil"/>
              <w:bottom w:val="single" w:sz="6" w:space="0" w:color="auto"/>
              <w:right w:val="single" w:sz="4" w:space="0" w:color="auto"/>
            </w:tcBorders>
            <w:shd w:val="clear" w:color="auto" w:fill="auto"/>
            <w:hideMark/>
          </w:tcPr>
          <w:p w14:paraId="7237D2D7" w14:textId="77777777" w:rsidR="00570808" w:rsidRPr="00574BDC" w:rsidRDefault="00570808" w:rsidP="00D40CB5">
            <w:pPr>
              <w:ind w:left="30"/>
              <w:textAlignment w:val="baseline"/>
              <w:rPr>
                <w:sz w:val="22"/>
                <w:szCs w:val="22"/>
              </w:rPr>
            </w:pPr>
            <w:r w:rsidRPr="00574BDC">
              <w:rPr>
                <w:sz w:val="22"/>
                <w:szCs w:val="22"/>
              </w:rPr>
              <w:t>2.33  </w:t>
            </w:r>
          </w:p>
        </w:tc>
        <w:tc>
          <w:tcPr>
            <w:tcW w:w="1236" w:type="dxa"/>
            <w:tcBorders>
              <w:top w:val="single" w:sz="4" w:space="0" w:color="auto"/>
              <w:left w:val="single" w:sz="4" w:space="0" w:color="auto"/>
              <w:bottom w:val="single" w:sz="4" w:space="0" w:color="auto"/>
              <w:right w:val="single" w:sz="4" w:space="0" w:color="auto"/>
            </w:tcBorders>
          </w:tcPr>
          <w:p w14:paraId="62A07172" w14:textId="77777777" w:rsidR="00570808" w:rsidRPr="00574BDC" w:rsidRDefault="00570808" w:rsidP="00D40CB5">
            <w:pPr>
              <w:rPr>
                <w:sz w:val="22"/>
                <w:szCs w:val="22"/>
              </w:rPr>
            </w:pPr>
            <w:r w:rsidRPr="00574BDC">
              <w:rPr>
                <w:sz w:val="22"/>
                <w:szCs w:val="22"/>
              </w:rPr>
              <w:t>E (Failure)  </w:t>
            </w:r>
          </w:p>
        </w:tc>
        <w:tc>
          <w:tcPr>
            <w:tcW w:w="1059" w:type="dxa"/>
            <w:tcBorders>
              <w:top w:val="single" w:sz="4" w:space="0" w:color="auto"/>
              <w:left w:val="single" w:sz="4" w:space="0" w:color="auto"/>
              <w:bottom w:val="single" w:sz="4" w:space="0" w:color="auto"/>
              <w:right w:val="single" w:sz="4" w:space="0" w:color="auto"/>
            </w:tcBorders>
          </w:tcPr>
          <w:p w14:paraId="402D1F9F" w14:textId="77777777" w:rsidR="00570808" w:rsidRPr="00574BDC" w:rsidRDefault="00570808" w:rsidP="00D40CB5">
            <w:pPr>
              <w:rPr>
                <w:sz w:val="22"/>
                <w:szCs w:val="22"/>
              </w:rPr>
            </w:pPr>
            <w:r w:rsidRPr="00574BDC">
              <w:rPr>
                <w:sz w:val="22"/>
                <w:szCs w:val="22"/>
              </w:rPr>
              <w:t>0.0   </w:t>
            </w:r>
          </w:p>
        </w:tc>
      </w:tr>
    </w:tbl>
    <w:p w14:paraId="3AB4D54D" w14:textId="77777777" w:rsidR="00570808" w:rsidRPr="00574BDC" w:rsidRDefault="00570808" w:rsidP="00570808">
      <w:pPr>
        <w:rPr>
          <w:sz w:val="22"/>
          <w:szCs w:val="22"/>
          <w:u w:val="single"/>
        </w:rPr>
      </w:pPr>
    </w:p>
    <w:p w14:paraId="4667D093" w14:textId="77777777" w:rsidR="00570808" w:rsidRPr="00574BDC" w:rsidRDefault="00570808" w:rsidP="00570808">
      <w:pPr>
        <w:rPr>
          <w:sz w:val="22"/>
          <w:szCs w:val="22"/>
        </w:rPr>
      </w:pPr>
      <w:r w:rsidRPr="00574BDC">
        <w:rPr>
          <w:sz w:val="22"/>
          <w:szCs w:val="22"/>
        </w:rPr>
        <w:t xml:space="preserve">The law school grading policy is available </w:t>
      </w:r>
      <w:hyperlink r:id="rId12" w:history="1">
        <w:r w:rsidRPr="00574BDC">
          <w:rPr>
            <w:rStyle w:val="Hyperlink"/>
            <w:color w:val="auto"/>
            <w:sz w:val="22"/>
            <w:szCs w:val="22"/>
          </w:rPr>
          <w:t>here</w:t>
        </w:r>
      </w:hyperlink>
      <w:r w:rsidRPr="00574BDC">
        <w:rPr>
          <w:sz w:val="22"/>
          <w:szCs w:val="22"/>
        </w:rPr>
        <w:t>.</w:t>
      </w:r>
    </w:p>
    <w:p w14:paraId="17B97CEF" w14:textId="77777777" w:rsidR="00570808" w:rsidRPr="00574BDC" w:rsidRDefault="00570808" w:rsidP="00570808">
      <w:pPr>
        <w:rPr>
          <w:sz w:val="22"/>
          <w:szCs w:val="22"/>
        </w:rPr>
      </w:pPr>
    </w:p>
    <w:p w14:paraId="41FA9505" w14:textId="77777777" w:rsidR="00570808" w:rsidRPr="00574BDC" w:rsidRDefault="00570808" w:rsidP="00570808">
      <w:pPr>
        <w:rPr>
          <w:b/>
          <w:sz w:val="22"/>
          <w:szCs w:val="22"/>
          <w:u w:val="single"/>
        </w:rPr>
      </w:pPr>
      <w:r w:rsidRPr="00574BDC">
        <w:rPr>
          <w:b/>
          <w:sz w:val="22"/>
          <w:szCs w:val="22"/>
          <w:u w:val="single"/>
        </w:rPr>
        <w:t>OBSERVANCE OF RELIGIOUS HOLIDAYS:</w:t>
      </w:r>
    </w:p>
    <w:p w14:paraId="4533C37F" w14:textId="77777777" w:rsidR="00570808" w:rsidRPr="00574BDC" w:rsidRDefault="00570808" w:rsidP="00570808">
      <w:pPr>
        <w:rPr>
          <w:sz w:val="22"/>
          <w:szCs w:val="22"/>
        </w:rPr>
      </w:pPr>
      <w:r w:rsidRPr="00574BDC">
        <w:rPr>
          <w:sz w:val="22"/>
          <w:szCs w:val="22"/>
        </w:rPr>
        <w:t xml:space="preserve">UF Law respects students’ </w:t>
      </w:r>
      <w:hyperlink r:id="rId13" w:history="1">
        <w:r w:rsidRPr="00574BDC">
          <w:rPr>
            <w:rStyle w:val="Hyperlink"/>
            <w:color w:val="auto"/>
            <w:sz w:val="22"/>
            <w:szCs w:val="22"/>
          </w:rPr>
          <w:t>observance of religious holidays</w:t>
        </w:r>
      </w:hyperlink>
      <w:r w:rsidRPr="00574BDC">
        <w:rPr>
          <w:sz w:val="22"/>
          <w:szCs w:val="22"/>
        </w:rPr>
        <w:t>.</w:t>
      </w:r>
    </w:p>
    <w:p w14:paraId="6DDFC171" w14:textId="77777777" w:rsidR="00570808" w:rsidRPr="00574BDC" w:rsidRDefault="00570808" w:rsidP="00570808">
      <w:pPr>
        <w:pStyle w:val="ListParagraph"/>
        <w:numPr>
          <w:ilvl w:val="0"/>
          <w:numId w:val="35"/>
        </w:numPr>
        <w:rPr>
          <w:sz w:val="22"/>
          <w:szCs w:val="22"/>
        </w:rPr>
      </w:pPr>
      <w:r w:rsidRPr="00574BDC">
        <w:rPr>
          <w:sz w:val="22"/>
          <w:szCs w:val="22"/>
        </w:rPr>
        <w:t>Students, upon prior notification to their instructors, shall be excused from class or other scheduled academic activity to observe a religious holy day of their faith.</w:t>
      </w:r>
    </w:p>
    <w:p w14:paraId="3C0CF1E1" w14:textId="77777777" w:rsidR="00570808" w:rsidRPr="00574BDC" w:rsidRDefault="00570808" w:rsidP="00570808">
      <w:pPr>
        <w:pStyle w:val="ListParagraph"/>
        <w:numPr>
          <w:ilvl w:val="0"/>
          <w:numId w:val="35"/>
        </w:numPr>
        <w:rPr>
          <w:sz w:val="22"/>
          <w:szCs w:val="22"/>
        </w:rPr>
      </w:pPr>
      <w:r w:rsidRPr="00574BDC">
        <w:rPr>
          <w:sz w:val="22"/>
          <w:szCs w:val="22"/>
        </w:rPr>
        <w:t>Students shall be permitted a reasonable amount of time to make up the material or activities covered in their absence.</w:t>
      </w:r>
    </w:p>
    <w:p w14:paraId="57A818E2" w14:textId="77777777" w:rsidR="00570808" w:rsidRPr="00574BDC" w:rsidRDefault="00570808" w:rsidP="00570808">
      <w:pPr>
        <w:pStyle w:val="ListParagraph"/>
        <w:numPr>
          <w:ilvl w:val="0"/>
          <w:numId w:val="35"/>
        </w:numPr>
        <w:rPr>
          <w:sz w:val="22"/>
          <w:szCs w:val="22"/>
        </w:rPr>
      </w:pPr>
      <w:r w:rsidRPr="00574BDC">
        <w:rPr>
          <w:sz w:val="22"/>
          <w:szCs w:val="22"/>
        </w:rPr>
        <w:t>Students shall not be penalized due to absence from class or other scheduled academic activity because of religious observances.</w:t>
      </w:r>
    </w:p>
    <w:p w14:paraId="66CF6F44" w14:textId="77777777" w:rsidR="00570808" w:rsidRPr="00574BDC" w:rsidRDefault="00570808" w:rsidP="00570808">
      <w:pPr>
        <w:rPr>
          <w:b/>
          <w:sz w:val="22"/>
          <w:szCs w:val="22"/>
          <w:u w:val="single"/>
        </w:rPr>
      </w:pPr>
    </w:p>
    <w:p w14:paraId="3EEC6363" w14:textId="77777777" w:rsidR="00570808" w:rsidRPr="00574BDC" w:rsidRDefault="00570808" w:rsidP="00570808">
      <w:pPr>
        <w:spacing w:after="10" w:line="249" w:lineRule="auto"/>
        <w:ind w:left="-5"/>
        <w:rPr>
          <w:sz w:val="22"/>
          <w:szCs w:val="22"/>
        </w:rPr>
      </w:pPr>
      <w:r w:rsidRPr="00574BDC">
        <w:rPr>
          <w:b/>
          <w:sz w:val="22"/>
          <w:szCs w:val="22"/>
          <w:u w:val="single"/>
        </w:rPr>
        <w:t>EXAM DELAYS AND ACCOMMODATIONS:</w:t>
      </w:r>
      <w:r w:rsidRPr="00574BDC">
        <w:rPr>
          <w:b/>
          <w:sz w:val="22"/>
          <w:szCs w:val="22"/>
        </w:rPr>
        <w:t xml:space="preserve">  </w:t>
      </w:r>
    </w:p>
    <w:p w14:paraId="0DADA515" w14:textId="77777777" w:rsidR="00570808" w:rsidRPr="00574BDC" w:rsidRDefault="00570808" w:rsidP="00570808">
      <w:pPr>
        <w:rPr>
          <w:sz w:val="22"/>
          <w:szCs w:val="22"/>
        </w:rPr>
      </w:pPr>
      <w:r w:rsidRPr="00574BDC">
        <w:rPr>
          <w:sz w:val="22"/>
          <w:szCs w:val="22"/>
        </w:rPr>
        <w:t xml:space="preserve">The law school policy on exam delays and accommodations can be found </w:t>
      </w:r>
      <w:hyperlink r:id="rId14" w:history="1">
        <w:r w:rsidRPr="00574BDC">
          <w:rPr>
            <w:rStyle w:val="Hyperlink"/>
            <w:color w:val="auto"/>
            <w:sz w:val="22"/>
            <w:szCs w:val="22"/>
          </w:rPr>
          <w:t>here</w:t>
        </w:r>
      </w:hyperlink>
      <w:r w:rsidRPr="00574BDC">
        <w:rPr>
          <w:sz w:val="22"/>
          <w:szCs w:val="22"/>
        </w:rPr>
        <w:t>.</w:t>
      </w:r>
    </w:p>
    <w:p w14:paraId="59A2E17B" w14:textId="77777777" w:rsidR="00570808" w:rsidRPr="00574BDC" w:rsidRDefault="00570808" w:rsidP="00570808">
      <w:pPr>
        <w:rPr>
          <w:b/>
          <w:sz w:val="22"/>
          <w:szCs w:val="22"/>
          <w:u w:val="single"/>
        </w:rPr>
      </w:pPr>
    </w:p>
    <w:p w14:paraId="58B11721" w14:textId="77777777" w:rsidR="00570808" w:rsidRPr="00574BDC" w:rsidRDefault="00570808" w:rsidP="00570808">
      <w:pPr>
        <w:rPr>
          <w:b/>
          <w:sz w:val="22"/>
          <w:szCs w:val="22"/>
          <w:u w:val="single"/>
        </w:rPr>
      </w:pPr>
      <w:r w:rsidRPr="00574BDC">
        <w:rPr>
          <w:b/>
          <w:sz w:val="22"/>
          <w:szCs w:val="22"/>
          <w:u w:val="single"/>
        </w:rPr>
        <w:t>STATEMENT RELATED TO ACCOMODATIONS FOR STUDENTS WITH DISABILITIES</w:t>
      </w:r>
    </w:p>
    <w:p w14:paraId="1CD138F6" w14:textId="77777777" w:rsidR="00570808" w:rsidRPr="00574BDC" w:rsidRDefault="00570808" w:rsidP="00570808">
      <w:pPr>
        <w:rPr>
          <w:sz w:val="22"/>
          <w:szCs w:val="22"/>
        </w:rPr>
      </w:pPr>
      <w:r w:rsidRPr="00574BDC">
        <w:rPr>
          <w:sz w:val="22"/>
          <w:szCs w:val="22"/>
        </w:rPr>
        <w:t xml:space="preserve">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 </w:t>
      </w:r>
      <w:r w:rsidRPr="00574BDC">
        <w:rPr>
          <w:sz w:val="22"/>
          <w:szCs w:val="22"/>
          <w:bdr w:val="none" w:sz="0" w:space="0" w:color="auto" w:frame="1"/>
        </w:rPr>
        <w:t>Students may access information about various resources on the UF Law Student Resources Canvas page, available at </w:t>
      </w:r>
      <w:hyperlink r:id="rId15" w:tgtFrame="_blank" w:tooltip="https://ufl.instructure.com/courses/427635" w:history="1">
        <w:r w:rsidRPr="00574BDC">
          <w:rPr>
            <w:rStyle w:val="Hyperlink"/>
            <w:color w:val="auto"/>
            <w:sz w:val="22"/>
            <w:szCs w:val="22"/>
            <w:bdr w:val="none" w:sz="0" w:space="0" w:color="auto" w:frame="1"/>
          </w:rPr>
          <w:t>https://ufl.instructure.com/courses/427635</w:t>
        </w:r>
      </w:hyperlink>
      <w:r w:rsidRPr="00574BDC">
        <w:rPr>
          <w:sz w:val="22"/>
          <w:szCs w:val="22"/>
          <w:bdr w:val="none" w:sz="0" w:space="0" w:color="auto" w:frame="1"/>
        </w:rPr>
        <w:t>.</w:t>
      </w:r>
    </w:p>
    <w:p w14:paraId="21830565" w14:textId="77777777" w:rsidR="00570808" w:rsidRPr="00574BDC" w:rsidRDefault="00570808" w:rsidP="00570808">
      <w:pPr>
        <w:rPr>
          <w:b/>
          <w:sz w:val="22"/>
          <w:szCs w:val="22"/>
          <w:u w:val="single"/>
        </w:rPr>
      </w:pPr>
    </w:p>
    <w:p w14:paraId="3A72A6DE" w14:textId="77777777" w:rsidR="00570808" w:rsidRPr="00574BDC" w:rsidRDefault="00570808" w:rsidP="00570808">
      <w:pPr>
        <w:rPr>
          <w:sz w:val="22"/>
          <w:szCs w:val="22"/>
        </w:rPr>
      </w:pPr>
      <w:r w:rsidRPr="00574BDC">
        <w:rPr>
          <w:b/>
          <w:sz w:val="22"/>
          <w:szCs w:val="22"/>
          <w:u w:val="single"/>
        </w:rPr>
        <w:t>STUDENT COURSE EVALUATIONS</w:t>
      </w:r>
    </w:p>
    <w:p w14:paraId="5B786ECF" w14:textId="77777777" w:rsidR="00570808" w:rsidRPr="00574BDC" w:rsidRDefault="00570808" w:rsidP="00570808">
      <w:pPr>
        <w:ind w:left="-5"/>
        <w:rPr>
          <w:sz w:val="22"/>
          <w:szCs w:val="22"/>
        </w:rPr>
      </w:pPr>
      <w:r w:rsidRPr="00574BDC">
        <w:rPr>
          <w:sz w:val="22"/>
          <w:szCs w:val="22"/>
        </w:rPr>
        <w:t xml:space="preserve">Students are expected to provide professional and respectful feedback on the quality of instruction in this course by completing course evaluations online via </w:t>
      </w:r>
      <w:proofErr w:type="spellStart"/>
      <w:r w:rsidRPr="00574BDC">
        <w:rPr>
          <w:sz w:val="22"/>
          <w:szCs w:val="22"/>
        </w:rPr>
        <w:t>GatorEvals</w:t>
      </w:r>
      <w:proofErr w:type="spellEnd"/>
      <w:r w:rsidRPr="00574BDC">
        <w:rPr>
          <w:sz w:val="22"/>
          <w:szCs w:val="22"/>
        </w:rPr>
        <w:t xml:space="preserve">. Click </w:t>
      </w:r>
      <w:hyperlink r:id="rId16" w:history="1">
        <w:r w:rsidRPr="00574BDC">
          <w:rPr>
            <w:rStyle w:val="Hyperlink"/>
            <w:color w:val="auto"/>
            <w:sz w:val="22"/>
            <w:szCs w:val="22"/>
          </w:rPr>
          <w:t>here</w:t>
        </w:r>
      </w:hyperlink>
      <w:r w:rsidRPr="00574BDC">
        <w:rPr>
          <w:sz w:val="22"/>
          <w:szCs w:val="22"/>
        </w:rPr>
        <w:t xml:space="preserve"> for guidance on how to give feedback in a professional and respectful manner. Students will be notified when the evaluation period opens and may complete evaluations through the </w:t>
      </w:r>
      <w:proofErr w:type="gramStart"/>
      <w:r w:rsidRPr="00574BDC">
        <w:rPr>
          <w:sz w:val="22"/>
          <w:szCs w:val="22"/>
        </w:rPr>
        <w:t>email</w:t>
      </w:r>
      <w:proofErr w:type="gramEnd"/>
      <w:r w:rsidRPr="00574BDC">
        <w:rPr>
          <w:sz w:val="22"/>
          <w:szCs w:val="22"/>
        </w:rPr>
        <w:t xml:space="preserve"> they receive from </w:t>
      </w:r>
      <w:proofErr w:type="spellStart"/>
      <w:r w:rsidRPr="00574BDC">
        <w:rPr>
          <w:sz w:val="22"/>
          <w:szCs w:val="22"/>
        </w:rPr>
        <w:t>GatorEvals</w:t>
      </w:r>
      <w:proofErr w:type="spellEnd"/>
      <w:r w:rsidRPr="00574BDC">
        <w:rPr>
          <w:sz w:val="22"/>
          <w:szCs w:val="22"/>
        </w:rPr>
        <w:t xml:space="preserve">, in their Canvas course menu under </w:t>
      </w:r>
      <w:proofErr w:type="spellStart"/>
      <w:r w:rsidRPr="00574BDC">
        <w:rPr>
          <w:sz w:val="22"/>
          <w:szCs w:val="22"/>
        </w:rPr>
        <w:t>GatorEvals</w:t>
      </w:r>
      <w:proofErr w:type="spellEnd"/>
      <w:r w:rsidRPr="00574BDC">
        <w:rPr>
          <w:sz w:val="22"/>
          <w:szCs w:val="22"/>
        </w:rPr>
        <w:t xml:space="preserve">, or via </w:t>
      </w:r>
      <w:hyperlink r:id="rId17" w:history="1">
        <w:r w:rsidRPr="00574BDC">
          <w:rPr>
            <w:rStyle w:val="Hyperlink"/>
            <w:color w:val="auto"/>
            <w:sz w:val="22"/>
            <w:szCs w:val="22"/>
          </w:rPr>
          <w:t>https://ufl.bluera.com/ufl/</w:t>
        </w:r>
      </w:hyperlink>
      <w:r w:rsidRPr="00574BDC">
        <w:rPr>
          <w:sz w:val="22"/>
          <w:szCs w:val="22"/>
        </w:rPr>
        <w:t xml:space="preserve">. Summaries of course evaluation results are available to students </w:t>
      </w:r>
      <w:hyperlink r:id="rId18" w:history="1">
        <w:r w:rsidRPr="00574BDC">
          <w:rPr>
            <w:rStyle w:val="Hyperlink"/>
            <w:color w:val="auto"/>
            <w:sz w:val="22"/>
            <w:szCs w:val="22"/>
          </w:rPr>
          <w:t>here</w:t>
        </w:r>
      </w:hyperlink>
      <w:r w:rsidRPr="00574BDC">
        <w:rPr>
          <w:rStyle w:val="Hyperlink"/>
          <w:color w:val="auto"/>
          <w:sz w:val="22"/>
          <w:szCs w:val="22"/>
        </w:rPr>
        <w:t>.</w:t>
      </w:r>
    </w:p>
    <w:p w14:paraId="363FE513" w14:textId="77777777" w:rsidR="00570808" w:rsidRPr="00574BDC" w:rsidRDefault="00570808" w:rsidP="00570808">
      <w:pPr>
        <w:rPr>
          <w:b/>
          <w:sz w:val="22"/>
          <w:szCs w:val="22"/>
          <w:u w:val="single"/>
        </w:rPr>
      </w:pPr>
    </w:p>
    <w:p w14:paraId="4C43D6A1" w14:textId="77777777" w:rsidR="00570808" w:rsidRPr="00574BDC" w:rsidRDefault="00570808" w:rsidP="00570808">
      <w:pPr>
        <w:rPr>
          <w:b/>
          <w:sz w:val="22"/>
          <w:szCs w:val="22"/>
          <w:u w:val="single"/>
        </w:rPr>
      </w:pPr>
      <w:r w:rsidRPr="00574BDC">
        <w:rPr>
          <w:b/>
          <w:sz w:val="22"/>
          <w:szCs w:val="22"/>
          <w:u w:val="single"/>
        </w:rPr>
        <w:t>RECORDINGS OF CLASS</w:t>
      </w:r>
    </w:p>
    <w:p w14:paraId="618DB853" w14:textId="77777777" w:rsidR="00570808" w:rsidRPr="00574BDC" w:rsidRDefault="00570808" w:rsidP="00570808">
      <w:pPr>
        <w:jc w:val="both"/>
        <w:rPr>
          <w:sz w:val="22"/>
          <w:szCs w:val="22"/>
        </w:rPr>
      </w:pPr>
      <w:r w:rsidRPr="00574BDC">
        <w:rPr>
          <w:rFonts w:eastAsia="Baskerville Old Face"/>
          <w:sz w:val="22"/>
          <w:szCs w:val="22"/>
        </w:rPr>
        <w:t xml:space="preserve">All classes will be recorded via </w:t>
      </w:r>
      <w:proofErr w:type="spellStart"/>
      <w:r w:rsidRPr="00574BDC">
        <w:rPr>
          <w:rFonts w:eastAsia="Baskerville Old Face"/>
          <w:sz w:val="22"/>
          <w:szCs w:val="22"/>
        </w:rPr>
        <w:t>Mediasite</w:t>
      </w:r>
      <w:proofErr w:type="spellEnd"/>
      <w:r w:rsidRPr="00574BDC">
        <w:rPr>
          <w:rFonts w:eastAsia="Baskerville Old Face"/>
          <w:sz w:val="22"/>
          <w:szCs w:val="22"/>
        </w:rPr>
        <w:t xml:space="preserve"> in case students must miss class for health reasons. The Office of Student Affairs will work with faculty to determine when students may have access to these recordings, and the recordings will be password protected. </w:t>
      </w:r>
      <w:r w:rsidRPr="00574BDC">
        <w:rPr>
          <w:sz w:val="22"/>
          <w:szCs w:val="22"/>
        </w:rPr>
        <w:t>It is the student’s responsibility to contact the Office of Student Affairs as soon as possible after an absence.</w:t>
      </w:r>
    </w:p>
    <w:p w14:paraId="1D6709E2" w14:textId="77777777" w:rsidR="00AA2DEF" w:rsidRPr="00574BDC" w:rsidRDefault="00AA2DEF" w:rsidP="00AA2DEF">
      <w:pPr>
        <w:rPr>
          <w:sz w:val="22"/>
          <w:szCs w:val="22"/>
          <w:bdr w:val="none" w:sz="0" w:space="0" w:color="auto" w:frame="1"/>
          <w:shd w:val="clear" w:color="auto" w:fill="FFFFFF"/>
        </w:rPr>
      </w:pPr>
    </w:p>
    <w:p w14:paraId="204705B0" w14:textId="19411B29" w:rsidR="00AA2DEF" w:rsidRPr="00574BDC" w:rsidRDefault="00242088" w:rsidP="00242088">
      <w:pPr>
        <w:rPr>
          <w:rFonts w:eastAsia="Baskerville Old Face"/>
          <w:sz w:val="22"/>
          <w:szCs w:val="22"/>
        </w:rPr>
      </w:pPr>
      <w:r w:rsidRPr="00574BDC">
        <w:rPr>
          <w:b/>
          <w:sz w:val="22"/>
          <w:szCs w:val="22"/>
          <w:u w:val="single"/>
        </w:rPr>
        <w:t>ABA OUT-OF-CLASS HOURS REQUIREMENTS:</w:t>
      </w:r>
      <w:r w:rsidRPr="00574BDC">
        <w:rPr>
          <w:b/>
          <w:sz w:val="22"/>
          <w:szCs w:val="22"/>
        </w:rPr>
        <w:t xml:space="preserve"> </w:t>
      </w:r>
      <w:r w:rsidRPr="00574BDC">
        <w:rPr>
          <w:rFonts w:eastAsia="Baskerville Old Face"/>
          <w:sz w:val="22"/>
          <w:szCs w:val="22"/>
        </w:rPr>
        <w:t xml:space="preserve">ABA Standard 310 requires that students devote 120 minutes to out-of-class preparation for every “classroom hour” of in-class instruction. Each </w:t>
      </w:r>
      <w:r w:rsidR="00B942A3" w:rsidRPr="00574BDC">
        <w:rPr>
          <w:rFonts w:eastAsia="Baskerville Old Face"/>
          <w:sz w:val="22"/>
          <w:szCs w:val="22"/>
        </w:rPr>
        <w:t xml:space="preserve">weekly </w:t>
      </w:r>
      <w:r w:rsidRPr="00574BDC">
        <w:rPr>
          <w:rFonts w:eastAsia="Baskerville Old Face"/>
          <w:sz w:val="22"/>
          <w:szCs w:val="22"/>
        </w:rPr>
        <w:t xml:space="preserve">class is approximately 3 hours in length, requiring at least </w:t>
      </w:r>
      <w:r w:rsidRPr="00574BDC">
        <w:rPr>
          <w:rFonts w:eastAsia="Baskerville Old Face"/>
          <w:b/>
          <w:bCs/>
          <w:sz w:val="22"/>
          <w:szCs w:val="22"/>
        </w:rPr>
        <w:t>6 hours of preparation</w:t>
      </w:r>
      <w:r w:rsidRPr="00574BDC">
        <w:rPr>
          <w:rFonts w:eastAsia="Baskerville Old Face"/>
          <w:sz w:val="22"/>
          <w:szCs w:val="22"/>
        </w:rPr>
        <w:t xml:space="preserve"> outside of class including reading the assigned materials</w:t>
      </w:r>
      <w:r w:rsidR="007B11B7" w:rsidRPr="00574BDC">
        <w:rPr>
          <w:rFonts w:eastAsia="Baskerville Old Face"/>
          <w:sz w:val="22"/>
          <w:szCs w:val="22"/>
        </w:rPr>
        <w:t xml:space="preserve"> and answering the hypotheticals and questions in the reading</w:t>
      </w:r>
      <w:r w:rsidRPr="00574BDC">
        <w:rPr>
          <w:rFonts w:eastAsia="Baskerville Old Face"/>
          <w:sz w:val="22"/>
          <w:szCs w:val="22"/>
        </w:rPr>
        <w:t xml:space="preserve">. </w:t>
      </w:r>
      <w:r w:rsidR="00574BDC">
        <w:rPr>
          <w:rFonts w:eastAsia="Baskerville Old Face"/>
          <w:sz w:val="22"/>
          <w:szCs w:val="22"/>
        </w:rPr>
        <w:t>Working through the hypotheticals is essential to learning the material.</w:t>
      </w:r>
    </w:p>
    <w:p w14:paraId="6DEFDF7E" w14:textId="265DCC40" w:rsidR="001C0EA6" w:rsidRPr="00574BDC" w:rsidRDefault="001C0EA6" w:rsidP="00242088">
      <w:pPr>
        <w:rPr>
          <w:rFonts w:eastAsia="Baskerville Old Face"/>
          <w:sz w:val="22"/>
          <w:szCs w:val="22"/>
        </w:rPr>
      </w:pPr>
    </w:p>
    <w:p w14:paraId="595E471D" w14:textId="77777777" w:rsidR="001C0EA6" w:rsidRPr="00574BDC" w:rsidRDefault="001C0EA6" w:rsidP="001C0EA6">
      <w:pPr>
        <w:rPr>
          <w:b/>
          <w:sz w:val="22"/>
          <w:szCs w:val="22"/>
          <w:u w:val="single"/>
        </w:rPr>
      </w:pPr>
      <w:r w:rsidRPr="00574BDC">
        <w:rPr>
          <w:b/>
          <w:sz w:val="22"/>
          <w:szCs w:val="22"/>
          <w:u w:val="single"/>
        </w:rPr>
        <w:t xml:space="preserve">COURSE SCHEDULE OF TOPICS AND ASSIGNMENTS </w:t>
      </w:r>
    </w:p>
    <w:p w14:paraId="252B20B2" w14:textId="5AEFC96A" w:rsidR="001C0EA6" w:rsidRPr="00574BDC" w:rsidRDefault="001C0EA6" w:rsidP="001C0EA6">
      <w:pPr>
        <w:rPr>
          <w:sz w:val="22"/>
          <w:szCs w:val="22"/>
        </w:rPr>
      </w:pPr>
      <w:r w:rsidRPr="00574BDC">
        <w:rPr>
          <w:sz w:val="22"/>
          <w:szCs w:val="22"/>
        </w:rPr>
        <w:t xml:space="preserve">This syllabus is offered as a guide to the direction of the course. </w:t>
      </w:r>
      <w:r w:rsidR="00B942A3" w:rsidRPr="00574BDC">
        <w:rPr>
          <w:sz w:val="22"/>
          <w:szCs w:val="22"/>
        </w:rPr>
        <w:t>Our pace will depend in part on the level of difficulty of each section</w:t>
      </w:r>
      <w:r w:rsidR="00BE4D51" w:rsidRPr="00574BDC">
        <w:rPr>
          <w:sz w:val="22"/>
          <w:szCs w:val="22"/>
        </w:rPr>
        <w:t xml:space="preserve"> and is subject to change.</w:t>
      </w:r>
      <w:r w:rsidR="00B942A3" w:rsidRPr="00574BDC">
        <w:rPr>
          <w:sz w:val="22"/>
          <w:szCs w:val="22"/>
        </w:rPr>
        <w:t xml:space="preserve"> </w:t>
      </w:r>
    </w:p>
    <w:p w14:paraId="1EFDE2E4" w14:textId="223B5776" w:rsidR="007B11B7" w:rsidRPr="00574BDC" w:rsidRDefault="005B79B1" w:rsidP="001C0EA6">
      <w:pPr>
        <w:rPr>
          <w:sz w:val="22"/>
          <w:szCs w:val="22"/>
        </w:rPr>
      </w:pPr>
      <w:r w:rsidRPr="00574BDC">
        <w:rPr>
          <w:sz w:val="22"/>
          <w:szCs w:val="22"/>
        </w:rPr>
        <w:t xml:space="preserve"> </w:t>
      </w:r>
    </w:p>
    <w:tbl>
      <w:tblPr>
        <w:tblW w:w="941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990"/>
        <w:gridCol w:w="1710"/>
        <w:gridCol w:w="5090"/>
      </w:tblGrid>
      <w:tr w:rsidR="007B11B7" w:rsidRPr="00574BDC" w14:paraId="201E7A10" w14:textId="77777777" w:rsidTr="002B5409">
        <w:trPr>
          <w:cantSplit/>
        </w:trPr>
        <w:tc>
          <w:tcPr>
            <w:tcW w:w="162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0CF613A8" w14:textId="77777777" w:rsidR="007B11B7" w:rsidRPr="00574BDC" w:rsidRDefault="007B11B7" w:rsidP="00AC6C51">
            <w:pPr>
              <w:widowControl w:val="0"/>
              <w:spacing w:line="219" w:lineRule="auto"/>
            </w:pPr>
            <w:r w:rsidRPr="00574BDC">
              <w:t>Introduction</w:t>
            </w:r>
          </w:p>
        </w:tc>
        <w:tc>
          <w:tcPr>
            <w:tcW w:w="99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575CCACE" w14:textId="77777777" w:rsidR="007B11B7" w:rsidRPr="00574BDC" w:rsidRDefault="007B11B7" w:rsidP="00AC6C51">
            <w:pPr>
              <w:widowControl w:val="0"/>
              <w:spacing w:line="219" w:lineRule="auto"/>
            </w:pPr>
            <w:r w:rsidRPr="00574BDC">
              <w:t xml:space="preserve">1 </w:t>
            </w:r>
          </w:p>
        </w:tc>
        <w:tc>
          <w:tcPr>
            <w:tcW w:w="171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1DDD1236" w14:textId="30F33304" w:rsidR="007B11B7" w:rsidRPr="00574BDC" w:rsidRDefault="007B11B7" w:rsidP="00AC6C51">
            <w:pPr>
              <w:widowControl w:val="0"/>
              <w:spacing w:line="219" w:lineRule="auto"/>
            </w:pPr>
            <w:r w:rsidRPr="00574BDC">
              <w:t>1-48</w:t>
            </w:r>
            <w:r w:rsidR="002B5409" w:rsidRPr="00574BDC">
              <w:t xml:space="preserve"> (focus on 16-22</w:t>
            </w:r>
            <w:r w:rsidR="00431713">
              <w:t>, the rest is background</w:t>
            </w:r>
            <w:r w:rsidR="002B5409" w:rsidRPr="00574BDC">
              <w:t>)</w:t>
            </w:r>
          </w:p>
        </w:tc>
        <w:tc>
          <w:tcPr>
            <w:tcW w:w="509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45105F22" w14:textId="77777777" w:rsidR="007B11B7" w:rsidRPr="00574BDC" w:rsidRDefault="007B11B7" w:rsidP="00AC6C51">
            <w:pPr>
              <w:widowControl w:val="0"/>
              <w:spacing w:line="219" w:lineRule="auto"/>
            </w:pPr>
          </w:p>
        </w:tc>
      </w:tr>
    </w:tbl>
    <w:p w14:paraId="2B075DD5" w14:textId="77777777" w:rsidR="007B11B7" w:rsidRPr="00574BDC" w:rsidRDefault="007B11B7" w:rsidP="007B11B7">
      <w:pPr>
        <w:widowControl w:val="0"/>
        <w:spacing w:line="219" w:lineRule="auto"/>
        <w:rPr>
          <w:vanish/>
        </w:rPr>
      </w:pPr>
    </w:p>
    <w:tbl>
      <w:tblPr>
        <w:tblW w:w="941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990"/>
        <w:gridCol w:w="1710"/>
        <w:gridCol w:w="5090"/>
      </w:tblGrid>
      <w:tr w:rsidR="00574BDC" w:rsidRPr="00574BDC" w14:paraId="5BB9A922" w14:textId="77777777" w:rsidTr="002B5409">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4A78B85" w14:textId="77777777" w:rsidR="007B11B7" w:rsidRPr="00574BDC" w:rsidRDefault="007B11B7" w:rsidP="00AC6C51">
            <w:pPr>
              <w:widowControl w:val="0"/>
              <w:spacing w:line="219" w:lineRule="auto"/>
            </w:pPr>
            <w:r w:rsidRPr="00574BDC">
              <w:t>Materiality</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AA050AC" w14:textId="79A91D3C" w:rsidR="007B11B7" w:rsidRPr="00574BDC" w:rsidRDefault="002B5409" w:rsidP="00AC6C51">
            <w:pPr>
              <w:widowControl w:val="0"/>
              <w:spacing w:line="219" w:lineRule="auto"/>
            </w:pPr>
            <w:r w:rsidRPr="00574BDC">
              <w:t>2</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43AAC8" w14:textId="77777777" w:rsidR="007B11B7" w:rsidRPr="00574BDC" w:rsidRDefault="007B11B7" w:rsidP="00AC6C51">
            <w:pPr>
              <w:widowControl w:val="0"/>
              <w:spacing w:line="219" w:lineRule="auto"/>
            </w:pPr>
            <w:r w:rsidRPr="00574BDC">
              <w:t>49-68</w:t>
            </w:r>
          </w:p>
        </w:tc>
        <w:tc>
          <w:tcPr>
            <w:tcW w:w="50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FB7B65" w14:textId="77777777" w:rsidR="007B11B7" w:rsidRPr="00574BDC" w:rsidRDefault="007B11B7" w:rsidP="00AC6C51">
            <w:pPr>
              <w:widowControl w:val="0"/>
              <w:spacing w:line="219" w:lineRule="auto"/>
            </w:pPr>
            <w:r w:rsidRPr="00574BDC">
              <w:t xml:space="preserve">Exchange Act Rules 10b-5, 12b-20 </w:t>
            </w:r>
          </w:p>
        </w:tc>
      </w:tr>
      <w:tr w:rsidR="00574BDC" w:rsidRPr="00574BDC" w14:paraId="2225AECC" w14:textId="77777777" w:rsidTr="002B5409">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C9A5637" w14:textId="77777777" w:rsidR="007B11B7" w:rsidRPr="00574BDC" w:rsidRDefault="007B11B7" w:rsidP="00AC6C51">
            <w:pPr>
              <w:widowControl w:val="0"/>
              <w:spacing w:line="219" w:lineRule="auto"/>
            </w:pPr>
            <w:r w:rsidRPr="00574BDC">
              <w:t>Materiality</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EA6627" w14:textId="1A96CC04" w:rsidR="007B11B7" w:rsidRPr="00574BDC" w:rsidRDefault="002B5409" w:rsidP="00AC6C51">
            <w:pPr>
              <w:widowControl w:val="0"/>
              <w:spacing w:line="219" w:lineRule="auto"/>
            </w:pPr>
            <w:r w:rsidRPr="00574BDC">
              <w:t>3</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5DCED9" w14:textId="77777777" w:rsidR="007B11B7" w:rsidRPr="00574BDC" w:rsidRDefault="007B11B7" w:rsidP="00AC6C51">
            <w:pPr>
              <w:widowControl w:val="0"/>
              <w:spacing w:line="219" w:lineRule="auto"/>
            </w:pPr>
            <w:r w:rsidRPr="00574BDC">
              <w:t>68-89</w:t>
            </w:r>
          </w:p>
        </w:tc>
        <w:tc>
          <w:tcPr>
            <w:tcW w:w="50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7D504CA" w14:textId="77777777" w:rsidR="007B11B7" w:rsidRPr="00574BDC" w:rsidRDefault="007B11B7" w:rsidP="00AC6C51">
            <w:pPr>
              <w:widowControl w:val="0"/>
              <w:spacing w:line="219" w:lineRule="auto"/>
            </w:pPr>
            <w:r w:rsidRPr="00574BDC">
              <w:t>Regulation S-K Item 303(a)</w:t>
            </w:r>
          </w:p>
        </w:tc>
      </w:tr>
      <w:tr w:rsidR="007B11B7" w:rsidRPr="00574BDC" w14:paraId="2F014A59" w14:textId="77777777" w:rsidTr="002B5409">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AF93CA" w14:textId="77777777" w:rsidR="007B11B7" w:rsidRPr="00574BDC" w:rsidRDefault="007B11B7" w:rsidP="00AC6C51">
            <w:pPr>
              <w:widowControl w:val="0"/>
              <w:spacing w:line="219" w:lineRule="auto"/>
            </w:pPr>
            <w:r w:rsidRPr="00574BDC">
              <w:t>Materiality</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CC57164" w14:textId="37BAFAEA" w:rsidR="007B11B7" w:rsidRPr="00574BDC" w:rsidRDefault="002B5409" w:rsidP="00AC6C51">
            <w:pPr>
              <w:widowControl w:val="0"/>
              <w:spacing w:line="219" w:lineRule="auto"/>
            </w:pPr>
            <w:r w:rsidRPr="00574BDC">
              <w:t>4</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D9BEE55" w14:textId="77777777" w:rsidR="007B11B7" w:rsidRPr="00574BDC" w:rsidRDefault="007B11B7" w:rsidP="00AC6C51">
            <w:pPr>
              <w:widowControl w:val="0"/>
              <w:spacing w:line="219" w:lineRule="auto"/>
            </w:pPr>
            <w:r w:rsidRPr="00574BDC">
              <w:t>89-109</w:t>
            </w:r>
          </w:p>
        </w:tc>
        <w:tc>
          <w:tcPr>
            <w:tcW w:w="50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2130707" w14:textId="77777777" w:rsidR="007B11B7" w:rsidRPr="00574BDC" w:rsidRDefault="007B11B7" w:rsidP="00AC6C51">
            <w:pPr>
              <w:widowControl w:val="0"/>
              <w:spacing w:line="219" w:lineRule="auto"/>
              <w:rPr>
                <w:sz w:val="23"/>
              </w:rPr>
            </w:pPr>
            <w:r w:rsidRPr="00574BDC">
              <w:t>Regulation S-K Item 103,</w:t>
            </w:r>
            <w:r w:rsidRPr="00574BDC">
              <w:rPr>
                <w:sz w:val="23"/>
              </w:rPr>
              <w:t xml:space="preserve"> Regulation S-K Items 401, 403, 404, 406</w:t>
            </w:r>
          </w:p>
        </w:tc>
      </w:tr>
    </w:tbl>
    <w:p w14:paraId="5F8DF1A7" w14:textId="77777777" w:rsidR="007B11B7" w:rsidRPr="00574BDC" w:rsidRDefault="007B11B7" w:rsidP="007B11B7">
      <w:pPr>
        <w:widowControl w:val="0"/>
        <w:spacing w:line="219" w:lineRule="auto"/>
        <w:rPr>
          <w:vanish/>
          <w:sz w:val="23"/>
        </w:rPr>
      </w:pPr>
    </w:p>
    <w:tbl>
      <w:tblPr>
        <w:tblW w:w="941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990"/>
        <w:gridCol w:w="1710"/>
        <w:gridCol w:w="5090"/>
      </w:tblGrid>
      <w:tr w:rsidR="00574BDC" w:rsidRPr="00574BDC" w14:paraId="64A7F0A0" w14:textId="77777777" w:rsidTr="002B5409">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7C82C9" w14:textId="77777777" w:rsidR="007B11B7" w:rsidRPr="00574BDC" w:rsidRDefault="007B11B7" w:rsidP="00AC6C51">
            <w:pPr>
              <w:widowControl w:val="0"/>
              <w:spacing w:line="219" w:lineRule="auto"/>
              <w:rPr>
                <w:sz w:val="23"/>
              </w:rPr>
            </w:pPr>
            <w:r w:rsidRPr="00574BDC">
              <w:rPr>
                <w:sz w:val="23"/>
              </w:rPr>
              <w:t>Definition of “Security”</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AB2412C" w14:textId="1108FCE8" w:rsidR="007B11B7" w:rsidRPr="00574BDC" w:rsidRDefault="002B5409" w:rsidP="00AC6C51">
            <w:pPr>
              <w:widowControl w:val="0"/>
              <w:spacing w:line="219" w:lineRule="auto"/>
              <w:rPr>
                <w:sz w:val="23"/>
              </w:rPr>
            </w:pPr>
            <w:r w:rsidRPr="00574BDC">
              <w:rPr>
                <w:sz w:val="23"/>
              </w:rPr>
              <w:t>5</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7AFAE4" w14:textId="77777777" w:rsidR="007B11B7" w:rsidRPr="00574BDC" w:rsidRDefault="007B11B7" w:rsidP="00AC6C51">
            <w:pPr>
              <w:widowControl w:val="0"/>
              <w:spacing w:line="219" w:lineRule="auto"/>
              <w:rPr>
                <w:sz w:val="23"/>
              </w:rPr>
            </w:pPr>
            <w:r w:rsidRPr="00574BDC">
              <w:rPr>
                <w:sz w:val="23"/>
              </w:rPr>
              <w:t>111-133</w:t>
            </w:r>
          </w:p>
        </w:tc>
        <w:tc>
          <w:tcPr>
            <w:tcW w:w="50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F7E8B9" w14:textId="77777777" w:rsidR="007B11B7" w:rsidRPr="00574BDC" w:rsidRDefault="007B11B7" w:rsidP="00AC6C51">
            <w:pPr>
              <w:widowControl w:val="0"/>
              <w:spacing w:line="219" w:lineRule="auto"/>
              <w:rPr>
                <w:sz w:val="23"/>
              </w:rPr>
            </w:pPr>
            <w:r w:rsidRPr="00574BDC">
              <w:rPr>
                <w:sz w:val="23"/>
              </w:rPr>
              <w:t>Securities Act § 2 (a)(1)</w:t>
            </w:r>
          </w:p>
        </w:tc>
      </w:tr>
      <w:tr w:rsidR="00574BDC" w:rsidRPr="00574BDC" w14:paraId="3972AB8A" w14:textId="77777777" w:rsidTr="002B5409">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C707DD" w14:textId="77777777" w:rsidR="007B11B7" w:rsidRPr="00574BDC" w:rsidRDefault="007B11B7" w:rsidP="00AC6C51">
            <w:pPr>
              <w:widowControl w:val="0"/>
              <w:spacing w:line="219" w:lineRule="auto"/>
              <w:rPr>
                <w:sz w:val="23"/>
              </w:rPr>
            </w:pPr>
            <w:r w:rsidRPr="00574BDC">
              <w:rPr>
                <w:sz w:val="23"/>
              </w:rPr>
              <w:t>Definition of “Security”</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8565AE" w14:textId="79ADBBB0" w:rsidR="007B11B7" w:rsidRPr="00574BDC" w:rsidRDefault="002B5409" w:rsidP="00AC6C51">
            <w:pPr>
              <w:widowControl w:val="0"/>
              <w:spacing w:line="219" w:lineRule="auto"/>
              <w:rPr>
                <w:sz w:val="23"/>
              </w:rPr>
            </w:pPr>
            <w:r w:rsidRPr="00574BDC">
              <w:rPr>
                <w:sz w:val="23"/>
              </w:rPr>
              <w:t>6</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9A8720" w14:textId="77777777" w:rsidR="007B11B7" w:rsidRPr="00574BDC" w:rsidRDefault="007B11B7" w:rsidP="00AC6C51">
            <w:pPr>
              <w:widowControl w:val="0"/>
              <w:spacing w:line="219" w:lineRule="auto"/>
              <w:rPr>
                <w:sz w:val="23"/>
              </w:rPr>
            </w:pPr>
            <w:r w:rsidRPr="00574BDC">
              <w:rPr>
                <w:sz w:val="23"/>
              </w:rPr>
              <w:t>133-140; 146-163</w:t>
            </w:r>
          </w:p>
        </w:tc>
        <w:tc>
          <w:tcPr>
            <w:tcW w:w="50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63E91F8" w14:textId="77777777" w:rsidR="007B11B7" w:rsidRPr="00574BDC" w:rsidRDefault="007B11B7" w:rsidP="00AC6C51">
            <w:pPr>
              <w:widowControl w:val="0"/>
              <w:spacing w:line="219" w:lineRule="auto"/>
              <w:rPr>
                <w:sz w:val="23"/>
              </w:rPr>
            </w:pPr>
          </w:p>
        </w:tc>
      </w:tr>
      <w:tr w:rsidR="007B11B7" w:rsidRPr="00574BDC" w14:paraId="496EDEE5" w14:textId="77777777" w:rsidTr="002B5409">
        <w:trPr>
          <w:cantSplit/>
        </w:trPr>
        <w:tc>
          <w:tcPr>
            <w:tcW w:w="162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7F2B9BCE" w14:textId="77777777" w:rsidR="007B11B7" w:rsidRPr="00574BDC" w:rsidRDefault="007B11B7" w:rsidP="00AC6C51">
            <w:pPr>
              <w:widowControl w:val="0"/>
              <w:spacing w:line="219" w:lineRule="auto"/>
              <w:rPr>
                <w:sz w:val="23"/>
              </w:rPr>
            </w:pPr>
            <w:r w:rsidRPr="00574BDC">
              <w:rPr>
                <w:sz w:val="23"/>
              </w:rPr>
              <w:t>Definition of “Security”</w:t>
            </w:r>
          </w:p>
        </w:tc>
        <w:tc>
          <w:tcPr>
            <w:tcW w:w="99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47052366" w14:textId="2E92C758" w:rsidR="007B11B7" w:rsidRPr="00574BDC" w:rsidRDefault="002B5409" w:rsidP="00AC6C51">
            <w:pPr>
              <w:widowControl w:val="0"/>
              <w:spacing w:line="219" w:lineRule="auto"/>
              <w:rPr>
                <w:sz w:val="23"/>
              </w:rPr>
            </w:pPr>
            <w:r w:rsidRPr="00574BDC">
              <w:rPr>
                <w:sz w:val="23"/>
              </w:rPr>
              <w:t>7</w:t>
            </w:r>
          </w:p>
        </w:tc>
        <w:tc>
          <w:tcPr>
            <w:tcW w:w="171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2B2BD9BF" w14:textId="77777777" w:rsidR="007B11B7" w:rsidRPr="00574BDC" w:rsidRDefault="007B11B7" w:rsidP="00AC6C51">
            <w:pPr>
              <w:widowControl w:val="0"/>
              <w:spacing w:line="219" w:lineRule="auto"/>
              <w:rPr>
                <w:sz w:val="23"/>
              </w:rPr>
            </w:pPr>
            <w:r w:rsidRPr="00574BDC">
              <w:rPr>
                <w:sz w:val="23"/>
              </w:rPr>
              <w:t>163-178</w:t>
            </w:r>
          </w:p>
        </w:tc>
        <w:tc>
          <w:tcPr>
            <w:tcW w:w="509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4C4D381F" w14:textId="77777777" w:rsidR="007B11B7" w:rsidRPr="00574BDC" w:rsidRDefault="007B11B7" w:rsidP="00AC6C51">
            <w:pPr>
              <w:widowControl w:val="0"/>
              <w:spacing w:line="219" w:lineRule="auto"/>
              <w:rPr>
                <w:sz w:val="23"/>
              </w:rPr>
            </w:pPr>
            <w:r w:rsidRPr="00574BDC">
              <w:rPr>
                <w:sz w:val="23"/>
              </w:rPr>
              <w:t>Securities Act § 3(a)(3); Exchange Act § 3 (a)(10)</w:t>
            </w:r>
          </w:p>
        </w:tc>
      </w:tr>
    </w:tbl>
    <w:p w14:paraId="3D69C4AB" w14:textId="77777777" w:rsidR="007B11B7" w:rsidRPr="00574BDC" w:rsidRDefault="007B11B7" w:rsidP="007B11B7">
      <w:pPr>
        <w:widowControl w:val="0"/>
        <w:spacing w:line="219" w:lineRule="auto"/>
        <w:rPr>
          <w:vanish/>
          <w:sz w:val="23"/>
        </w:rPr>
      </w:pPr>
    </w:p>
    <w:tbl>
      <w:tblPr>
        <w:tblW w:w="941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990"/>
        <w:gridCol w:w="1710"/>
        <w:gridCol w:w="5090"/>
      </w:tblGrid>
      <w:tr w:rsidR="00574BDC" w:rsidRPr="00574BDC" w14:paraId="5F5B39D9" w14:textId="77777777" w:rsidTr="002B5409">
        <w:trPr>
          <w:cantSplit/>
        </w:trPr>
        <w:tc>
          <w:tcPr>
            <w:tcW w:w="1620" w:type="dxa"/>
            <w:tcBorders>
              <w:top w:val="nil"/>
              <w:left w:val="single" w:sz="8" w:space="0" w:color="000000"/>
              <w:bottom w:val="single" w:sz="8" w:space="0" w:color="000000"/>
              <w:right w:val="single" w:sz="8" w:space="0" w:color="000000"/>
            </w:tcBorders>
            <w:tcMar>
              <w:top w:w="120" w:type="dxa"/>
              <w:left w:w="120" w:type="dxa"/>
              <w:bottom w:w="58" w:type="dxa"/>
              <w:right w:w="120" w:type="dxa"/>
            </w:tcMar>
          </w:tcPr>
          <w:p w14:paraId="1DAAA6EB" w14:textId="77777777" w:rsidR="007B11B7" w:rsidRPr="00574BDC" w:rsidRDefault="007B11B7" w:rsidP="00AC6C51">
            <w:pPr>
              <w:widowControl w:val="0"/>
              <w:spacing w:line="219" w:lineRule="auto"/>
              <w:rPr>
                <w:sz w:val="23"/>
              </w:rPr>
            </w:pPr>
            <w:r w:rsidRPr="00574BDC">
              <w:rPr>
                <w:sz w:val="23"/>
              </w:rPr>
              <w:t>Disclosure &amp; Accuracy</w:t>
            </w:r>
          </w:p>
        </w:tc>
        <w:tc>
          <w:tcPr>
            <w:tcW w:w="990" w:type="dxa"/>
            <w:tcBorders>
              <w:top w:val="nil"/>
              <w:left w:val="single" w:sz="8" w:space="0" w:color="000000"/>
              <w:bottom w:val="single" w:sz="8" w:space="0" w:color="000000"/>
              <w:right w:val="single" w:sz="8" w:space="0" w:color="000000"/>
            </w:tcBorders>
            <w:tcMar>
              <w:top w:w="120" w:type="dxa"/>
              <w:left w:w="120" w:type="dxa"/>
              <w:bottom w:w="58" w:type="dxa"/>
              <w:right w:w="120" w:type="dxa"/>
            </w:tcMar>
          </w:tcPr>
          <w:p w14:paraId="36D25432" w14:textId="73B587EF" w:rsidR="007B11B7" w:rsidRPr="00574BDC" w:rsidRDefault="002B5409" w:rsidP="00AC6C51">
            <w:pPr>
              <w:widowControl w:val="0"/>
              <w:spacing w:line="219" w:lineRule="auto"/>
              <w:rPr>
                <w:sz w:val="23"/>
              </w:rPr>
            </w:pPr>
            <w:r w:rsidRPr="00574BDC">
              <w:rPr>
                <w:sz w:val="23"/>
              </w:rPr>
              <w:t>8</w:t>
            </w:r>
          </w:p>
        </w:tc>
        <w:tc>
          <w:tcPr>
            <w:tcW w:w="1710" w:type="dxa"/>
            <w:tcBorders>
              <w:top w:val="nil"/>
              <w:left w:val="single" w:sz="8" w:space="0" w:color="000000"/>
              <w:bottom w:val="single" w:sz="8" w:space="0" w:color="000000"/>
              <w:right w:val="single" w:sz="8" w:space="0" w:color="000000"/>
            </w:tcBorders>
            <w:tcMar>
              <w:top w:w="120" w:type="dxa"/>
              <w:left w:w="120" w:type="dxa"/>
              <w:bottom w:w="58" w:type="dxa"/>
              <w:right w:w="120" w:type="dxa"/>
            </w:tcMar>
          </w:tcPr>
          <w:p w14:paraId="3DF4DF4D" w14:textId="37761600" w:rsidR="007B11B7" w:rsidRPr="00574BDC" w:rsidRDefault="007B11B7" w:rsidP="00AC6C51">
            <w:pPr>
              <w:widowControl w:val="0"/>
              <w:spacing w:line="219" w:lineRule="auto"/>
              <w:rPr>
                <w:sz w:val="23"/>
              </w:rPr>
            </w:pPr>
            <w:r w:rsidRPr="00574BDC">
              <w:rPr>
                <w:sz w:val="23"/>
              </w:rPr>
              <w:t>197-224</w:t>
            </w:r>
            <w:r w:rsidR="00574BDC">
              <w:rPr>
                <w:sz w:val="23"/>
              </w:rPr>
              <w:t>; Supp. 1-4</w:t>
            </w:r>
          </w:p>
        </w:tc>
        <w:tc>
          <w:tcPr>
            <w:tcW w:w="5090" w:type="dxa"/>
            <w:tcBorders>
              <w:top w:val="nil"/>
              <w:left w:val="single" w:sz="8" w:space="0" w:color="000000"/>
              <w:bottom w:val="single" w:sz="8" w:space="0" w:color="000000"/>
              <w:right w:val="single" w:sz="8" w:space="0" w:color="000000"/>
            </w:tcBorders>
            <w:tcMar>
              <w:top w:w="120" w:type="dxa"/>
              <w:left w:w="120" w:type="dxa"/>
              <w:bottom w:w="58" w:type="dxa"/>
              <w:right w:w="120" w:type="dxa"/>
            </w:tcMar>
          </w:tcPr>
          <w:p w14:paraId="76275E58" w14:textId="77777777" w:rsidR="007B11B7" w:rsidRPr="00574BDC" w:rsidRDefault="007B11B7" w:rsidP="00AC6C51">
            <w:pPr>
              <w:widowControl w:val="0"/>
              <w:spacing w:line="219" w:lineRule="auto"/>
              <w:rPr>
                <w:sz w:val="23"/>
              </w:rPr>
            </w:pPr>
            <w:r w:rsidRPr="00574BDC">
              <w:rPr>
                <w:sz w:val="23"/>
              </w:rPr>
              <w:t>Exchange Act §§ 12(a), 12(g), 13(a), 15(d); Exchange Act Rules 12g-4; 12h-3; Forms 8-K, 10-K; Regulation S-K Item 303(a)</w:t>
            </w:r>
          </w:p>
        </w:tc>
      </w:tr>
      <w:tr w:rsidR="00574BDC" w:rsidRPr="00574BDC" w14:paraId="15BFF859" w14:textId="77777777" w:rsidTr="002B5409">
        <w:trPr>
          <w:cantSplit/>
        </w:trPr>
        <w:tc>
          <w:tcPr>
            <w:tcW w:w="162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49C7189E" w14:textId="77777777" w:rsidR="007B11B7" w:rsidRPr="00574BDC" w:rsidRDefault="007B11B7" w:rsidP="00AC6C51">
            <w:pPr>
              <w:widowControl w:val="0"/>
              <w:spacing w:line="219" w:lineRule="auto"/>
              <w:rPr>
                <w:sz w:val="23"/>
              </w:rPr>
            </w:pPr>
            <w:r w:rsidRPr="00574BDC">
              <w:rPr>
                <w:sz w:val="23"/>
              </w:rPr>
              <w:t>Disclosure &amp; Accuracy</w:t>
            </w:r>
          </w:p>
        </w:tc>
        <w:tc>
          <w:tcPr>
            <w:tcW w:w="99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7608369E" w14:textId="7276DEA0" w:rsidR="007B11B7" w:rsidRPr="00574BDC" w:rsidRDefault="002B5409" w:rsidP="00AC6C51">
            <w:pPr>
              <w:widowControl w:val="0"/>
              <w:spacing w:line="219" w:lineRule="auto"/>
              <w:rPr>
                <w:sz w:val="23"/>
              </w:rPr>
            </w:pPr>
            <w:r w:rsidRPr="00574BDC">
              <w:rPr>
                <w:sz w:val="23"/>
              </w:rPr>
              <w:t>9</w:t>
            </w:r>
          </w:p>
        </w:tc>
        <w:tc>
          <w:tcPr>
            <w:tcW w:w="171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342447B5" w14:textId="77777777" w:rsidR="007B11B7" w:rsidRPr="00574BDC" w:rsidRDefault="007B11B7" w:rsidP="00AC6C51">
            <w:pPr>
              <w:widowControl w:val="0"/>
              <w:spacing w:line="219" w:lineRule="auto"/>
              <w:rPr>
                <w:sz w:val="23"/>
              </w:rPr>
            </w:pPr>
            <w:r w:rsidRPr="00574BDC">
              <w:rPr>
                <w:sz w:val="23"/>
              </w:rPr>
              <w:t>224-240</w:t>
            </w:r>
          </w:p>
        </w:tc>
        <w:tc>
          <w:tcPr>
            <w:tcW w:w="509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6EDFAB6A" w14:textId="77777777" w:rsidR="007B11B7" w:rsidRPr="00574BDC" w:rsidRDefault="007B11B7" w:rsidP="00AC6C51">
            <w:pPr>
              <w:widowControl w:val="0"/>
              <w:spacing w:line="219" w:lineRule="auto"/>
              <w:rPr>
                <w:sz w:val="23"/>
              </w:rPr>
            </w:pPr>
            <w:r w:rsidRPr="00574BDC">
              <w:rPr>
                <w:sz w:val="23"/>
              </w:rPr>
              <w:t>Exchange Act § 13(b); Exchange Act Rule 13a-1, 13a-14; Sarbanes-Oxley Act § 404; Regulation FD</w:t>
            </w:r>
          </w:p>
        </w:tc>
      </w:tr>
      <w:tr w:rsidR="00574BDC" w:rsidRPr="00574BDC" w14:paraId="36F20E71" w14:textId="77777777" w:rsidTr="002B5409">
        <w:trPr>
          <w:cantSplit/>
        </w:trPr>
        <w:tc>
          <w:tcPr>
            <w:tcW w:w="162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511CE545" w14:textId="77777777" w:rsidR="007B11B7" w:rsidRPr="00574BDC" w:rsidRDefault="007B11B7" w:rsidP="00AC6C51">
            <w:pPr>
              <w:widowControl w:val="0"/>
              <w:spacing w:line="219" w:lineRule="auto"/>
              <w:rPr>
                <w:sz w:val="23"/>
              </w:rPr>
            </w:pPr>
            <w:r w:rsidRPr="00574BDC">
              <w:rPr>
                <w:sz w:val="23"/>
              </w:rPr>
              <w:t>Public Offerings</w:t>
            </w:r>
          </w:p>
        </w:tc>
        <w:tc>
          <w:tcPr>
            <w:tcW w:w="990" w:type="dxa"/>
            <w:tcBorders>
              <w:top w:val="single" w:sz="16"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C945F6E" w14:textId="1AEEE31F" w:rsidR="007B11B7" w:rsidRPr="00574BDC" w:rsidRDefault="002B5409" w:rsidP="00AC6C51">
            <w:pPr>
              <w:widowControl w:val="0"/>
              <w:spacing w:line="219" w:lineRule="auto"/>
              <w:rPr>
                <w:sz w:val="23"/>
              </w:rPr>
            </w:pPr>
            <w:r w:rsidRPr="00574BDC">
              <w:rPr>
                <w:sz w:val="23"/>
              </w:rPr>
              <w:t>10</w:t>
            </w:r>
          </w:p>
        </w:tc>
        <w:tc>
          <w:tcPr>
            <w:tcW w:w="1710" w:type="dxa"/>
            <w:tcBorders>
              <w:top w:val="single" w:sz="16"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1DF739" w14:textId="77777777" w:rsidR="007B11B7" w:rsidRPr="00574BDC" w:rsidRDefault="007B11B7" w:rsidP="00AC6C51">
            <w:pPr>
              <w:widowControl w:val="0"/>
              <w:spacing w:line="219" w:lineRule="auto"/>
              <w:rPr>
                <w:sz w:val="23"/>
              </w:rPr>
            </w:pPr>
            <w:r w:rsidRPr="00574BDC">
              <w:rPr>
                <w:sz w:val="23"/>
              </w:rPr>
              <w:t>487-520; Supp. 6-10</w:t>
            </w:r>
          </w:p>
        </w:tc>
        <w:tc>
          <w:tcPr>
            <w:tcW w:w="5090" w:type="dxa"/>
            <w:tcBorders>
              <w:top w:val="single" w:sz="16"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A20DA3" w14:textId="77777777" w:rsidR="007B11B7" w:rsidRPr="00574BDC" w:rsidRDefault="007B11B7" w:rsidP="00AC6C51">
            <w:pPr>
              <w:widowControl w:val="0"/>
              <w:spacing w:line="219" w:lineRule="auto"/>
              <w:rPr>
                <w:sz w:val="23"/>
              </w:rPr>
            </w:pPr>
            <w:r w:rsidRPr="00574BDC">
              <w:rPr>
                <w:sz w:val="23"/>
              </w:rPr>
              <w:t>Securities Act §§ 2(a)(3), (10), (11); 5; 10; Rules 135, 163A, 163B, 168, 169, 405; Form S-3 Gen. Inst. I</w:t>
            </w:r>
          </w:p>
        </w:tc>
      </w:tr>
      <w:tr w:rsidR="00574BDC" w:rsidRPr="00574BDC" w14:paraId="3AD42327" w14:textId="77777777" w:rsidTr="002B5409">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20D200" w14:textId="77777777" w:rsidR="007B11B7" w:rsidRPr="00574BDC" w:rsidRDefault="007B11B7" w:rsidP="00AC6C51">
            <w:pPr>
              <w:widowControl w:val="0"/>
              <w:spacing w:line="219" w:lineRule="auto"/>
              <w:rPr>
                <w:sz w:val="23"/>
              </w:rPr>
            </w:pPr>
            <w:r w:rsidRPr="00574BDC">
              <w:rPr>
                <w:sz w:val="23"/>
              </w:rPr>
              <w:t>Public Offerings</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2538BF" w14:textId="1B5258AD" w:rsidR="007B11B7" w:rsidRPr="00574BDC" w:rsidRDefault="007B11B7" w:rsidP="00AC6C51">
            <w:pPr>
              <w:widowControl w:val="0"/>
              <w:spacing w:line="219" w:lineRule="auto"/>
              <w:rPr>
                <w:sz w:val="23"/>
              </w:rPr>
            </w:pPr>
            <w:r w:rsidRPr="00574BDC">
              <w:rPr>
                <w:sz w:val="23"/>
              </w:rPr>
              <w:t>1</w:t>
            </w:r>
            <w:r w:rsidR="002B5409" w:rsidRPr="00574BDC">
              <w:rPr>
                <w:sz w:val="23"/>
              </w:rPr>
              <w:t>1</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FEBCD9" w14:textId="77777777" w:rsidR="007B11B7" w:rsidRPr="00574BDC" w:rsidRDefault="007B11B7" w:rsidP="00AC6C51">
            <w:pPr>
              <w:widowControl w:val="0"/>
              <w:spacing w:line="219" w:lineRule="auto"/>
              <w:rPr>
                <w:sz w:val="23"/>
              </w:rPr>
            </w:pPr>
            <w:r w:rsidRPr="00574BDC">
              <w:rPr>
                <w:sz w:val="23"/>
              </w:rPr>
              <w:t>520-533</w:t>
            </w:r>
          </w:p>
        </w:tc>
        <w:tc>
          <w:tcPr>
            <w:tcW w:w="50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9F92EC" w14:textId="77777777" w:rsidR="007B11B7" w:rsidRPr="00574BDC" w:rsidRDefault="007B11B7" w:rsidP="00AC6C51">
            <w:pPr>
              <w:widowControl w:val="0"/>
              <w:spacing w:line="219" w:lineRule="auto"/>
              <w:rPr>
                <w:sz w:val="23"/>
              </w:rPr>
            </w:pPr>
            <w:r w:rsidRPr="00574BDC">
              <w:rPr>
                <w:sz w:val="23"/>
              </w:rPr>
              <w:t>Securities Act  §§ 2(a)(3), (10), (11); 5; 10(b); Rules 134, 164, 430, 433</w:t>
            </w:r>
          </w:p>
        </w:tc>
      </w:tr>
      <w:tr w:rsidR="00574BDC" w:rsidRPr="00574BDC" w14:paraId="3506EBF9" w14:textId="77777777" w:rsidTr="002B5409">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556A94" w14:textId="77777777" w:rsidR="007B11B7" w:rsidRPr="00574BDC" w:rsidRDefault="007B11B7" w:rsidP="00AC6C51">
            <w:pPr>
              <w:widowControl w:val="0"/>
              <w:spacing w:line="219" w:lineRule="auto"/>
              <w:rPr>
                <w:sz w:val="23"/>
              </w:rPr>
            </w:pPr>
            <w:r w:rsidRPr="00574BDC">
              <w:rPr>
                <w:sz w:val="23"/>
              </w:rPr>
              <w:lastRenderedPageBreak/>
              <w:t>Public Offerings</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2E6A0AF" w14:textId="44647279" w:rsidR="007B11B7" w:rsidRPr="00574BDC" w:rsidRDefault="002B5409" w:rsidP="00AC6C51">
            <w:pPr>
              <w:widowControl w:val="0"/>
              <w:spacing w:line="219" w:lineRule="auto"/>
              <w:rPr>
                <w:sz w:val="23"/>
              </w:rPr>
            </w:pPr>
            <w:r w:rsidRPr="00574BDC">
              <w:rPr>
                <w:sz w:val="23"/>
              </w:rPr>
              <w:t>12</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AF293A" w14:textId="77777777" w:rsidR="007B11B7" w:rsidRPr="00574BDC" w:rsidRDefault="007B11B7" w:rsidP="00AC6C51">
            <w:pPr>
              <w:widowControl w:val="0"/>
              <w:spacing w:line="219" w:lineRule="auto"/>
              <w:rPr>
                <w:sz w:val="23"/>
              </w:rPr>
            </w:pPr>
            <w:r w:rsidRPr="00574BDC">
              <w:rPr>
                <w:sz w:val="23"/>
              </w:rPr>
              <w:t>533-548</w:t>
            </w:r>
          </w:p>
        </w:tc>
        <w:tc>
          <w:tcPr>
            <w:tcW w:w="50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CD4CC4" w14:textId="77777777" w:rsidR="007B11B7" w:rsidRPr="00574BDC" w:rsidRDefault="007B11B7" w:rsidP="00AC6C51">
            <w:pPr>
              <w:widowControl w:val="0"/>
              <w:spacing w:line="219" w:lineRule="auto"/>
              <w:rPr>
                <w:sz w:val="23"/>
              </w:rPr>
            </w:pPr>
            <w:r w:rsidRPr="00574BDC">
              <w:rPr>
                <w:sz w:val="23"/>
              </w:rPr>
              <w:t>Securities Act §§ 2(a)(3), (10); 4(a)(1), (3), (4); 8; 10(a); Rules 137, 138, 139, 172, 173,174, 424, 430, 430A; Regulation S-K Item 512(i); Exchange Act Rule 15c2-8</w:t>
            </w:r>
          </w:p>
        </w:tc>
      </w:tr>
      <w:tr w:rsidR="00574BDC" w:rsidRPr="00574BDC" w14:paraId="1BDEFD4E" w14:textId="77777777" w:rsidTr="002B5409">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977118" w14:textId="77777777" w:rsidR="007B11B7" w:rsidRPr="00574BDC" w:rsidRDefault="007B11B7" w:rsidP="00AC6C51">
            <w:pPr>
              <w:widowControl w:val="0"/>
              <w:spacing w:line="219" w:lineRule="auto"/>
              <w:rPr>
                <w:sz w:val="23"/>
              </w:rPr>
            </w:pPr>
            <w:r w:rsidRPr="00574BDC">
              <w:rPr>
                <w:sz w:val="23"/>
              </w:rPr>
              <w:t>Public Offerings</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DA840D" w14:textId="25F8726C" w:rsidR="007B11B7" w:rsidRPr="00574BDC" w:rsidRDefault="002B5409" w:rsidP="00AC6C51">
            <w:pPr>
              <w:widowControl w:val="0"/>
              <w:spacing w:line="219" w:lineRule="auto"/>
              <w:rPr>
                <w:sz w:val="23"/>
              </w:rPr>
            </w:pPr>
            <w:r w:rsidRPr="00574BDC">
              <w:rPr>
                <w:sz w:val="23"/>
              </w:rPr>
              <w:t>13</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08DADD" w14:textId="77777777" w:rsidR="007B11B7" w:rsidRPr="00574BDC" w:rsidRDefault="007B11B7" w:rsidP="00AC6C51">
            <w:pPr>
              <w:widowControl w:val="0"/>
              <w:spacing w:line="219" w:lineRule="auto"/>
              <w:rPr>
                <w:sz w:val="23"/>
              </w:rPr>
            </w:pPr>
            <w:r w:rsidRPr="00574BDC">
              <w:rPr>
                <w:sz w:val="23"/>
              </w:rPr>
              <w:t>548-558</w:t>
            </w:r>
          </w:p>
        </w:tc>
        <w:tc>
          <w:tcPr>
            <w:tcW w:w="50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C118BE" w14:textId="77777777" w:rsidR="007B11B7" w:rsidRPr="00574BDC" w:rsidRDefault="007B11B7" w:rsidP="00AC6C51">
            <w:pPr>
              <w:widowControl w:val="0"/>
              <w:spacing w:line="219" w:lineRule="auto"/>
              <w:rPr>
                <w:sz w:val="23"/>
              </w:rPr>
            </w:pPr>
            <w:r w:rsidRPr="00574BDC">
              <w:rPr>
                <w:sz w:val="23"/>
              </w:rPr>
              <w:t>Securities Act §§ 8(d), 10(a)(3); Regulation M; Regulation S-K Item 512(a)</w:t>
            </w:r>
          </w:p>
        </w:tc>
      </w:tr>
      <w:tr w:rsidR="00574BDC" w:rsidRPr="00574BDC" w14:paraId="45BC0189" w14:textId="77777777" w:rsidTr="002B5409">
        <w:trPr>
          <w:cantSplit/>
        </w:trPr>
        <w:tc>
          <w:tcPr>
            <w:tcW w:w="162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54A8495D" w14:textId="77777777" w:rsidR="007B11B7" w:rsidRPr="00574BDC" w:rsidRDefault="007B11B7" w:rsidP="00AC6C51">
            <w:pPr>
              <w:widowControl w:val="0"/>
              <w:spacing w:line="219" w:lineRule="auto"/>
              <w:rPr>
                <w:sz w:val="23"/>
              </w:rPr>
            </w:pPr>
            <w:r w:rsidRPr="00574BDC">
              <w:rPr>
                <w:sz w:val="23"/>
              </w:rPr>
              <w:t>Public Offerings</w:t>
            </w:r>
          </w:p>
        </w:tc>
        <w:tc>
          <w:tcPr>
            <w:tcW w:w="99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57135F2F" w14:textId="2E24A762" w:rsidR="007B11B7" w:rsidRPr="00574BDC" w:rsidRDefault="002B5409" w:rsidP="00AC6C51">
            <w:pPr>
              <w:widowControl w:val="0"/>
              <w:spacing w:line="219" w:lineRule="auto"/>
              <w:rPr>
                <w:sz w:val="23"/>
              </w:rPr>
            </w:pPr>
            <w:r w:rsidRPr="00574BDC">
              <w:rPr>
                <w:sz w:val="23"/>
              </w:rPr>
              <w:t>14</w:t>
            </w:r>
          </w:p>
        </w:tc>
        <w:tc>
          <w:tcPr>
            <w:tcW w:w="171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1D376538" w14:textId="77777777" w:rsidR="007B11B7" w:rsidRPr="00574BDC" w:rsidRDefault="007B11B7" w:rsidP="00AC6C51">
            <w:pPr>
              <w:widowControl w:val="0"/>
              <w:spacing w:line="219" w:lineRule="auto"/>
              <w:rPr>
                <w:sz w:val="23"/>
              </w:rPr>
            </w:pPr>
            <w:r w:rsidRPr="00574BDC">
              <w:rPr>
                <w:sz w:val="23"/>
              </w:rPr>
              <w:t>558-567</w:t>
            </w:r>
          </w:p>
        </w:tc>
        <w:tc>
          <w:tcPr>
            <w:tcW w:w="509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7132D255" w14:textId="77777777" w:rsidR="007B11B7" w:rsidRPr="00574BDC" w:rsidRDefault="007B11B7" w:rsidP="00AC6C51">
            <w:pPr>
              <w:widowControl w:val="0"/>
              <w:spacing w:line="219" w:lineRule="auto"/>
              <w:rPr>
                <w:sz w:val="23"/>
              </w:rPr>
            </w:pPr>
            <w:r w:rsidRPr="00574BDC">
              <w:rPr>
                <w:sz w:val="23"/>
              </w:rPr>
              <w:t>Securities Act Rules 158, 413, 415, 424(b), 430B</w:t>
            </w:r>
          </w:p>
        </w:tc>
      </w:tr>
      <w:tr w:rsidR="00574BDC" w:rsidRPr="00574BDC" w14:paraId="3FF96FBD" w14:textId="77777777" w:rsidTr="002B5409">
        <w:trPr>
          <w:cantSplit/>
        </w:trPr>
        <w:tc>
          <w:tcPr>
            <w:tcW w:w="162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5893CBF2" w14:textId="77777777" w:rsidR="007B11B7" w:rsidRPr="00574BDC" w:rsidRDefault="007B11B7" w:rsidP="00AC6C51">
            <w:pPr>
              <w:widowControl w:val="0"/>
              <w:spacing w:line="219" w:lineRule="auto"/>
              <w:rPr>
                <w:sz w:val="23"/>
              </w:rPr>
            </w:pPr>
            <w:r w:rsidRPr="00574BDC">
              <w:rPr>
                <w:sz w:val="23"/>
              </w:rPr>
              <w:t>Securities Act Liability</w:t>
            </w:r>
          </w:p>
        </w:tc>
        <w:tc>
          <w:tcPr>
            <w:tcW w:w="99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3903E153" w14:textId="63B2B06C" w:rsidR="007B11B7" w:rsidRPr="00574BDC" w:rsidRDefault="002B5409" w:rsidP="00AC6C51">
            <w:pPr>
              <w:widowControl w:val="0"/>
              <w:spacing w:line="219" w:lineRule="auto"/>
              <w:rPr>
                <w:sz w:val="23"/>
              </w:rPr>
            </w:pPr>
            <w:r w:rsidRPr="00574BDC">
              <w:rPr>
                <w:sz w:val="23"/>
              </w:rPr>
              <w:t>15</w:t>
            </w:r>
          </w:p>
        </w:tc>
        <w:tc>
          <w:tcPr>
            <w:tcW w:w="171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64E801E5" w14:textId="77777777" w:rsidR="007B11B7" w:rsidRPr="00574BDC" w:rsidRDefault="007B11B7" w:rsidP="00AC6C51">
            <w:pPr>
              <w:widowControl w:val="0"/>
              <w:spacing w:line="219" w:lineRule="auto"/>
              <w:rPr>
                <w:sz w:val="23"/>
              </w:rPr>
            </w:pPr>
            <w:r w:rsidRPr="00574BDC">
              <w:rPr>
                <w:sz w:val="23"/>
              </w:rPr>
              <w:t>569-594</w:t>
            </w:r>
          </w:p>
        </w:tc>
        <w:tc>
          <w:tcPr>
            <w:tcW w:w="509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339D98BE" w14:textId="77777777" w:rsidR="007B11B7" w:rsidRPr="00574BDC" w:rsidRDefault="007B11B7" w:rsidP="00AC6C51">
            <w:pPr>
              <w:widowControl w:val="0"/>
              <w:spacing w:line="219" w:lineRule="auto"/>
              <w:rPr>
                <w:sz w:val="23"/>
              </w:rPr>
            </w:pPr>
            <w:r w:rsidRPr="00574BDC">
              <w:rPr>
                <w:sz w:val="23"/>
              </w:rPr>
              <w:t>Securities Act §§ 6(a), 11, 15</w:t>
            </w:r>
          </w:p>
        </w:tc>
      </w:tr>
      <w:tr w:rsidR="00574BDC" w:rsidRPr="00574BDC" w14:paraId="77F73378" w14:textId="77777777" w:rsidTr="002B5409">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F4080C5" w14:textId="77777777" w:rsidR="007B11B7" w:rsidRPr="00574BDC" w:rsidRDefault="007B11B7" w:rsidP="00AC6C51">
            <w:pPr>
              <w:widowControl w:val="0"/>
              <w:spacing w:line="219" w:lineRule="auto"/>
              <w:rPr>
                <w:sz w:val="23"/>
              </w:rPr>
            </w:pPr>
            <w:r w:rsidRPr="00574BDC">
              <w:rPr>
                <w:sz w:val="23"/>
              </w:rPr>
              <w:t>Securities Act Liability</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9900F9" w14:textId="0EB79D2E" w:rsidR="007B11B7" w:rsidRPr="00574BDC" w:rsidRDefault="002B5409" w:rsidP="00AC6C51">
            <w:pPr>
              <w:widowControl w:val="0"/>
              <w:spacing w:line="219" w:lineRule="auto"/>
              <w:rPr>
                <w:sz w:val="23"/>
              </w:rPr>
            </w:pPr>
            <w:r w:rsidRPr="00574BDC">
              <w:rPr>
                <w:sz w:val="23"/>
              </w:rPr>
              <w:t>16</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0C73084" w14:textId="77777777" w:rsidR="007B11B7" w:rsidRPr="00574BDC" w:rsidRDefault="007B11B7" w:rsidP="00AC6C51">
            <w:pPr>
              <w:widowControl w:val="0"/>
              <w:spacing w:line="219" w:lineRule="auto"/>
              <w:rPr>
                <w:sz w:val="23"/>
              </w:rPr>
            </w:pPr>
            <w:r w:rsidRPr="00574BDC">
              <w:rPr>
                <w:sz w:val="23"/>
              </w:rPr>
              <w:t>594-622; 626-627</w:t>
            </w:r>
          </w:p>
        </w:tc>
        <w:tc>
          <w:tcPr>
            <w:tcW w:w="50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9D0C8C" w14:textId="77777777" w:rsidR="007B11B7" w:rsidRPr="00574BDC" w:rsidRDefault="007B11B7" w:rsidP="00AC6C51">
            <w:pPr>
              <w:widowControl w:val="0"/>
              <w:spacing w:line="219" w:lineRule="auto"/>
              <w:rPr>
                <w:sz w:val="23"/>
              </w:rPr>
            </w:pPr>
            <w:r w:rsidRPr="00574BDC">
              <w:rPr>
                <w:sz w:val="23"/>
              </w:rPr>
              <w:t>Securities Act § 11(e), (f),13</w:t>
            </w:r>
          </w:p>
        </w:tc>
      </w:tr>
      <w:tr w:rsidR="00574BDC" w:rsidRPr="00574BDC" w14:paraId="7BB57A75" w14:textId="77777777" w:rsidTr="002B5409">
        <w:trPr>
          <w:cantSplit/>
        </w:trPr>
        <w:tc>
          <w:tcPr>
            <w:tcW w:w="162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617E6FEA" w14:textId="77777777" w:rsidR="007B11B7" w:rsidRPr="00574BDC" w:rsidRDefault="007B11B7" w:rsidP="00AC6C51">
            <w:pPr>
              <w:widowControl w:val="0"/>
              <w:spacing w:line="219" w:lineRule="auto"/>
              <w:rPr>
                <w:sz w:val="23"/>
              </w:rPr>
            </w:pPr>
            <w:r w:rsidRPr="00574BDC">
              <w:rPr>
                <w:sz w:val="23"/>
              </w:rPr>
              <w:t>Securities Act Liability</w:t>
            </w:r>
          </w:p>
        </w:tc>
        <w:tc>
          <w:tcPr>
            <w:tcW w:w="99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4A983E72" w14:textId="5C9551B0" w:rsidR="007B11B7" w:rsidRPr="00574BDC" w:rsidRDefault="002B5409" w:rsidP="00AC6C51">
            <w:pPr>
              <w:widowControl w:val="0"/>
              <w:spacing w:line="219" w:lineRule="auto"/>
              <w:rPr>
                <w:sz w:val="23"/>
              </w:rPr>
            </w:pPr>
            <w:r w:rsidRPr="00574BDC">
              <w:rPr>
                <w:sz w:val="23"/>
              </w:rPr>
              <w:t>17</w:t>
            </w:r>
          </w:p>
        </w:tc>
        <w:tc>
          <w:tcPr>
            <w:tcW w:w="171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4DA07E78" w14:textId="77777777" w:rsidR="007B11B7" w:rsidRPr="00574BDC" w:rsidRDefault="007B11B7" w:rsidP="00AC6C51">
            <w:pPr>
              <w:widowControl w:val="0"/>
              <w:rPr>
                <w:sz w:val="23"/>
              </w:rPr>
            </w:pPr>
            <w:r w:rsidRPr="00574BDC">
              <w:rPr>
                <w:sz w:val="23"/>
              </w:rPr>
              <w:t>630-658</w:t>
            </w:r>
          </w:p>
        </w:tc>
        <w:tc>
          <w:tcPr>
            <w:tcW w:w="509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2120A061" w14:textId="77777777" w:rsidR="007B11B7" w:rsidRPr="00574BDC" w:rsidRDefault="007B11B7" w:rsidP="00AC6C51">
            <w:pPr>
              <w:widowControl w:val="0"/>
              <w:spacing w:line="219" w:lineRule="auto"/>
              <w:rPr>
                <w:sz w:val="23"/>
              </w:rPr>
            </w:pPr>
            <w:r w:rsidRPr="00574BDC">
              <w:rPr>
                <w:sz w:val="23"/>
              </w:rPr>
              <w:t>Securities Act §§ 2(a)(3), (10), (11), 10, 12(a)(1), (2), 13; Rules 159, 159A</w:t>
            </w:r>
          </w:p>
        </w:tc>
      </w:tr>
      <w:tr w:rsidR="00574BDC" w:rsidRPr="00574BDC" w14:paraId="47E3AA5F" w14:textId="77777777" w:rsidTr="002B5409">
        <w:trPr>
          <w:cantSplit/>
        </w:trPr>
        <w:tc>
          <w:tcPr>
            <w:tcW w:w="162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7C27D6CE" w14:textId="77777777" w:rsidR="007B11B7" w:rsidRPr="00574BDC" w:rsidRDefault="007B11B7" w:rsidP="00AC6C51">
            <w:pPr>
              <w:widowControl w:val="0"/>
              <w:spacing w:line="219" w:lineRule="auto"/>
              <w:rPr>
                <w:sz w:val="23"/>
              </w:rPr>
            </w:pPr>
            <w:r w:rsidRPr="00574BDC">
              <w:rPr>
                <w:sz w:val="23"/>
              </w:rPr>
              <w:t>Exempt Offerings</w:t>
            </w:r>
          </w:p>
        </w:tc>
        <w:tc>
          <w:tcPr>
            <w:tcW w:w="99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1F68AA3A" w14:textId="0F17EC1A" w:rsidR="007B11B7" w:rsidRPr="00574BDC" w:rsidRDefault="002B5409" w:rsidP="00AC6C51">
            <w:pPr>
              <w:widowControl w:val="0"/>
              <w:spacing w:line="219" w:lineRule="auto"/>
              <w:rPr>
                <w:sz w:val="23"/>
              </w:rPr>
            </w:pPr>
            <w:r w:rsidRPr="00574BDC">
              <w:rPr>
                <w:sz w:val="23"/>
              </w:rPr>
              <w:t>18</w:t>
            </w:r>
          </w:p>
        </w:tc>
        <w:tc>
          <w:tcPr>
            <w:tcW w:w="171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0D57439F" w14:textId="77777777" w:rsidR="007B11B7" w:rsidRPr="00574BDC" w:rsidRDefault="007B11B7" w:rsidP="00AC6C51">
            <w:pPr>
              <w:widowControl w:val="0"/>
              <w:spacing w:line="219" w:lineRule="auto"/>
              <w:rPr>
                <w:sz w:val="23"/>
              </w:rPr>
            </w:pPr>
            <w:r w:rsidRPr="00574BDC">
              <w:rPr>
                <w:sz w:val="23"/>
              </w:rPr>
              <w:t>663-674</w:t>
            </w:r>
          </w:p>
        </w:tc>
        <w:tc>
          <w:tcPr>
            <w:tcW w:w="509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67C9E85A" w14:textId="77777777" w:rsidR="007B11B7" w:rsidRPr="00574BDC" w:rsidRDefault="007B11B7" w:rsidP="00AC6C51">
            <w:pPr>
              <w:widowControl w:val="0"/>
              <w:spacing w:line="219" w:lineRule="auto"/>
              <w:rPr>
                <w:sz w:val="23"/>
              </w:rPr>
            </w:pPr>
            <w:r w:rsidRPr="00574BDC">
              <w:rPr>
                <w:sz w:val="23"/>
              </w:rPr>
              <w:t>Securities Act § 4(a)(2)</w:t>
            </w:r>
          </w:p>
        </w:tc>
      </w:tr>
      <w:tr w:rsidR="00574BDC" w:rsidRPr="00574BDC" w14:paraId="4CBDA10E" w14:textId="77777777" w:rsidTr="002B5409">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0BEB03" w14:textId="77777777" w:rsidR="007B11B7" w:rsidRPr="00574BDC" w:rsidRDefault="007B11B7" w:rsidP="00AC6C51">
            <w:pPr>
              <w:widowControl w:val="0"/>
              <w:spacing w:line="219" w:lineRule="auto"/>
              <w:rPr>
                <w:sz w:val="23"/>
              </w:rPr>
            </w:pPr>
            <w:r w:rsidRPr="00574BDC">
              <w:rPr>
                <w:sz w:val="23"/>
              </w:rPr>
              <w:t>Exempt Offerings</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43862A" w14:textId="27B09FFD" w:rsidR="007B11B7" w:rsidRPr="00574BDC" w:rsidRDefault="002B5409" w:rsidP="00AC6C51">
            <w:pPr>
              <w:widowControl w:val="0"/>
              <w:spacing w:line="219" w:lineRule="auto"/>
              <w:rPr>
                <w:sz w:val="23"/>
              </w:rPr>
            </w:pPr>
            <w:r w:rsidRPr="00574BDC">
              <w:rPr>
                <w:sz w:val="23"/>
              </w:rPr>
              <w:t>19</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7EDC50" w14:textId="420F7280" w:rsidR="007B11B7" w:rsidRPr="00574BDC" w:rsidRDefault="007B11B7" w:rsidP="00431713">
            <w:pPr>
              <w:widowControl w:val="0"/>
              <w:spacing w:line="219" w:lineRule="auto"/>
              <w:rPr>
                <w:sz w:val="23"/>
              </w:rPr>
            </w:pPr>
            <w:r w:rsidRPr="00574BDC">
              <w:rPr>
                <w:sz w:val="23"/>
              </w:rPr>
              <w:t>674-</w:t>
            </w:r>
            <w:r w:rsidR="00574BDC">
              <w:rPr>
                <w:sz w:val="23"/>
              </w:rPr>
              <w:t>6</w:t>
            </w:r>
            <w:r w:rsidRPr="00574BDC">
              <w:rPr>
                <w:sz w:val="23"/>
              </w:rPr>
              <w:t>7</w:t>
            </w:r>
            <w:r w:rsidR="00574BDC">
              <w:rPr>
                <w:sz w:val="23"/>
              </w:rPr>
              <w:t>5</w:t>
            </w:r>
            <w:r w:rsidRPr="00574BDC">
              <w:rPr>
                <w:sz w:val="23"/>
              </w:rPr>
              <w:t xml:space="preserve">; </w:t>
            </w:r>
            <w:r w:rsidR="00431713">
              <w:rPr>
                <w:sz w:val="23"/>
              </w:rPr>
              <w:t xml:space="preserve">681-688; 689; 691; 695-697; </w:t>
            </w:r>
            <w:r w:rsidRPr="00574BDC">
              <w:rPr>
                <w:sz w:val="23"/>
              </w:rPr>
              <w:t>702-705; Supp. 11-24</w:t>
            </w:r>
          </w:p>
        </w:tc>
        <w:tc>
          <w:tcPr>
            <w:tcW w:w="50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D6C7D8" w14:textId="4691B13F" w:rsidR="007B11B7" w:rsidRPr="00574BDC" w:rsidRDefault="00431713" w:rsidP="00AC6C51">
            <w:pPr>
              <w:widowControl w:val="0"/>
              <w:spacing w:line="219" w:lineRule="auto"/>
              <w:rPr>
                <w:sz w:val="23"/>
              </w:rPr>
            </w:pPr>
            <w:r>
              <w:rPr>
                <w:sz w:val="23"/>
              </w:rPr>
              <w:t xml:space="preserve"> Securities Act Rules 135c, 152, 155; Regulation D: Rules 500, 501(a), (e), (f), (h), (i), 502, 504, 506, 507, 508</w:t>
            </w:r>
          </w:p>
        </w:tc>
      </w:tr>
      <w:tr w:rsidR="00574BDC" w:rsidRPr="00574BDC" w14:paraId="2A844B00" w14:textId="77777777" w:rsidTr="002B5409">
        <w:trPr>
          <w:cantSplit/>
        </w:trPr>
        <w:tc>
          <w:tcPr>
            <w:tcW w:w="162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21D86C08" w14:textId="77777777" w:rsidR="007B11B7" w:rsidRPr="00574BDC" w:rsidRDefault="007B11B7" w:rsidP="00AC6C51">
            <w:pPr>
              <w:widowControl w:val="0"/>
              <w:spacing w:line="219" w:lineRule="auto"/>
              <w:rPr>
                <w:sz w:val="23"/>
              </w:rPr>
            </w:pPr>
            <w:r w:rsidRPr="00574BDC">
              <w:rPr>
                <w:sz w:val="23"/>
              </w:rPr>
              <w:t>Exempt Offerings</w:t>
            </w:r>
          </w:p>
        </w:tc>
        <w:tc>
          <w:tcPr>
            <w:tcW w:w="99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06B52F80" w14:textId="7C24F991" w:rsidR="007B11B7" w:rsidRPr="00574BDC" w:rsidRDefault="002B5409" w:rsidP="00AC6C51">
            <w:pPr>
              <w:widowControl w:val="0"/>
              <w:spacing w:line="219" w:lineRule="auto"/>
              <w:rPr>
                <w:sz w:val="23"/>
              </w:rPr>
            </w:pPr>
            <w:r w:rsidRPr="00574BDC">
              <w:rPr>
                <w:sz w:val="23"/>
              </w:rPr>
              <w:t>20</w:t>
            </w:r>
          </w:p>
        </w:tc>
        <w:tc>
          <w:tcPr>
            <w:tcW w:w="171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6FEBE4A4" w14:textId="77777777" w:rsidR="007B11B7" w:rsidRPr="00574BDC" w:rsidRDefault="007B11B7" w:rsidP="00AC6C51">
            <w:pPr>
              <w:widowControl w:val="0"/>
              <w:spacing w:line="219" w:lineRule="auto"/>
              <w:rPr>
                <w:sz w:val="23"/>
              </w:rPr>
            </w:pPr>
            <w:r w:rsidRPr="00574BDC">
              <w:rPr>
                <w:sz w:val="23"/>
              </w:rPr>
              <w:t>756-771; Supp. 34</w:t>
            </w:r>
          </w:p>
        </w:tc>
        <w:tc>
          <w:tcPr>
            <w:tcW w:w="509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47AF48AF" w14:textId="77777777" w:rsidR="007B11B7" w:rsidRPr="00574BDC" w:rsidRDefault="007B11B7" w:rsidP="00AC6C51">
            <w:pPr>
              <w:widowControl w:val="0"/>
              <w:spacing w:line="219" w:lineRule="auto"/>
              <w:rPr>
                <w:sz w:val="23"/>
              </w:rPr>
            </w:pPr>
            <w:r w:rsidRPr="00574BDC">
              <w:rPr>
                <w:sz w:val="23"/>
              </w:rPr>
              <w:t>Regulation S</w:t>
            </w:r>
          </w:p>
        </w:tc>
      </w:tr>
      <w:tr w:rsidR="00574BDC" w:rsidRPr="00574BDC" w14:paraId="748B2AAD" w14:textId="77777777" w:rsidTr="002B5409">
        <w:trPr>
          <w:cantSplit/>
        </w:trPr>
        <w:tc>
          <w:tcPr>
            <w:tcW w:w="162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303E0848" w14:textId="77777777" w:rsidR="007B11B7" w:rsidRPr="00574BDC" w:rsidRDefault="007B11B7" w:rsidP="00AC6C51">
            <w:pPr>
              <w:widowControl w:val="0"/>
              <w:spacing w:line="219" w:lineRule="auto"/>
              <w:rPr>
                <w:sz w:val="23"/>
              </w:rPr>
            </w:pPr>
            <w:r w:rsidRPr="00574BDC">
              <w:rPr>
                <w:sz w:val="23"/>
              </w:rPr>
              <w:t>Secondary Distributions</w:t>
            </w:r>
          </w:p>
        </w:tc>
        <w:tc>
          <w:tcPr>
            <w:tcW w:w="99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56D07E5B" w14:textId="782A1104" w:rsidR="007B11B7" w:rsidRPr="00574BDC" w:rsidRDefault="002B5409" w:rsidP="00AC6C51">
            <w:pPr>
              <w:widowControl w:val="0"/>
              <w:spacing w:line="219" w:lineRule="auto"/>
              <w:rPr>
                <w:sz w:val="23"/>
              </w:rPr>
            </w:pPr>
            <w:r w:rsidRPr="00574BDC">
              <w:rPr>
                <w:sz w:val="23"/>
              </w:rPr>
              <w:t>21</w:t>
            </w:r>
          </w:p>
        </w:tc>
        <w:tc>
          <w:tcPr>
            <w:tcW w:w="171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178C5ED9" w14:textId="77777777" w:rsidR="007B11B7" w:rsidRPr="00574BDC" w:rsidRDefault="007B11B7" w:rsidP="00AC6C51">
            <w:pPr>
              <w:widowControl w:val="0"/>
              <w:spacing w:line="219" w:lineRule="auto"/>
              <w:rPr>
                <w:sz w:val="23"/>
              </w:rPr>
            </w:pPr>
            <w:r w:rsidRPr="00574BDC">
              <w:rPr>
                <w:sz w:val="23"/>
              </w:rPr>
              <w:t>773-791</w:t>
            </w:r>
          </w:p>
        </w:tc>
        <w:tc>
          <w:tcPr>
            <w:tcW w:w="5090" w:type="dxa"/>
            <w:tcBorders>
              <w:top w:val="single" w:sz="12" w:space="0" w:color="auto"/>
              <w:left w:val="single" w:sz="8" w:space="0" w:color="000000"/>
              <w:bottom w:val="single" w:sz="8" w:space="0" w:color="000000"/>
              <w:right w:val="single" w:sz="8" w:space="0" w:color="000000"/>
            </w:tcBorders>
            <w:tcMar>
              <w:top w:w="120" w:type="dxa"/>
              <w:left w:w="120" w:type="dxa"/>
              <w:bottom w:w="58" w:type="dxa"/>
              <w:right w:w="120" w:type="dxa"/>
            </w:tcMar>
          </w:tcPr>
          <w:p w14:paraId="7F1F72FC" w14:textId="77777777" w:rsidR="007B11B7" w:rsidRPr="00574BDC" w:rsidRDefault="007B11B7" w:rsidP="00AC6C51">
            <w:pPr>
              <w:widowControl w:val="0"/>
              <w:spacing w:line="219" w:lineRule="auto"/>
              <w:rPr>
                <w:sz w:val="23"/>
              </w:rPr>
            </w:pPr>
            <w:r w:rsidRPr="00574BDC">
              <w:rPr>
                <w:sz w:val="23"/>
              </w:rPr>
              <w:t>Securities Act §§ 2(a)(3), (11), (12); 4(a)(1), (3), (4); 5</w:t>
            </w:r>
          </w:p>
        </w:tc>
      </w:tr>
      <w:tr w:rsidR="00574BDC" w:rsidRPr="00574BDC" w14:paraId="487B9788" w14:textId="77777777" w:rsidTr="002B5409">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F115E0" w14:textId="77777777" w:rsidR="007B11B7" w:rsidRPr="00574BDC" w:rsidRDefault="007B11B7" w:rsidP="00AC6C51">
            <w:pPr>
              <w:widowControl w:val="0"/>
              <w:spacing w:line="219" w:lineRule="auto"/>
              <w:rPr>
                <w:sz w:val="23"/>
              </w:rPr>
            </w:pPr>
            <w:r w:rsidRPr="00574BDC">
              <w:rPr>
                <w:sz w:val="23"/>
              </w:rPr>
              <w:t>Secondary Distributions</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0E102EC" w14:textId="280DE66B" w:rsidR="007B11B7" w:rsidRPr="00574BDC" w:rsidRDefault="002B5409" w:rsidP="00AC6C51">
            <w:pPr>
              <w:widowControl w:val="0"/>
              <w:spacing w:line="219" w:lineRule="auto"/>
              <w:rPr>
                <w:sz w:val="23"/>
              </w:rPr>
            </w:pPr>
            <w:r w:rsidRPr="00574BDC">
              <w:rPr>
                <w:sz w:val="23"/>
              </w:rPr>
              <w:t>22</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39FBB0" w14:textId="77777777" w:rsidR="007B11B7" w:rsidRPr="00574BDC" w:rsidRDefault="007B11B7" w:rsidP="00AC6C51">
            <w:pPr>
              <w:widowControl w:val="0"/>
              <w:spacing w:line="219" w:lineRule="auto"/>
              <w:rPr>
                <w:sz w:val="23"/>
              </w:rPr>
            </w:pPr>
            <w:r w:rsidRPr="00574BDC">
              <w:rPr>
                <w:sz w:val="23"/>
              </w:rPr>
              <w:t>791-803</w:t>
            </w:r>
          </w:p>
        </w:tc>
        <w:tc>
          <w:tcPr>
            <w:tcW w:w="50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79749E" w14:textId="77777777" w:rsidR="007B11B7" w:rsidRPr="00574BDC" w:rsidRDefault="007B11B7" w:rsidP="00AC6C51">
            <w:pPr>
              <w:widowControl w:val="0"/>
              <w:spacing w:line="219" w:lineRule="auto"/>
              <w:rPr>
                <w:sz w:val="23"/>
              </w:rPr>
            </w:pPr>
            <w:r w:rsidRPr="00574BDC">
              <w:rPr>
                <w:sz w:val="23"/>
              </w:rPr>
              <w:t xml:space="preserve">Securities Act §§ 2(a)(11), 4(a)(1), (2), (3), (4);  Rule 144, 405 </w:t>
            </w:r>
          </w:p>
        </w:tc>
      </w:tr>
      <w:tr w:rsidR="00574BDC" w:rsidRPr="00574BDC" w14:paraId="49018C15" w14:textId="77777777" w:rsidTr="002B5409">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7116D8" w14:textId="77777777" w:rsidR="007B11B7" w:rsidRPr="00574BDC" w:rsidRDefault="007B11B7" w:rsidP="00AC6C51">
            <w:pPr>
              <w:widowControl w:val="0"/>
              <w:spacing w:line="219" w:lineRule="auto"/>
              <w:rPr>
                <w:sz w:val="23"/>
              </w:rPr>
            </w:pPr>
            <w:r w:rsidRPr="00574BDC">
              <w:rPr>
                <w:sz w:val="23"/>
              </w:rPr>
              <w:t>Secondary Distributions</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863F86" w14:textId="17AD32E1" w:rsidR="007B11B7" w:rsidRPr="00574BDC" w:rsidRDefault="002B5409" w:rsidP="00AC6C51">
            <w:pPr>
              <w:widowControl w:val="0"/>
              <w:spacing w:line="219" w:lineRule="auto"/>
              <w:rPr>
                <w:sz w:val="23"/>
              </w:rPr>
            </w:pPr>
            <w:r w:rsidRPr="00574BDC">
              <w:rPr>
                <w:sz w:val="23"/>
              </w:rPr>
              <w:t>23</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3FD676" w14:textId="77777777" w:rsidR="007B11B7" w:rsidRPr="00574BDC" w:rsidRDefault="007B11B7" w:rsidP="00AC6C51">
            <w:pPr>
              <w:widowControl w:val="0"/>
              <w:spacing w:line="219" w:lineRule="auto"/>
              <w:rPr>
                <w:sz w:val="23"/>
              </w:rPr>
            </w:pPr>
            <w:r w:rsidRPr="00574BDC">
              <w:rPr>
                <w:sz w:val="23"/>
              </w:rPr>
              <w:t>803-811; Supp. 37</w:t>
            </w:r>
          </w:p>
        </w:tc>
        <w:tc>
          <w:tcPr>
            <w:tcW w:w="50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E136473" w14:textId="77777777" w:rsidR="007B11B7" w:rsidRPr="00574BDC" w:rsidRDefault="007B11B7" w:rsidP="00AC6C51">
            <w:pPr>
              <w:widowControl w:val="0"/>
              <w:spacing w:line="219" w:lineRule="auto"/>
              <w:rPr>
                <w:sz w:val="23"/>
              </w:rPr>
            </w:pPr>
            <w:r w:rsidRPr="00574BDC">
              <w:rPr>
                <w:sz w:val="23"/>
              </w:rPr>
              <w:t>Securities Act Rule 144A</w:t>
            </w:r>
          </w:p>
        </w:tc>
      </w:tr>
      <w:tr w:rsidR="002B5409" w:rsidRPr="00574BDC" w14:paraId="2B3B9BC0" w14:textId="77777777" w:rsidTr="002B5409">
        <w:trPr>
          <w:cantSplit/>
        </w:trPr>
        <w:tc>
          <w:tcPr>
            <w:tcW w:w="162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16F3573A" w14:textId="4475DC46" w:rsidR="002B5409" w:rsidRPr="00574BDC" w:rsidRDefault="002B5409" w:rsidP="00AC6C51">
            <w:pPr>
              <w:widowControl w:val="0"/>
              <w:spacing w:line="219" w:lineRule="auto"/>
              <w:rPr>
                <w:sz w:val="23"/>
              </w:rPr>
            </w:pPr>
            <w:r w:rsidRPr="00574BDC">
              <w:rPr>
                <w:sz w:val="23"/>
              </w:rPr>
              <w:t>Overflow &amp; Review</w:t>
            </w:r>
          </w:p>
        </w:tc>
        <w:tc>
          <w:tcPr>
            <w:tcW w:w="99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1065FA87" w14:textId="08C4556B" w:rsidR="002B5409" w:rsidRPr="00574BDC" w:rsidRDefault="002B5409" w:rsidP="00AC6C51">
            <w:pPr>
              <w:widowControl w:val="0"/>
              <w:spacing w:line="219" w:lineRule="auto"/>
              <w:rPr>
                <w:sz w:val="23"/>
              </w:rPr>
            </w:pPr>
            <w:r w:rsidRPr="00574BDC">
              <w:rPr>
                <w:sz w:val="23"/>
              </w:rPr>
              <w:t>24-25</w:t>
            </w:r>
          </w:p>
        </w:tc>
        <w:tc>
          <w:tcPr>
            <w:tcW w:w="171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3348D832" w14:textId="77777777" w:rsidR="002B5409" w:rsidRPr="00574BDC" w:rsidRDefault="002B5409" w:rsidP="00AC6C51">
            <w:pPr>
              <w:widowControl w:val="0"/>
              <w:spacing w:line="219" w:lineRule="auto"/>
              <w:rPr>
                <w:sz w:val="23"/>
              </w:rPr>
            </w:pPr>
          </w:p>
        </w:tc>
        <w:tc>
          <w:tcPr>
            <w:tcW w:w="5090" w:type="dxa"/>
            <w:tcBorders>
              <w:top w:val="single" w:sz="8" w:space="0" w:color="000000"/>
              <w:left w:val="single" w:sz="8" w:space="0" w:color="000000"/>
              <w:bottom w:val="single" w:sz="12" w:space="0" w:color="auto"/>
              <w:right w:val="single" w:sz="8" w:space="0" w:color="000000"/>
            </w:tcBorders>
            <w:tcMar>
              <w:top w:w="120" w:type="dxa"/>
              <w:left w:w="120" w:type="dxa"/>
              <w:bottom w:w="58" w:type="dxa"/>
              <w:right w:w="120" w:type="dxa"/>
            </w:tcMar>
          </w:tcPr>
          <w:p w14:paraId="0C9AD720" w14:textId="77777777" w:rsidR="002B5409" w:rsidRPr="00574BDC" w:rsidRDefault="002B5409" w:rsidP="00AC6C51">
            <w:pPr>
              <w:widowControl w:val="0"/>
              <w:spacing w:line="219" w:lineRule="auto"/>
              <w:rPr>
                <w:sz w:val="23"/>
              </w:rPr>
            </w:pPr>
          </w:p>
        </w:tc>
      </w:tr>
    </w:tbl>
    <w:p w14:paraId="2DD28BB9" w14:textId="4DB11EF8" w:rsidR="00B942A3" w:rsidRPr="00574BDC" w:rsidRDefault="00B942A3" w:rsidP="001C0EA6">
      <w:pPr>
        <w:rPr>
          <w:sz w:val="22"/>
          <w:szCs w:val="22"/>
        </w:rPr>
      </w:pPr>
    </w:p>
    <w:sectPr w:rsidR="00B942A3" w:rsidRPr="00574BDC" w:rsidSect="002B5409">
      <w:headerReference w:type="even" r:id="rId19"/>
      <w:headerReference w:type="default" r:id="rId20"/>
      <w:footerReference w:type="even" r:id="rId21"/>
      <w:footerReference w:type="default" r:id="rId22"/>
      <w:headerReference w:type="first" r:id="rId23"/>
      <w:footerReference w:type="first" r:id="rId24"/>
      <w:pgSz w:w="12240" w:h="15840"/>
      <w:pgMar w:top="1469" w:right="1260"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DD44" w14:textId="77777777" w:rsidR="003B748F" w:rsidRDefault="003B748F">
      <w:r>
        <w:separator/>
      </w:r>
    </w:p>
  </w:endnote>
  <w:endnote w:type="continuationSeparator" w:id="0">
    <w:p w14:paraId="79311DFA" w14:textId="77777777" w:rsidR="003B748F" w:rsidRDefault="003B748F">
      <w:r>
        <w:continuationSeparator/>
      </w:r>
    </w:p>
  </w:endnote>
  <w:endnote w:type="continuationNotice" w:id="1">
    <w:p w14:paraId="06C0BB09" w14:textId="77777777" w:rsidR="003B748F" w:rsidRDefault="003B7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37E1EF3D"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00431713">
      <w:rPr>
        <w:rFonts w:eastAsia="Calibri"/>
        <w:noProof/>
        <w:sz w:val="22"/>
        <w:szCs w:val="22"/>
      </w:rPr>
      <w:t>4</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C3A6" w14:textId="77777777" w:rsidR="003B748F" w:rsidRDefault="003B748F">
      <w:r>
        <w:separator/>
      </w:r>
    </w:p>
  </w:footnote>
  <w:footnote w:type="continuationSeparator" w:id="0">
    <w:p w14:paraId="646605F9" w14:textId="77777777" w:rsidR="003B748F" w:rsidRDefault="003B748F">
      <w:r>
        <w:continuationSeparator/>
      </w:r>
    </w:p>
  </w:footnote>
  <w:footnote w:type="continuationNotice" w:id="1">
    <w:p w14:paraId="5282FFCF" w14:textId="77777777" w:rsidR="003B748F" w:rsidRDefault="003B7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7"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6860253">
    <w:abstractNumId w:val="40"/>
  </w:num>
  <w:num w:numId="2" w16cid:durableId="1455562681">
    <w:abstractNumId w:val="20"/>
  </w:num>
  <w:num w:numId="3" w16cid:durableId="15352473">
    <w:abstractNumId w:val="22"/>
  </w:num>
  <w:num w:numId="4" w16cid:durableId="1671522222">
    <w:abstractNumId w:val="33"/>
  </w:num>
  <w:num w:numId="5" w16cid:durableId="1416709912">
    <w:abstractNumId w:val="36"/>
  </w:num>
  <w:num w:numId="6" w16cid:durableId="8144657">
    <w:abstractNumId w:val="8"/>
  </w:num>
  <w:num w:numId="7" w16cid:durableId="564687903">
    <w:abstractNumId w:val="31"/>
  </w:num>
  <w:num w:numId="8" w16cid:durableId="815949004">
    <w:abstractNumId w:val="39"/>
  </w:num>
  <w:num w:numId="9" w16cid:durableId="158467042">
    <w:abstractNumId w:val="17"/>
  </w:num>
  <w:num w:numId="10" w16cid:durableId="614557892">
    <w:abstractNumId w:val="30"/>
  </w:num>
  <w:num w:numId="11" w16cid:durableId="742601816">
    <w:abstractNumId w:val="12"/>
  </w:num>
  <w:num w:numId="12" w16cid:durableId="1334410442">
    <w:abstractNumId w:val="11"/>
  </w:num>
  <w:num w:numId="13" w16cid:durableId="1063941225">
    <w:abstractNumId w:val="27"/>
  </w:num>
  <w:num w:numId="14" w16cid:durableId="18627105">
    <w:abstractNumId w:val="25"/>
  </w:num>
  <w:num w:numId="15" w16cid:durableId="1253860241">
    <w:abstractNumId w:val="23"/>
  </w:num>
  <w:num w:numId="16" w16cid:durableId="431125351">
    <w:abstractNumId w:val="34"/>
  </w:num>
  <w:num w:numId="17" w16cid:durableId="704793724">
    <w:abstractNumId w:val="0"/>
  </w:num>
  <w:num w:numId="18" w16cid:durableId="1981838868">
    <w:abstractNumId w:val="21"/>
  </w:num>
  <w:num w:numId="19" w16cid:durableId="1463424044">
    <w:abstractNumId w:val="18"/>
  </w:num>
  <w:num w:numId="20" w16cid:durableId="344869574">
    <w:abstractNumId w:val="2"/>
  </w:num>
  <w:num w:numId="21" w16cid:durableId="311569560">
    <w:abstractNumId w:val="38"/>
  </w:num>
  <w:num w:numId="22" w16cid:durableId="1267081559">
    <w:abstractNumId w:val="19"/>
  </w:num>
  <w:num w:numId="23" w16cid:durableId="93206467">
    <w:abstractNumId w:val="37"/>
  </w:num>
  <w:num w:numId="24" w16cid:durableId="1914661855">
    <w:abstractNumId w:val="13"/>
  </w:num>
  <w:num w:numId="25" w16cid:durableId="576328579">
    <w:abstractNumId w:val="35"/>
  </w:num>
  <w:num w:numId="26" w16cid:durableId="1005716296">
    <w:abstractNumId w:val="28"/>
  </w:num>
  <w:num w:numId="27" w16cid:durableId="1558708269">
    <w:abstractNumId w:val="4"/>
  </w:num>
  <w:num w:numId="28" w16cid:durableId="205218426">
    <w:abstractNumId w:val="6"/>
  </w:num>
  <w:num w:numId="29" w16cid:durableId="1813911331">
    <w:abstractNumId w:val="9"/>
  </w:num>
  <w:num w:numId="30" w16cid:durableId="558052538">
    <w:abstractNumId w:val="26"/>
  </w:num>
  <w:num w:numId="31" w16cid:durableId="1328047705">
    <w:abstractNumId w:val="15"/>
  </w:num>
  <w:num w:numId="32" w16cid:durableId="1420954070">
    <w:abstractNumId w:val="5"/>
  </w:num>
  <w:num w:numId="33" w16cid:durableId="261646424">
    <w:abstractNumId w:val="16"/>
  </w:num>
  <w:num w:numId="34" w16cid:durableId="1821194233">
    <w:abstractNumId w:val="1"/>
  </w:num>
  <w:num w:numId="35" w16cid:durableId="2020811773">
    <w:abstractNumId w:val="32"/>
  </w:num>
  <w:num w:numId="36" w16cid:durableId="612977425">
    <w:abstractNumId w:val="7"/>
  </w:num>
  <w:num w:numId="37" w16cid:durableId="973406427">
    <w:abstractNumId w:val="29"/>
  </w:num>
  <w:num w:numId="38" w16cid:durableId="200634286">
    <w:abstractNumId w:val="24"/>
  </w:num>
  <w:num w:numId="39" w16cid:durableId="1346709423">
    <w:abstractNumId w:val="10"/>
  </w:num>
  <w:num w:numId="40" w16cid:durableId="2021202656">
    <w:abstractNumId w:val="3"/>
  </w:num>
  <w:num w:numId="41" w16cid:durableId="393086978">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39DC"/>
    <w:rsid w:val="00015FB7"/>
    <w:rsid w:val="00017585"/>
    <w:rsid w:val="000223B5"/>
    <w:rsid w:val="000258F9"/>
    <w:rsid w:val="00040457"/>
    <w:rsid w:val="00040B0A"/>
    <w:rsid w:val="000463EC"/>
    <w:rsid w:val="00054F25"/>
    <w:rsid w:val="000613F1"/>
    <w:rsid w:val="00062264"/>
    <w:rsid w:val="0006289B"/>
    <w:rsid w:val="00063D2F"/>
    <w:rsid w:val="000671F6"/>
    <w:rsid w:val="000729C8"/>
    <w:rsid w:val="00073671"/>
    <w:rsid w:val="00080707"/>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C7571"/>
    <w:rsid w:val="000D1562"/>
    <w:rsid w:val="000D58D9"/>
    <w:rsid w:val="000D6AE5"/>
    <w:rsid w:val="000E014F"/>
    <w:rsid w:val="000E03D1"/>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066"/>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37589"/>
    <w:rsid w:val="00241107"/>
    <w:rsid w:val="00242088"/>
    <w:rsid w:val="00245B76"/>
    <w:rsid w:val="002466BE"/>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B5409"/>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469E"/>
    <w:rsid w:val="00316431"/>
    <w:rsid w:val="00317E71"/>
    <w:rsid w:val="00325E3B"/>
    <w:rsid w:val="003263DA"/>
    <w:rsid w:val="00327217"/>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B748F"/>
    <w:rsid w:val="003C0560"/>
    <w:rsid w:val="003D6B2F"/>
    <w:rsid w:val="003E518C"/>
    <w:rsid w:val="003F1D05"/>
    <w:rsid w:val="003F5250"/>
    <w:rsid w:val="003F59C1"/>
    <w:rsid w:val="003F5E61"/>
    <w:rsid w:val="00406487"/>
    <w:rsid w:val="0040771A"/>
    <w:rsid w:val="00414D6D"/>
    <w:rsid w:val="00415418"/>
    <w:rsid w:val="00415F59"/>
    <w:rsid w:val="00417215"/>
    <w:rsid w:val="004213D5"/>
    <w:rsid w:val="004221C7"/>
    <w:rsid w:val="00427EBD"/>
    <w:rsid w:val="00430E8A"/>
    <w:rsid w:val="00431713"/>
    <w:rsid w:val="00444249"/>
    <w:rsid w:val="00444D51"/>
    <w:rsid w:val="0044543F"/>
    <w:rsid w:val="004632E7"/>
    <w:rsid w:val="00474096"/>
    <w:rsid w:val="00475E03"/>
    <w:rsid w:val="004850FF"/>
    <w:rsid w:val="00486D86"/>
    <w:rsid w:val="0048708A"/>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451C"/>
    <w:rsid w:val="0050584B"/>
    <w:rsid w:val="00506DD8"/>
    <w:rsid w:val="00511B22"/>
    <w:rsid w:val="005125FE"/>
    <w:rsid w:val="00512912"/>
    <w:rsid w:val="005149B9"/>
    <w:rsid w:val="00515C5C"/>
    <w:rsid w:val="00515D10"/>
    <w:rsid w:val="00516E82"/>
    <w:rsid w:val="0052043A"/>
    <w:rsid w:val="00523E74"/>
    <w:rsid w:val="00524428"/>
    <w:rsid w:val="00525F6F"/>
    <w:rsid w:val="005365A8"/>
    <w:rsid w:val="00542B95"/>
    <w:rsid w:val="005435FC"/>
    <w:rsid w:val="00543714"/>
    <w:rsid w:val="00546231"/>
    <w:rsid w:val="00546B6D"/>
    <w:rsid w:val="00552454"/>
    <w:rsid w:val="00554F4B"/>
    <w:rsid w:val="00557CE8"/>
    <w:rsid w:val="00561911"/>
    <w:rsid w:val="00562151"/>
    <w:rsid w:val="00564AC6"/>
    <w:rsid w:val="00564E25"/>
    <w:rsid w:val="00570808"/>
    <w:rsid w:val="00571440"/>
    <w:rsid w:val="00572717"/>
    <w:rsid w:val="00574BDC"/>
    <w:rsid w:val="0057605D"/>
    <w:rsid w:val="00576FD6"/>
    <w:rsid w:val="00580982"/>
    <w:rsid w:val="00584C4C"/>
    <w:rsid w:val="00586C29"/>
    <w:rsid w:val="005961A5"/>
    <w:rsid w:val="005A60C8"/>
    <w:rsid w:val="005B79B1"/>
    <w:rsid w:val="005C273F"/>
    <w:rsid w:val="005C33D5"/>
    <w:rsid w:val="005D5C30"/>
    <w:rsid w:val="005E067E"/>
    <w:rsid w:val="005E1F1F"/>
    <w:rsid w:val="005E21A6"/>
    <w:rsid w:val="005E27F2"/>
    <w:rsid w:val="005E2F90"/>
    <w:rsid w:val="00603815"/>
    <w:rsid w:val="006076D5"/>
    <w:rsid w:val="00607D68"/>
    <w:rsid w:val="0061239E"/>
    <w:rsid w:val="00615540"/>
    <w:rsid w:val="00622DD3"/>
    <w:rsid w:val="006314BA"/>
    <w:rsid w:val="00634C31"/>
    <w:rsid w:val="006355D6"/>
    <w:rsid w:val="00636677"/>
    <w:rsid w:val="006372C4"/>
    <w:rsid w:val="006468B2"/>
    <w:rsid w:val="006555BF"/>
    <w:rsid w:val="0066150A"/>
    <w:rsid w:val="0069293F"/>
    <w:rsid w:val="0069536D"/>
    <w:rsid w:val="006959B5"/>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6F77EE"/>
    <w:rsid w:val="007013B9"/>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11B7"/>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6CFC"/>
    <w:rsid w:val="008A6D94"/>
    <w:rsid w:val="008B2603"/>
    <w:rsid w:val="008B4053"/>
    <w:rsid w:val="008B5EA8"/>
    <w:rsid w:val="008C073E"/>
    <w:rsid w:val="008C6D77"/>
    <w:rsid w:val="008D77A5"/>
    <w:rsid w:val="008E2FEE"/>
    <w:rsid w:val="008E3B19"/>
    <w:rsid w:val="008E6DB7"/>
    <w:rsid w:val="008E766E"/>
    <w:rsid w:val="008F01F5"/>
    <w:rsid w:val="008F32E4"/>
    <w:rsid w:val="008F387F"/>
    <w:rsid w:val="008F3FBC"/>
    <w:rsid w:val="00903AF8"/>
    <w:rsid w:val="009067CE"/>
    <w:rsid w:val="00913EBF"/>
    <w:rsid w:val="00915234"/>
    <w:rsid w:val="00920696"/>
    <w:rsid w:val="0092217C"/>
    <w:rsid w:val="009264ED"/>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9F4DAE"/>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4D51"/>
    <w:rsid w:val="00BE58A2"/>
    <w:rsid w:val="00C031B8"/>
    <w:rsid w:val="00C05ACC"/>
    <w:rsid w:val="00C12C9B"/>
    <w:rsid w:val="00C140AB"/>
    <w:rsid w:val="00C15068"/>
    <w:rsid w:val="00C2238A"/>
    <w:rsid w:val="00C24F37"/>
    <w:rsid w:val="00C2715A"/>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C7045"/>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567E1"/>
    <w:rsid w:val="00E7112A"/>
    <w:rsid w:val="00E75A3D"/>
    <w:rsid w:val="00E77E91"/>
    <w:rsid w:val="00E83044"/>
    <w:rsid w:val="00E83693"/>
    <w:rsid w:val="00E92E80"/>
    <w:rsid w:val="00EA15FD"/>
    <w:rsid w:val="00EB44BB"/>
    <w:rsid w:val="00EC1D7A"/>
    <w:rsid w:val="00EC230A"/>
    <w:rsid w:val="00EC428F"/>
    <w:rsid w:val="00EC73C6"/>
    <w:rsid w:val="00ED3C56"/>
    <w:rsid w:val="00ED5A2B"/>
    <w:rsid w:val="00EE6B7E"/>
    <w:rsid w:val="00EF3EE1"/>
    <w:rsid w:val="00EF5824"/>
    <w:rsid w:val="00F01119"/>
    <w:rsid w:val="00F11A7C"/>
    <w:rsid w:val="00F1627B"/>
    <w:rsid w:val="00F26E54"/>
    <w:rsid w:val="00F306A4"/>
    <w:rsid w:val="00F30EE1"/>
    <w:rsid w:val="00F335E2"/>
    <w:rsid w:val="00F50F9F"/>
    <w:rsid w:val="00F64A28"/>
    <w:rsid w:val="00F747F2"/>
    <w:rsid w:val="00F84457"/>
    <w:rsid w:val="00F91C4B"/>
    <w:rsid w:val="00F92D91"/>
    <w:rsid w:val="00F96CFA"/>
    <w:rsid w:val="00FB0EA9"/>
    <w:rsid w:val="00FB569D"/>
    <w:rsid w:val="00FC0BBC"/>
    <w:rsid w:val="00FC1A71"/>
    <w:rsid w:val="00FC2736"/>
    <w:rsid w:val="00FC458B"/>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customStyle="1" w:styleId="UnresolvedMention2">
    <w:name w:val="Unresolved Mention2"/>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paragraph" w:styleId="PlainText">
    <w:name w:val="Plain Text"/>
    <w:basedOn w:val="Normal"/>
    <w:link w:val="PlainTextChar"/>
    <w:uiPriority w:val="99"/>
    <w:semiHidden/>
    <w:unhideWhenUsed/>
    <w:rsid w:val="000139DC"/>
    <w:rPr>
      <w:rFonts w:eastAsiaTheme="minorHAnsi" w:cstheme="minorBidi"/>
      <w:sz w:val="22"/>
      <w:szCs w:val="21"/>
    </w:rPr>
  </w:style>
  <w:style w:type="character" w:customStyle="1" w:styleId="PlainTextChar">
    <w:name w:val="Plain Text Char"/>
    <w:basedOn w:val="DefaultParagraphFont"/>
    <w:link w:val="PlainText"/>
    <w:uiPriority w:val="99"/>
    <w:semiHidden/>
    <w:rsid w:val="000139DC"/>
    <w:rPr>
      <w:rFonts w:ascii="Times New Roman" w:eastAsiaTheme="minorHAnsi" w:hAnsi="Times New Roman"/>
      <w:szCs w:val="21"/>
    </w:rPr>
  </w:style>
  <w:style w:type="character" w:styleId="UnresolvedMention">
    <w:name w:val="Unresolved Mention"/>
    <w:basedOn w:val="DefaultParagraphFont"/>
    <w:uiPriority w:val="99"/>
    <w:semiHidden/>
    <w:unhideWhenUsed/>
    <w:rsid w:val="00013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393457615">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tchard@law.ufl.edu" TargetMode="External"/><Relationship Id="rId13" Type="http://schemas.openxmlformats.org/officeDocument/2006/relationships/hyperlink" Target="https://catalog.ufl.edu/ugrad/1617/regulations/info/attendance.aspx" TargetMode="External"/><Relationship Id="rId18" Type="http://schemas.openxmlformats.org/officeDocument/2006/relationships/hyperlink" Target="https://gatorevals.aa.ufl.edu/public-resul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ufl.bluera.com/uf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additional-information/honor-code-and-committee/honor-cod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fl.instructure.com/courses/427635" TargetMode="External"/><Relationship Id="rId23" Type="http://schemas.openxmlformats.org/officeDocument/2006/relationships/header" Target="header3.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plaw@umich.edu" TargetMode="External"/><Relationship Id="rId14" Type="http://schemas.openxmlformats.org/officeDocument/2006/relationships/hyperlink" Target="http://www.law.ufl.edu/student-affairs/current-students/forms-applications/exam-delays-accommodations-for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94F3F-AD13-42A3-BDA8-58802815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1502</Words>
  <Characters>8562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2021-08-16T20:43:00Z</cp:lastPrinted>
  <dcterms:created xsi:type="dcterms:W3CDTF">2023-01-05T21:01:00Z</dcterms:created>
  <dcterms:modified xsi:type="dcterms:W3CDTF">2023-01-05T21:01:00Z</dcterms:modified>
</cp:coreProperties>
</file>