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93" w:rsidRDefault="00AA1E93" w:rsidP="008B1084">
      <w:pPr>
        <w:ind w:firstLine="0"/>
        <w:jc w:val="center"/>
        <w:rPr>
          <w:b/>
        </w:rPr>
      </w:pPr>
      <w:r>
        <w:rPr>
          <w:b/>
        </w:rPr>
        <w:t>Professional Responsibility</w:t>
      </w:r>
      <w:r w:rsidRPr="00AA1E93">
        <w:rPr>
          <w:b/>
        </w:rPr>
        <w:t xml:space="preserve">, </w:t>
      </w:r>
      <w:proofErr w:type="gramStart"/>
      <w:r w:rsidR="006645FE">
        <w:rPr>
          <w:b/>
        </w:rPr>
        <w:t>Fall</w:t>
      </w:r>
      <w:proofErr w:type="gramEnd"/>
      <w:r w:rsidRPr="00AA1E93">
        <w:rPr>
          <w:b/>
        </w:rPr>
        <w:t xml:space="preserve"> 20</w:t>
      </w:r>
      <w:r w:rsidR="006A797E">
        <w:rPr>
          <w:b/>
        </w:rPr>
        <w:t>20</w:t>
      </w:r>
    </w:p>
    <w:p w:rsidR="005B4E70" w:rsidRDefault="005B4E70" w:rsidP="008B1084">
      <w:pPr>
        <w:ind w:firstLine="0"/>
        <w:jc w:val="center"/>
        <w:rPr>
          <w:b/>
        </w:rPr>
      </w:pPr>
      <w:r>
        <w:rPr>
          <w:b/>
        </w:rPr>
        <w:t>Law 6750</w:t>
      </w:r>
    </w:p>
    <w:p w:rsidR="005B4E70" w:rsidRPr="00AA1E93" w:rsidRDefault="005B4E70" w:rsidP="008B1084">
      <w:pPr>
        <w:ind w:firstLine="0"/>
        <w:jc w:val="center"/>
        <w:rPr>
          <w:b/>
        </w:rPr>
      </w:pPr>
      <w:r>
        <w:rPr>
          <w:b/>
        </w:rPr>
        <w:t>3</w:t>
      </w:r>
      <w:r w:rsidRPr="00AA1E93">
        <w:rPr>
          <w:b/>
        </w:rPr>
        <w:t xml:space="preserve"> Credits</w:t>
      </w:r>
    </w:p>
    <w:p w:rsidR="00AA1E93" w:rsidRDefault="00AA1E93" w:rsidP="00AA1E93">
      <w:pPr>
        <w:ind w:firstLine="0"/>
      </w:pPr>
    </w:p>
    <w:p w:rsidR="00F347F1" w:rsidRDefault="00F347F1" w:rsidP="00AA1E93">
      <w:pPr>
        <w:ind w:firstLine="0"/>
      </w:pPr>
    </w:p>
    <w:p w:rsidR="00F347F1" w:rsidRDefault="00F347F1" w:rsidP="00AA1E93">
      <w:pPr>
        <w:ind w:firstLine="0"/>
        <w:rPr>
          <w:b/>
          <w:u w:val="single"/>
        </w:rPr>
      </w:pPr>
      <w:r>
        <w:rPr>
          <w:b/>
          <w:u w:val="single"/>
        </w:rPr>
        <w:t>Professor Information:</w:t>
      </w:r>
    </w:p>
    <w:p w:rsidR="00F347F1" w:rsidRDefault="00F347F1" w:rsidP="00AA1E93">
      <w:pPr>
        <w:ind w:firstLine="0"/>
      </w:pPr>
      <w:r>
        <w:t xml:space="preserve">Professor Patricia </w:t>
      </w:r>
      <w:proofErr w:type="spellStart"/>
      <w:r>
        <w:t>Propheter</w:t>
      </w:r>
      <w:proofErr w:type="spellEnd"/>
    </w:p>
    <w:p w:rsidR="00F347F1" w:rsidRDefault="00F347F1" w:rsidP="00AA1E93">
      <w:pPr>
        <w:ind w:firstLine="0"/>
      </w:pPr>
      <w:r>
        <w:t>Phone:  561-248-6845</w:t>
      </w:r>
    </w:p>
    <w:p w:rsidR="00F347F1" w:rsidRPr="00F347F1" w:rsidRDefault="00F347F1" w:rsidP="00AA1E93">
      <w:pPr>
        <w:ind w:firstLine="0"/>
      </w:pPr>
      <w:r>
        <w:t>Email:  propheter@bellsouth.net</w:t>
      </w:r>
    </w:p>
    <w:p w:rsidR="002D1160" w:rsidRDefault="002D1160" w:rsidP="002D1160">
      <w:pPr>
        <w:ind w:firstLine="0"/>
        <w:rPr>
          <w:b/>
          <w:u w:val="single"/>
        </w:rPr>
      </w:pPr>
    </w:p>
    <w:p w:rsidR="00F347F1" w:rsidRPr="002D1160" w:rsidRDefault="002D1160" w:rsidP="002D1160">
      <w:pPr>
        <w:ind w:firstLine="0"/>
      </w:pPr>
      <w:r w:rsidRPr="002D1160">
        <w:t>Office Hours</w:t>
      </w:r>
      <w:r>
        <w:t>-</w:t>
      </w:r>
      <w:r w:rsidRPr="002D1160">
        <w:t xml:space="preserve">office hours will be conducted virtually via Zoom.  Set hours will be announced at our first class meeting and can be made by appointment as well.  </w:t>
      </w:r>
    </w:p>
    <w:p w:rsidR="002D1160" w:rsidRDefault="002D1160" w:rsidP="00AA1E93">
      <w:pPr>
        <w:ind w:firstLine="0"/>
        <w:rPr>
          <w:b/>
          <w:u w:val="single"/>
        </w:rPr>
      </w:pPr>
    </w:p>
    <w:p w:rsidR="00945457" w:rsidRPr="00945457" w:rsidRDefault="008B1084" w:rsidP="00AA1E93">
      <w:pPr>
        <w:ind w:firstLine="0"/>
        <w:rPr>
          <w:b/>
          <w:u w:val="single"/>
        </w:rPr>
      </w:pPr>
      <w:r>
        <w:rPr>
          <w:b/>
          <w:u w:val="single"/>
        </w:rPr>
        <w:t>Course Description</w:t>
      </w:r>
    </w:p>
    <w:p w:rsidR="00203328" w:rsidRDefault="00203328" w:rsidP="00203328">
      <w:pPr>
        <w:ind w:firstLine="0"/>
      </w:pPr>
      <w:r w:rsidRPr="003918C1">
        <w:t>Th</w:t>
      </w:r>
      <w:r>
        <w:t>is</w:t>
      </w:r>
      <w:r w:rsidRPr="003918C1">
        <w:t xml:space="preserve"> course will give you an overview of the law governing lawyers and allow you to explore the ethical problems lawyers encounter in practice.  The course also considers the various professional roles lawyers assume and the moral quandaries they face.  The primary focus of the course will be ethical problem-solving. The ultimate goal is to give students the opportunity to begin to develop an informed, personalized, ethical problem-solving methodology as part of a developing individualized professional identity.</w:t>
      </w:r>
    </w:p>
    <w:p w:rsidR="00FC4659" w:rsidRDefault="00FC4659" w:rsidP="00203328">
      <w:pPr>
        <w:ind w:firstLine="0"/>
      </w:pPr>
    </w:p>
    <w:p w:rsidR="00FC4659" w:rsidRPr="004C4B00" w:rsidRDefault="00FC4659" w:rsidP="00203328">
      <w:pPr>
        <w:ind w:firstLine="0"/>
        <w:rPr>
          <w:b/>
          <w:u w:val="single"/>
        </w:rPr>
      </w:pPr>
      <w:r w:rsidRPr="004C4B00">
        <w:rPr>
          <w:b/>
          <w:u w:val="single"/>
        </w:rPr>
        <w:t>Student Learning Outcomes</w:t>
      </w:r>
    </w:p>
    <w:p w:rsidR="00FC4659" w:rsidRDefault="00FC4659" w:rsidP="00203328">
      <w:pPr>
        <w:ind w:firstLine="0"/>
      </w:pPr>
    </w:p>
    <w:p w:rsidR="00FC4659" w:rsidRPr="00683B89" w:rsidRDefault="00FC4659" w:rsidP="00FC465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rules, commentary, statutes, and judicial opinions governing the ethical conduct of lawyers.</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the ethical, moral, and policy concerns underlying the law regulating lawyers.</w:t>
      </w:r>
    </w:p>
    <w:p w:rsidR="00FC4659" w:rsidRDefault="00FC4659" w:rsidP="00FC465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ethical issues in given fact patterns and work through their solutions using the relevant legal rules.</w:t>
      </w:r>
    </w:p>
    <w:p w:rsidR="00203328" w:rsidRDefault="00203328" w:rsidP="00AA1E93">
      <w:pPr>
        <w:ind w:firstLine="0"/>
        <w:rPr>
          <w:u w:val="single"/>
        </w:rPr>
      </w:pPr>
    </w:p>
    <w:p w:rsidR="00AA1E93" w:rsidRPr="004C4B00" w:rsidRDefault="00AA1E93" w:rsidP="00AA1E93">
      <w:pPr>
        <w:ind w:firstLine="0"/>
        <w:rPr>
          <w:b/>
          <w:u w:val="single"/>
        </w:rPr>
      </w:pPr>
      <w:r w:rsidRPr="004C4B00">
        <w:rPr>
          <w:b/>
          <w:u w:val="single"/>
        </w:rPr>
        <w:t>Required Text</w:t>
      </w:r>
    </w:p>
    <w:p w:rsidR="008B1084" w:rsidRPr="00AA1E93" w:rsidRDefault="008B1084" w:rsidP="00AA1E93">
      <w:pPr>
        <w:ind w:firstLine="0"/>
        <w:rPr>
          <w:u w:val="single"/>
        </w:rPr>
      </w:pPr>
    </w:p>
    <w:p w:rsidR="008B1084" w:rsidRDefault="008B1084" w:rsidP="00AA1E93">
      <w:pPr>
        <w:ind w:firstLine="0"/>
      </w:pPr>
      <w:r>
        <w:t xml:space="preserve">The required text for this course is </w:t>
      </w:r>
      <w:r w:rsidRPr="008B1084">
        <w:t xml:space="preserve">Jefferson, Pearce, Green, Joy, Kim, Murphy, Terry, &amp; Brown, </w:t>
      </w:r>
      <w:r w:rsidRPr="008B1084">
        <w:rPr>
          <w:u w:val="single"/>
        </w:rPr>
        <w:t>Professional Responsibility: A Contemporary Approach</w:t>
      </w:r>
      <w:r w:rsidRPr="008B1084">
        <w:t xml:space="preserve"> (4th ed. 2020) (You are required to use </w:t>
      </w:r>
      <w:r w:rsidR="004C4B00">
        <w:t>the 2020 edition</w:t>
      </w:r>
      <w:r w:rsidRPr="008B1084">
        <w:t>, as there have been substantial r</w:t>
      </w:r>
      <w:r>
        <w:t>evisions from the prior edition</w:t>
      </w:r>
      <w:r w:rsidRPr="008B1084">
        <w:t>)</w:t>
      </w:r>
      <w:r>
        <w:t xml:space="preserve">. </w:t>
      </w:r>
    </w:p>
    <w:p w:rsidR="008B1084" w:rsidRDefault="008B1084" w:rsidP="00AA1E93">
      <w:pPr>
        <w:ind w:firstLine="0"/>
      </w:pPr>
    </w:p>
    <w:p w:rsidR="002D1160" w:rsidRDefault="00AA1E93" w:rsidP="00AA1E93">
      <w:pPr>
        <w:ind w:firstLine="0"/>
      </w:pPr>
      <w:r>
        <w:t>Other materials may be assigned during the semester</w:t>
      </w:r>
      <w:r w:rsidR="004C4B00">
        <w:t xml:space="preserve"> and will be posted in the Canvas course</w:t>
      </w:r>
      <w:r>
        <w:t>.</w:t>
      </w:r>
    </w:p>
    <w:p w:rsidR="00AA1E93" w:rsidRDefault="00AA1E93" w:rsidP="00AA1E93">
      <w:pPr>
        <w:ind w:firstLine="0"/>
      </w:pPr>
      <w:r>
        <w:t xml:space="preserve"> </w:t>
      </w:r>
    </w:p>
    <w:p w:rsidR="00AA1E93" w:rsidRPr="004C4B00" w:rsidRDefault="00AA1E93" w:rsidP="00AA1E93">
      <w:pPr>
        <w:ind w:firstLine="0"/>
        <w:rPr>
          <w:b/>
          <w:u w:val="single"/>
        </w:rPr>
      </w:pPr>
      <w:r w:rsidRPr="004C4B00">
        <w:rPr>
          <w:b/>
          <w:u w:val="single"/>
        </w:rPr>
        <w:t>Classes</w:t>
      </w:r>
    </w:p>
    <w:p w:rsidR="00AA1E93" w:rsidRDefault="00AA1E93" w:rsidP="00AA1E93">
      <w:pPr>
        <w:ind w:firstLine="0"/>
      </w:pPr>
    </w:p>
    <w:p w:rsidR="004C4B00" w:rsidRDefault="00AA1E93" w:rsidP="00AA1E93">
      <w:pPr>
        <w:ind w:firstLine="0"/>
      </w:pPr>
      <w:r>
        <w:t xml:space="preserve">Classes will be held on </w:t>
      </w:r>
      <w:r w:rsidR="004C4B00" w:rsidRPr="004C4B00">
        <w:rPr>
          <w:b/>
        </w:rPr>
        <w:t>Wednesday from 10:15-11:40</w:t>
      </w:r>
      <w:r w:rsidR="004C4B00">
        <w:t xml:space="preserve"> and on </w:t>
      </w:r>
      <w:r w:rsidR="004C4B00" w:rsidRPr="004C4B00">
        <w:rPr>
          <w:b/>
        </w:rPr>
        <w:t>Thursdays from 10:4</w:t>
      </w:r>
      <w:r w:rsidR="00534760" w:rsidRPr="004C4B00">
        <w:rPr>
          <w:b/>
        </w:rPr>
        <w:t>0-</w:t>
      </w:r>
      <w:r w:rsidR="004C4B00" w:rsidRPr="004C4B00">
        <w:rPr>
          <w:b/>
        </w:rPr>
        <w:t>12:05</w:t>
      </w:r>
      <w:r>
        <w:t xml:space="preserve"> in Room </w:t>
      </w:r>
      <w:r w:rsidR="004C4B00">
        <w:t>180</w:t>
      </w:r>
      <w:r>
        <w:t xml:space="preserve">.  </w:t>
      </w:r>
      <w:r w:rsidR="004C4B00">
        <w:t>Please note the different times for each day.</w:t>
      </w:r>
    </w:p>
    <w:p w:rsidR="002D1160" w:rsidRDefault="002D1160" w:rsidP="00AA1E93">
      <w:pPr>
        <w:ind w:firstLine="0"/>
      </w:pPr>
    </w:p>
    <w:p w:rsidR="002D1160" w:rsidRDefault="002D1160" w:rsidP="002D1160">
      <w:pPr>
        <w:ind w:firstLine="0"/>
        <w:rPr>
          <w:b/>
          <w:u w:val="single"/>
        </w:rPr>
      </w:pPr>
    </w:p>
    <w:p w:rsidR="002D1160" w:rsidRPr="00460262" w:rsidRDefault="002D1160" w:rsidP="002D1160">
      <w:pPr>
        <w:ind w:firstLine="0"/>
        <w:rPr>
          <w:b/>
          <w:u w:val="single"/>
        </w:rPr>
      </w:pPr>
      <w:r w:rsidRPr="00460262">
        <w:rPr>
          <w:b/>
          <w:u w:val="single"/>
        </w:rPr>
        <w:lastRenderedPageBreak/>
        <w:t>Covid-19 Safety Protocol</w:t>
      </w:r>
    </w:p>
    <w:p w:rsidR="002D1160" w:rsidRDefault="002D1160" w:rsidP="002D1160"/>
    <w:p w:rsidR="002D1160" w:rsidRDefault="002D1160" w:rsidP="002D1160">
      <w:pPr>
        <w:ind w:firstLine="0"/>
      </w:pPr>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rsidR="002D1160" w:rsidRPr="002032E2" w:rsidRDefault="002D1160" w:rsidP="002D1160"/>
    <w:p w:rsidR="002D1160" w:rsidRPr="002032E2" w:rsidRDefault="002D1160" w:rsidP="002D1160">
      <w:pPr>
        <w:numPr>
          <w:ilvl w:val="0"/>
          <w:numId w:val="7"/>
        </w:numPr>
        <w:jc w:val="left"/>
      </w:pPr>
      <w:r w:rsidRPr="002032E2">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rsidR="002D1160" w:rsidRPr="002032E2" w:rsidRDefault="002D1160" w:rsidP="002D1160">
      <w:pPr>
        <w:numPr>
          <w:ilvl w:val="0"/>
          <w:numId w:val="7"/>
        </w:numPr>
        <w:jc w:val="left"/>
      </w:pPr>
      <w:r w:rsidRPr="002032E2">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2D1160" w:rsidRPr="002032E2" w:rsidRDefault="002D1160" w:rsidP="002D1160">
      <w:pPr>
        <w:numPr>
          <w:ilvl w:val="0"/>
          <w:numId w:val="7"/>
        </w:numPr>
        <w:jc w:val="left"/>
      </w:pPr>
      <w:r w:rsidRPr="002032E2">
        <w:t>Sanitizing supplies are available in the classroom if you wish to wipe down your desks prior to sitting down and at the end of the class.</w:t>
      </w:r>
    </w:p>
    <w:p w:rsidR="002D1160" w:rsidRPr="002032E2" w:rsidRDefault="002D1160" w:rsidP="002D1160">
      <w:pPr>
        <w:numPr>
          <w:ilvl w:val="0"/>
          <w:numId w:val="7"/>
        </w:numPr>
        <w:jc w:val="left"/>
      </w:pPr>
      <w:r w:rsidRPr="002032E2">
        <w:t xml:space="preserve">Follow your </w:t>
      </w:r>
      <w:r>
        <w:t>TA’s</w:t>
      </w:r>
      <w:r w:rsidRPr="002032E2">
        <w:t xml:space="preserve"> guidance on how to enter and exit the classroom.  Practice physical distancing to the extent possible when entering and exiting the classroom.</w:t>
      </w:r>
    </w:p>
    <w:p w:rsidR="002D1160" w:rsidRPr="002032E2" w:rsidRDefault="002D1160" w:rsidP="002D1160">
      <w:pPr>
        <w:numPr>
          <w:ilvl w:val="0"/>
          <w:numId w:val="7"/>
        </w:numPr>
        <w:jc w:val="left"/>
      </w:pPr>
      <w:r w:rsidRPr="002032E2">
        <w:t>If you are experiencing COVID-19 symptoms (</w:t>
      </w:r>
      <w:hyperlink r:id="rId7"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are able to </w:t>
      </w:r>
      <w:r>
        <w:t xml:space="preserve">return too </w:t>
      </w:r>
      <w:r w:rsidRPr="007A21D8">
        <w:t>c</w:t>
      </w:r>
      <w:r>
        <w:t>ampus</w:t>
      </w:r>
      <w:r w:rsidRPr="007A21D8">
        <w:t>. </w:t>
      </w:r>
      <w:hyperlink r:id="rId8" w:history="1">
        <w:r w:rsidRPr="007A21D8">
          <w:rPr>
            <w:rStyle w:val="Hyperlink"/>
          </w:rPr>
          <w:t>https://coronavirus.ufhealth.org/screen-test-protect/covid-19-exposure-and-symptoms-who-do-i-call-if/</w:t>
        </w:r>
      </w:hyperlink>
      <w:r>
        <w:t>.</w:t>
      </w:r>
    </w:p>
    <w:p w:rsidR="002D1160" w:rsidRPr="002032E2" w:rsidRDefault="002D1160" w:rsidP="002D1160">
      <w:pPr>
        <w:numPr>
          <w:ilvl w:val="0"/>
          <w:numId w:val="7"/>
        </w:numPr>
        <w:jc w:val="left"/>
      </w:pPr>
      <w:r w:rsidRPr="002032E2">
        <w:t>Course materials will be provided to you with an excused absence, and you will be given a reasonable amount of time to make up work.</w:t>
      </w:r>
      <w:hyperlink r:id="rId9" w:history="1">
        <w:r w:rsidRPr="002032E2">
          <w:rPr>
            <w:rStyle w:val="Hyperlink"/>
          </w:rPr>
          <w:t>https://catalog.ufl.edu/UGRD/academic-regulations/attendance-policies/</w:t>
        </w:r>
      </w:hyperlink>
      <w:r w:rsidRPr="002032E2">
        <w:t>.</w:t>
      </w:r>
    </w:p>
    <w:p w:rsidR="002D1160" w:rsidRDefault="002D1160" w:rsidP="00AA1E93">
      <w:pPr>
        <w:ind w:firstLine="0"/>
      </w:pPr>
    </w:p>
    <w:p w:rsidR="002D1160" w:rsidRPr="00AE2137" w:rsidRDefault="002D1160" w:rsidP="002D1160">
      <w:pPr>
        <w:ind w:firstLine="0"/>
        <w:rPr>
          <w:b/>
          <w:u w:val="single"/>
        </w:rPr>
      </w:pPr>
      <w:r w:rsidRPr="00AE2137">
        <w:rPr>
          <w:b/>
          <w:u w:val="single"/>
        </w:rPr>
        <w:t>Class Preparation, Participation, and Attendance</w:t>
      </w:r>
    </w:p>
    <w:p w:rsidR="002D1160" w:rsidRDefault="002D1160" w:rsidP="002D1160">
      <w:pPr>
        <w:ind w:firstLine="0"/>
      </w:pPr>
    </w:p>
    <w:p w:rsidR="002D1160" w:rsidRDefault="002D1160" w:rsidP="002D1160">
      <w:pPr>
        <w:ind w:firstLine="0"/>
      </w:pPr>
      <w:r w:rsidRPr="00826705">
        <w:rPr>
          <w:b/>
        </w:rPr>
        <w:t>Participation</w:t>
      </w:r>
      <w:r>
        <w:rPr>
          <w:b/>
        </w:rPr>
        <w:t xml:space="preserve"> and Preparation</w:t>
      </w:r>
      <w:r w:rsidRPr="00826705">
        <w:rPr>
          <w:b/>
        </w:rPr>
        <w:t>:</w:t>
      </w:r>
      <w:r>
        <w:t xml:space="preserve">  Class participation counts for 10% of your final grade.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2D1160" w:rsidRDefault="002D1160" w:rsidP="002D1160">
      <w:pPr>
        <w:ind w:firstLine="0"/>
      </w:pPr>
    </w:p>
    <w:p w:rsidR="002D1160" w:rsidRDefault="002D1160" w:rsidP="002D1160">
      <w:pPr>
        <w:ind w:firstLine="0"/>
      </w:pPr>
      <w:r w:rsidRPr="00826705">
        <w:rPr>
          <w:b/>
        </w:rPr>
        <w:t>Attendance:</w:t>
      </w:r>
      <w:r>
        <w:t xml:space="preserve">  </w:t>
      </w:r>
    </w:p>
    <w:p w:rsidR="002D1160" w:rsidRDefault="002D1160" w:rsidP="002D1160">
      <w:pPr>
        <w:ind w:firstLine="0"/>
      </w:pPr>
      <w:r w:rsidRPr="007F76F1">
        <w:rPr>
          <w:b/>
        </w:rPr>
        <w:t>In person</w:t>
      </w:r>
      <w:r>
        <w:rPr>
          <w:b/>
        </w:rPr>
        <w:t xml:space="preserve"> attendance</w:t>
      </w:r>
      <w:r>
        <w:t>-Students are expected to attend class, to be prepared, and to participate in class discussions.  It is your responsibility to locate and initial the sign-in sheet for each class session or follow the direction of the TAs assisting with attendance.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2D1160" w:rsidRDefault="002D1160" w:rsidP="002D1160">
      <w:pPr>
        <w:ind w:firstLine="0"/>
      </w:pPr>
    </w:p>
    <w:p w:rsidR="002D1160" w:rsidRDefault="002D1160" w:rsidP="002D1160">
      <w:pPr>
        <w:ind w:firstLine="0"/>
      </w:pPr>
      <w:r w:rsidRPr="007F76F1">
        <w:rPr>
          <w:b/>
        </w:rPr>
        <w:t>Remote</w:t>
      </w:r>
      <w:r>
        <w:rPr>
          <w:b/>
        </w:rPr>
        <w:t xml:space="preserve"> attendance</w:t>
      </w:r>
      <w:r>
        <w:t>-S</w:t>
      </w:r>
      <w:r w:rsidRPr="00AE2137">
        <w:t xml:space="preserve">tudents participating remotely </w:t>
      </w:r>
      <w:r>
        <w:t xml:space="preserve">must have their webcam/video on </w:t>
      </w:r>
      <w:r w:rsidRPr="00AE2137">
        <w:t xml:space="preserve">in order to be counted as in attendance, and </w:t>
      </w:r>
      <w:r>
        <w:t xml:space="preserve">are expected </w:t>
      </w:r>
      <w:r w:rsidRPr="00AE2137">
        <w:t xml:space="preserve">to be prepared to participate in class discussion on the same terms as students in the classroom. </w:t>
      </w:r>
    </w:p>
    <w:p w:rsidR="002D1160" w:rsidRDefault="002D1160" w:rsidP="002D1160">
      <w:pPr>
        <w:ind w:firstLine="0"/>
      </w:pPr>
    </w:p>
    <w:p w:rsidR="002D1160" w:rsidRDefault="002D1160" w:rsidP="002D1160">
      <w:pPr>
        <w:ind w:firstLine="0"/>
      </w:pPr>
      <w:r>
        <w:t>Pursuant to ABA guidelines, students who have four (4) or more absences will be barred from taking the final exam and will automatically fail this course.  Two or three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2D1160" w:rsidRDefault="002D1160" w:rsidP="002D1160">
      <w:pPr>
        <w:ind w:firstLine="0"/>
      </w:pPr>
    </w:p>
    <w:p w:rsidR="002D1160" w:rsidRDefault="002D1160" w:rsidP="002D1160">
      <w:pPr>
        <w:ind w:firstLine="0"/>
        <w:rPr>
          <w:b/>
          <w:u w:val="single"/>
        </w:rPr>
      </w:pPr>
      <w:r w:rsidRPr="007F76F1">
        <w:rPr>
          <w:b/>
          <w:u w:val="single"/>
        </w:rPr>
        <w:t>Electronics in the Classroom</w:t>
      </w:r>
    </w:p>
    <w:p w:rsidR="002D1160" w:rsidRPr="007F76F1" w:rsidRDefault="002D1160" w:rsidP="002D1160">
      <w:pPr>
        <w:ind w:firstLine="0"/>
        <w:rPr>
          <w:b/>
          <w:u w:val="single"/>
        </w:rPr>
      </w:pPr>
    </w:p>
    <w:p w:rsidR="002D1160" w:rsidRPr="00AE2137" w:rsidRDefault="002D1160" w:rsidP="002D1160">
      <w:pPr>
        <w:ind w:firstLine="0"/>
      </w:pPr>
      <w:r w:rsidRPr="00826705">
        <w:rPr>
          <w:b/>
        </w:rPr>
        <w:t xml:space="preserve">Prohibition on Student Recording and Photography and Social Media Posting: </w:t>
      </w:r>
      <w:r w:rsidRPr="00AE2137">
        <w:t xml:space="preserve"> 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rsidR="002D1160" w:rsidRPr="00AE2137" w:rsidRDefault="002D1160" w:rsidP="002D1160">
      <w:pPr>
        <w:ind w:firstLine="0"/>
      </w:pPr>
    </w:p>
    <w:p w:rsidR="002D1160" w:rsidRDefault="002D1160" w:rsidP="002D1160">
      <w:pPr>
        <w:ind w:firstLine="0"/>
      </w:pPr>
      <w:r w:rsidRPr="007F76F1">
        <w:rPr>
          <w:b/>
        </w:rPr>
        <w:t>Cell Phones</w:t>
      </w:r>
      <w:r>
        <w:rPr>
          <w:b/>
        </w:rPr>
        <w:t>:</w:t>
      </w:r>
      <w:r>
        <w:t xml:space="preserve"> Cell phones should not be used during class, and ringers should be silenced.</w:t>
      </w:r>
    </w:p>
    <w:p w:rsidR="002D1160" w:rsidRDefault="002D1160" w:rsidP="002D1160">
      <w:pPr>
        <w:ind w:firstLine="0"/>
      </w:pPr>
    </w:p>
    <w:p w:rsidR="002D1160" w:rsidRDefault="002D1160" w:rsidP="002D1160">
      <w:pPr>
        <w:ind w:firstLine="0"/>
      </w:pPr>
      <w:r w:rsidRPr="007F76F1">
        <w:rPr>
          <w:b/>
        </w:rPr>
        <w:t>Laptops:</w:t>
      </w:r>
      <w:r w:rsidRPr="007F76F1">
        <w:t xml:space="preserve"> </w:t>
      </w:r>
      <w:r>
        <w:t>You may use a laptop to take notes, prepare your outline, access Canvas or other online programs when directed and take exams.  Please do not surf the web, send emails or IMs, or engage in social media sites during class.  Such conduct is unprofessional, and shows a lack of respect for your classmates and me.  Such conduct may result in a grade reduction as discussed in the “class participation” section, above.</w:t>
      </w:r>
    </w:p>
    <w:p w:rsidR="00C3551E" w:rsidRDefault="00C3551E" w:rsidP="00AA1E93">
      <w:pPr>
        <w:ind w:firstLine="0"/>
      </w:pPr>
    </w:p>
    <w:p w:rsidR="00AA1E93" w:rsidRPr="00F347F1" w:rsidRDefault="00AA1E93" w:rsidP="00AA1E93">
      <w:pPr>
        <w:ind w:firstLine="0"/>
        <w:rPr>
          <w:b/>
          <w:u w:val="single"/>
        </w:rPr>
      </w:pPr>
      <w:r w:rsidRPr="00F347F1">
        <w:rPr>
          <w:b/>
          <w:u w:val="single"/>
        </w:rPr>
        <w:t xml:space="preserve">Grading </w:t>
      </w:r>
    </w:p>
    <w:p w:rsidR="00C3551E" w:rsidRDefault="00C3551E" w:rsidP="00AA1E93">
      <w:pPr>
        <w:ind w:firstLine="0"/>
      </w:pPr>
    </w:p>
    <w:p w:rsidR="00826705" w:rsidRDefault="00826705" w:rsidP="00AA1E93">
      <w:pPr>
        <w:ind w:firstLine="0"/>
      </w:pPr>
      <w:r>
        <w:t>Final Exam</w:t>
      </w:r>
      <w:r>
        <w:tab/>
        <w:t>90%</w:t>
      </w:r>
    </w:p>
    <w:p w:rsidR="00826705" w:rsidRDefault="00826705" w:rsidP="00AA1E93">
      <w:pPr>
        <w:ind w:firstLine="0"/>
      </w:pPr>
      <w:r>
        <w:t>Class Participation 10%</w:t>
      </w:r>
    </w:p>
    <w:p w:rsidR="001E66A7" w:rsidRDefault="001E66A7" w:rsidP="00AA1E93">
      <w:pPr>
        <w:ind w:firstLine="0"/>
      </w:pPr>
    </w:p>
    <w:p w:rsidR="00AA1E93" w:rsidRPr="005B4E70" w:rsidRDefault="00AA1E93" w:rsidP="00AA1E93">
      <w:pPr>
        <w:ind w:firstLine="0"/>
        <w:rPr>
          <w:u w:val="single"/>
        </w:rPr>
      </w:pPr>
      <w:r>
        <w:t xml:space="preserve">After course grades have been posted, if you wish to review your exam I will make your exam available along with a model answer.  If you wish to speak to me after you have reviewed your exam, you may do so </w:t>
      </w:r>
      <w:r w:rsidR="00826705">
        <w:t>by appointment</w:t>
      </w:r>
      <w:r>
        <w:t xml:space="preserve">.  For further information on the University’s grading policies and calculation of grade points please see </w:t>
      </w:r>
      <w:r w:rsidRPr="005B4E70">
        <w:rPr>
          <w:u w:val="single"/>
        </w:rPr>
        <w:t xml:space="preserve">Policy related to Make-up exams or other work </w:t>
      </w:r>
    </w:p>
    <w:p w:rsidR="005B4E70" w:rsidRDefault="005B4E70" w:rsidP="00AA1E93">
      <w:pPr>
        <w:ind w:firstLine="0"/>
      </w:pPr>
    </w:p>
    <w:p w:rsidR="00AA1E93" w:rsidRDefault="00AA1E93" w:rsidP="007F76F1">
      <w:pPr>
        <w:ind w:firstLine="0"/>
      </w:pPr>
      <w:r>
        <w:t xml:space="preserve">The law school policy on delay in taking exams can be found at: http://www.law.ufl.edu/students/policies.shtml#12. </w:t>
      </w:r>
    </w:p>
    <w:p w:rsidR="005B4E70" w:rsidRDefault="005B4E70" w:rsidP="00AA1E93">
      <w:pPr>
        <w:ind w:firstLine="0"/>
      </w:pPr>
    </w:p>
    <w:p w:rsidR="00AA1E93" w:rsidRPr="00F347F1" w:rsidRDefault="00AA1E93" w:rsidP="00AA1E93">
      <w:pPr>
        <w:ind w:firstLine="0"/>
        <w:rPr>
          <w:b/>
          <w:u w:val="single"/>
        </w:rPr>
      </w:pPr>
      <w:r w:rsidRPr="00F347F1">
        <w:rPr>
          <w:b/>
          <w:u w:val="single"/>
        </w:rPr>
        <w:t>Statement related to accommodations for students with disabilities</w:t>
      </w:r>
    </w:p>
    <w:p w:rsidR="00AA1E93" w:rsidRDefault="00AA1E93" w:rsidP="00AA1E93">
      <w:pPr>
        <w:ind w:firstLine="0"/>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1E66A7" w:rsidRDefault="001E66A7" w:rsidP="00AA1E93">
      <w:pPr>
        <w:ind w:firstLine="0"/>
      </w:pPr>
      <w:bookmarkStart w:id="0" w:name="_GoBack"/>
      <w:bookmarkEnd w:id="0"/>
      <w:r w:rsidRPr="00826705">
        <w:rPr>
          <w:b/>
          <w:u w:val="single"/>
        </w:rPr>
        <w:lastRenderedPageBreak/>
        <w:t>University Policy on Academic Misconduct:</w:t>
      </w:r>
      <w:r w:rsidRPr="004E39D7">
        <w:t xml:space="preserve">  Academic honesty and integrity are fundamental values of the University community. Students should be sure that they understand the UF Student Honor Code at http://www.dso.ufl.edu/students.php.</w:t>
      </w:r>
    </w:p>
    <w:p w:rsidR="00AA1E93" w:rsidRDefault="00AA1E93" w:rsidP="00AA1E93">
      <w:pPr>
        <w:ind w:firstLine="0"/>
      </w:pPr>
    </w:p>
    <w:p w:rsidR="00AA1E93" w:rsidRPr="007F76F1" w:rsidRDefault="007F76F1" w:rsidP="00AA1E93">
      <w:pPr>
        <w:ind w:firstLine="0"/>
        <w:rPr>
          <w:b/>
          <w:u w:val="single"/>
        </w:rPr>
      </w:pPr>
      <w:r>
        <w:rPr>
          <w:b/>
          <w:u w:val="single"/>
        </w:rPr>
        <w:t>UF Law Grading P</w:t>
      </w:r>
      <w:r w:rsidR="00AA1E93" w:rsidRPr="007F76F1">
        <w:rPr>
          <w:b/>
          <w:u w:val="single"/>
        </w:rPr>
        <w:t>olicies</w:t>
      </w:r>
    </w:p>
    <w:p w:rsidR="00AA1E93" w:rsidRDefault="00AA1E93" w:rsidP="00AA1E93">
      <w:pPr>
        <w:ind w:firstLine="0"/>
      </w:pPr>
    </w:p>
    <w:p w:rsidR="00AA1E93" w:rsidRDefault="00AA1E93" w:rsidP="00AA1E93">
      <w:pPr>
        <w:ind w:firstLine="0"/>
      </w:pPr>
      <w:r w:rsidRPr="00F347F1">
        <w:rPr>
          <w:b/>
        </w:rPr>
        <w:t>Grade</w:t>
      </w:r>
      <w:r w:rsidRPr="00F347F1">
        <w:rPr>
          <w:b/>
        </w:rPr>
        <w:tab/>
        <w:t>Points</w:t>
      </w:r>
      <w:r w:rsidRPr="00F347F1">
        <w:rPr>
          <w:b/>
        </w:rPr>
        <w:tab/>
      </w:r>
      <w:r w:rsidRPr="00F347F1">
        <w:rPr>
          <w:b/>
        </w:rPr>
        <w:tab/>
        <w:t>Grade</w:t>
      </w:r>
      <w:r w:rsidRPr="00F347F1">
        <w:rPr>
          <w:b/>
        </w:rPr>
        <w:tab/>
        <w:t>Point</w:t>
      </w:r>
      <w:r w:rsidRPr="00F347F1">
        <w:rPr>
          <w:b/>
        </w:rPr>
        <w:tab/>
      </w:r>
      <w:r w:rsidRPr="00F347F1">
        <w:rPr>
          <w:b/>
        </w:rPr>
        <w:tab/>
      </w:r>
      <w:r w:rsidR="001B285F" w:rsidRPr="00F347F1">
        <w:rPr>
          <w:b/>
        </w:rPr>
        <w:tab/>
      </w:r>
      <w:r w:rsidRPr="00F347F1">
        <w:rPr>
          <w:b/>
        </w:rPr>
        <w:t>Grade</w:t>
      </w:r>
      <w:r w:rsidRPr="00F347F1">
        <w:rPr>
          <w:b/>
        </w:rPr>
        <w:tab/>
      </w:r>
      <w:r w:rsidRPr="00F347F1">
        <w:rPr>
          <w:b/>
        </w:rPr>
        <w:tab/>
        <w:t>Point</w:t>
      </w:r>
    </w:p>
    <w:p w:rsidR="00F347F1" w:rsidRDefault="00F347F1" w:rsidP="00AA1E93">
      <w:pPr>
        <w:ind w:firstLine="0"/>
      </w:pPr>
    </w:p>
    <w:p w:rsidR="00AA1E93" w:rsidRDefault="00826705" w:rsidP="00AA1E93">
      <w:pPr>
        <w:ind w:firstLine="0"/>
      </w:pPr>
      <w:r>
        <w:t xml:space="preserve">A </w:t>
      </w:r>
      <w:r w:rsidR="00AA1E93">
        <w:tab/>
        <w:t>4.0</w:t>
      </w:r>
      <w:r w:rsidR="00AA1E93">
        <w:tab/>
      </w:r>
      <w:r>
        <w:tab/>
      </w:r>
      <w:r w:rsidR="00AA1E93">
        <w:t>C+</w:t>
      </w:r>
      <w:r w:rsidR="00AA1E93">
        <w:tab/>
        <w:t>2.33</w:t>
      </w:r>
      <w:r w:rsidR="00AA1E93">
        <w:tab/>
      </w:r>
      <w:r w:rsidR="00AA1E93">
        <w:tab/>
      </w:r>
      <w:r w:rsidR="001B285F">
        <w:tab/>
      </w:r>
      <w:r w:rsidR="00AA1E93">
        <w:t>D-</w:t>
      </w:r>
      <w:r w:rsidR="00AA1E93">
        <w:tab/>
      </w:r>
      <w:r w:rsidR="00AA1E93">
        <w:tab/>
        <w:t>0.67</w:t>
      </w:r>
    </w:p>
    <w:p w:rsidR="00AA1E93" w:rsidRDefault="00AA1E93" w:rsidP="00AA1E93">
      <w:pPr>
        <w:ind w:firstLine="0"/>
      </w:pPr>
      <w:r>
        <w:t>A-</w:t>
      </w:r>
      <w:r>
        <w:tab/>
        <w:t>3.67</w:t>
      </w:r>
      <w:r>
        <w:tab/>
      </w:r>
      <w:r>
        <w:tab/>
        <w:t>C</w:t>
      </w:r>
      <w:r>
        <w:tab/>
        <w:t>2.00</w:t>
      </w:r>
      <w:r>
        <w:tab/>
      </w:r>
      <w:r>
        <w:tab/>
      </w:r>
      <w:r w:rsidR="001B285F">
        <w:tab/>
      </w:r>
      <w:r w:rsidR="00826705">
        <w:t xml:space="preserve">E </w:t>
      </w:r>
      <w:r w:rsidR="00826705">
        <w:tab/>
      </w:r>
      <w:r>
        <w:tab/>
        <w:t>0.0</w:t>
      </w:r>
    </w:p>
    <w:p w:rsidR="00AA1E93" w:rsidRDefault="00AA1E93" w:rsidP="00AA1E93">
      <w:pPr>
        <w:ind w:firstLine="0"/>
      </w:pPr>
      <w:r>
        <w:t>B+</w:t>
      </w:r>
      <w:r>
        <w:tab/>
        <w:t>3.33</w:t>
      </w:r>
      <w:r>
        <w:tab/>
      </w:r>
      <w:r>
        <w:tab/>
        <w:t>C-</w:t>
      </w:r>
      <w:r>
        <w:tab/>
        <w:t>1.67</w:t>
      </w:r>
    </w:p>
    <w:p w:rsidR="00AA1E93" w:rsidRDefault="00AA1E93" w:rsidP="00AA1E93">
      <w:pPr>
        <w:ind w:firstLine="0"/>
      </w:pPr>
      <w:r>
        <w:t>B</w:t>
      </w:r>
      <w:r>
        <w:tab/>
        <w:t>3.00</w:t>
      </w:r>
      <w:r>
        <w:tab/>
      </w:r>
      <w:r w:rsidR="001B285F">
        <w:tab/>
      </w:r>
      <w:r>
        <w:t>D+</w:t>
      </w:r>
      <w:r>
        <w:tab/>
        <w:t>1.33</w:t>
      </w:r>
    </w:p>
    <w:p w:rsidR="00AA1E93" w:rsidRDefault="00826705" w:rsidP="00AA1E93">
      <w:pPr>
        <w:ind w:firstLine="0"/>
      </w:pPr>
      <w:r>
        <w:t>B-</w:t>
      </w:r>
      <w:r>
        <w:tab/>
        <w:t>2.67</w:t>
      </w:r>
      <w:r>
        <w:tab/>
      </w:r>
      <w:r>
        <w:tab/>
        <w:t xml:space="preserve">D </w:t>
      </w:r>
      <w:r w:rsidR="00AA1E93">
        <w:tab/>
        <w:t>1.00</w:t>
      </w:r>
    </w:p>
    <w:p w:rsidR="00AA1E93" w:rsidRDefault="00AA1E93" w:rsidP="00AA1E93">
      <w:pPr>
        <w:ind w:firstLine="0"/>
      </w:pPr>
    </w:p>
    <w:p w:rsidR="00AA1E93" w:rsidRDefault="00AA1E93" w:rsidP="00AA1E93">
      <w:pPr>
        <w:ind w:firstLine="0"/>
      </w:pPr>
      <w:r>
        <w:t>The law school grading policy is available at: http://www.law.uf</w:t>
      </w:r>
      <w:r w:rsidR="00AE2137">
        <w:t>l.edu/students/policies.shtml#9</w:t>
      </w:r>
      <w:r>
        <w:t>.</w:t>
      </w:r>
    </w:p>
    <w:p w:rsidR="00AA1E93" w:rsidRDefault="00AA1E93" w:rsidP="00AA1E93">
      <w:pPr>
        <w:ind w:firstLine="0"/>
      </w:pPr>
    </w:p>
    <w:p w:rsidR="00054A29" w:rsidRDefault="00054A29" w:rsidP="00AA1E93">
      <w:pPr>
        <w:ind w:firstLine="0"/>
        <w:rPr>
          <w:b/>
          <w:highlight w:val="yellow"/>
          <w:u w:val="single"/>
        </w:rPr>
      </w:pPr>
    </w:p>
    <w:p w:rsidR="00AA1E93" w:rsidRPr="00AE2137" w:rsidRDefault="00AA1E93" w:rsidP="00781FA8">
      <w:pPr>
        <w:ind w:firstLine="0"/>
        <w:jc w:val="center"/>
        <w:rPr>
          <w:b/>
          <w:u w:val="single"/>
        </w:rPr>
      </w:pPr>
      <w:r w:rsidRPr="00B62F6A">
        <w:rPr>
          <w:b/>
          <w:u w:val="single"/>
        </w:rPr>
        <w:t>Assignments</w:t>
      </w:r>
      <w:r w:rsidR="00AE2137" w:rsidRPr="00B62F6A">
        <w:rPr>
          <w:b/>
          <w:u w:val="single"/>
        </w:rPr>
        <w:t xml:space="preserve"> and Course Schedule</w:t>
      </w:r>
      <w:r w:rsidR="00B62F6A">
        <w:rPr>
          <w:b/>
          <w:u w:val="single"/>
        </w:rPr>
        <w:t xml:space="preserve"> (subject to modification)</w:t>
      </w:r>
    </w:p>
    <w:p w:rsidR="008B1084" w:rsidRDefault="008B1084" w:rsidP="00203328">
      <w:pPr>
        <w:ind w:firstLine="0"/>
      </w:pPr>
    </w:p>
    <w:tbl>
      <w:tblPr>
        <w:tblStyle w:val="TableGrid"/>
        <w:tblW w:w="9805" w:type="dxa"/>
        <w:tblLook w:val="04A0" w:firstRow="1" w:lastRow="0" w:firstColumn="1" w:lastColumn="0" w:noHBand="0" w:noVBand="1"/>
      </w:tblPr>
      <w:tblGrid>
        <w:gridCol w:w="838"/>
        <w:gridCol w:w="776"/>
        <w:gridCol w:w="4591"/>
        <w:gridCol w:w="3600"/>
      </w:tblGrid>
      <w:tr w:rsidR="00781FA8" w:rsidRPr="00781FA8" w:rsidTr="00BC6F06">
        <w:trPr>
          <w:trHeight w:val="350"/>
        </w:trPr>
        <w:tc>
          <w:tcPr>
            <w:tcW w:w="838" w:type="dxa"/>
          </w:tcPr>
          <w:p w:rsidR="00781FA8" w:rsidRPr="00781FA8" w:rsidRDefault="00781FA8" w:rsidP="00781FA8">
            <w:pPr>
              <w:ind w:firstLine="0"/>
              <w:jc w:val="center"/>
              <w:rPr>
                <w:rFonts w:eastAsia="Calibri"/>
                <w:b/>
                <w:szCs w:val="22"/>
              </w:rPr>
            </w:pPr>
            <w:r w:rsidRPr="00781FA8">
              <w:rPr>
                <w:rFonts w:eastAsia="Calibri"/>
                <w:b/>
                <w:szCs w:val="22"/>
              </w:rPr>
              <w:t>CLASS</w:t>
            </w:r>
          </w:p>
        </w:tc>
        <w:tc>
          <w:tcPr>
            <w:tcW w:w="776" w:type="dxa"/>
          </w:tcPr>
          <w:p w:rsidR="00781FA8" w:rsidRPr="00781FA8" w:rsidRDefault="00781FA8" w:rsidP="00781FA8">
            <w:pPr>
              <w:ind w:firstLine="0"/>
              <w:jc w:val="center"/>
              <w:rPr>
                <w:rFonts w:eastAsia="Calibri"/>
                <w:b/>
                <w:szCs w:val="22"/>
              </w:rPr>
            </w:pPr>
            <w:r w:rsidRPr="00781FA8">
              <w:rPr>
                <w:rFonts w:eastAsia="Calibri"/>
                <w:b/>
                <w:szCs w:val="22"/>
              </w:rPr>
              <w:t>WEEK</w:t>
            </w:r>
          </w:p>
        </w:tc>
        <w:tc>
          <w:tcPr>
            <w:tcW w:w="4591" w:type="dxa"/>
          </w:tcPr>
          <w:p w:rsidR="00781FA8" w:rsidRPr="00781FA8" w:rsidRDefault="00781FA8" w:rsidP="00781FA8">
            <w:pPr>
              <w:ind w:firstLine="0"/>
              <w:jc w:val="center"/>
              <w:rPr>
                <w:rFonts w:eastAsia="Calibri"/>
                <w:b/>
                <w:szCs w:val="22"/>
              </w:rPr>
            </w:pPr>
            <w:r w:rsidRPr="00781FA8">
              <w:rPr>
                <w:rFonts w:eastAsia="Calibri"/>
                <w:b/>
                <w:szCs w:val="22"/>
              </w:rPr>
              <w:t>TOPIC</w:t>
            </w:r>
          </w:p>
        </w:tc>
        <w:tc>
          <w:tcPr>
            <w:tcW w:w="3600" w:type="dxa"/>
          </w:tcPr>
          <w:p w:rsidR="00781FA8" w:rsidRPr="00781FA8" w:rsidRDefault="00781FA8" w:rsidP="00781FA8">
            <w:pPr>
              <w:ind w:firstLine="0"/>
              <w:jc w:val="center"/>
              <w:rPr>
                <w:rFonts w:eastAsia="Calibri"/>
                <w:b/>
                <w:szCs w:val="22"/>
              </w:rPr>
            </w:pPr>
            <w:r w:rsidRPr="00781FA8">
              <w:rPr>
                <w:rFonts w:eastAsia="Calibri"/>
                <w:b/>
                <w:szCs w:val="22"/>
              </w:rPr>
              <w:t>ASSIGNMENT</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Introduction to Course</w:t>
            </w:r>
          </w:p>
          <w:p w:rsidR="00781FA8" w:rsidRPr="00781FA8" w:rsidRDefault="00781FA8" w:rsidP="00781FA8">
            <w:pPr>
              <w:ind w:firstLine="0"/>
              <w:jc w:val="left"/>
              <w:rPr>
                <w:rFonts w:eastAsia="Calibri"/>
                <w:szCs w:val="22"/>
              </w:rPr>
            </w:pPr>
            <w:r w:rsidRPr="00781FA8">
              <w:rPr>
                <w:rFonts w:eastAsia="Calibri"/>
                <w:szCs w:val="22"/>
              </w:rPr>
              <w:t>Professionalism and Legal Ethics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1 pp. 1-18</w:t>
            </w:r>
          </w:p>
          <w:p w:rsidR="00781FA8" w:rsidRPr="00781FA8" w:rsidRDefault="00781FA8" w:rsidP="00781FA8">
            <w:pPr>
              <w:ind w:firstLine="0"/>
              <w:jc w:val="left"/>
              <w:rPr>
                <w:rFonts w:eastAsia="Calibri"/>
                <w:szCs w:val="22"/>
              </w:rPr>
            </w:pP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Basic Elements of Law Practice</w:t>
            </w:r>
          </w:p>
          <w:p w:rsidR="00781FA8" w:rsidRPr="00781FA8" w:rsidRDefault="00781FA8" w:rsidP="00781FA8">
            <w:pPr>
              <w:ind w:firstLine="0"/>
              <w:jc w:val="left"/>
              <w:rPr>
                <w:rFonts w:eastAsia="Calibri"/>
                <w:szCs w:val="22"/>
              </w:rPr>
            </w:pPr>
            <w:r w:rsidRPr="00781FA8">
              <w:rPr>
                <w:rFonts w:eastAsia="Calibri"/>
                <w:szCs w:val="22"/>
              </w:rPr>
              <w:t>Defining the Practice of Law</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2 pp. 19-46</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2</w:t>
            </w:r>
          </w:p>
          <w:p w:rsidR="00781FA8" w:rsidRPr="00781FA8" w:rsidRDefault="00781FA8" w:rsidP="00781FA8">
            <w:pPr>
              <w:ind w:firstLine="0"/>
              <w:jc w:val="center"/>
              <w:rPr>
                <w:rFonts w:eastAsia="Calibri"/>
                <w:szCs w:val="22"/>
              </w:rPr>
            </w:pPr>
          </w:p>
        </w:tc>
        <w:tc>
          <w:tcPr>
            <w:tcW w:w="4591" w:type="dxa"/>
          </w:tcPr>
          <w:p w:rsidR="00781FA8" w:rsidRPr="00781FA8" w:rsidRDefault="00781FA8" w:rsidP="00781FA8">
            <w:pPr>
              <w:ind w:firstLine="0"/>
              <w:jc w:val="left"/>
              <w:rPr>
                <w:rFonts w:eastAsia="Calibri"/>
                <w:szCs w:val="22"/>
              </w:rPr>
            </w:pPr>
            <w:r w:rsidRPr="00781FA8">
              <w:rPr>
                <w:rFonts w:eastAsia="Calibri"/>
                <w:szCs w:val="22"/>
              </w:rPr>
              <w:t>Basic Elements of Law Practice</w:t>
            </w:r>
          </w:p>
          <w:p w:rsidR="00781FA8" w:rsidRPr="00781FA8" w:rsidRDefault="00781FA8" w:rsidP="00781FA8">
            <w:pPr>
              <w:ind w:firstLine="0"/>
              <w:jc w:val="left"/>
              <w:rPr>
                <w:rFonts w:eastAsia="Calibri"/>
                <w:szCs w:val="22"/>
              </w:rPr>
            </w:pPr>
            <w:r w:rsidRPr="00781FA8">
              <w:rPr>
                <w:rFonts w:eastAsia="Calibri"/>
                <w:szCs w:val="22"/>
              </w:rPr>
              <w:t>Unauthorized Practice of law</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2 pp. 47-60</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2</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Creating the Lawyer-Client Relationship</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2 pp. 61-87</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3</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Basic Elements of Law Practice Competence</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2 pp. 88-116</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3</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Basic Elements of Law Practice</w:t>
            </w:r>
          </w:p>
          <w:p w:rsidR="00781FA8" w:rsidRPr="00781FA8" w:rsidRDefault="00781FA8" w:rsidP="00781FA8">
            <w:pPr>
              <w:ind w:firstLine="0"/>
              <w:jc w:val="left"/>
              <w:rPr>
                <w:rFonts w:eastAsia="Calibri"/>
                <w:szCs w:val="22"/>
              </w:rPr>
            </w:pPr>
            <w:r w:rsidRPr="00781FA8">
              <w:rPr>
                <w:rFonts w:eastAsia="Calibri"/>
                <w:szCs w:val="22"/>
              </w:rPr>
              <w:t xml:space="preserve">Relationship Between Lawyer and Client </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2 pp. 117-144</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4</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Business, Marketing and Technology</w:t>
            </w:r>
          </w:p>
          <w:p w:rsidR="00781FA8" w:rsidRPr="00781FA8" w:rsidRDefault="00781FA8" w:rsidP="00781FA8">
            <w:pPr>
              <w:ind w:firstLine="0"/>
              <w:jc w:val="left"/>
              <w:rPr>
                <w:rFonts w:eastAsia="Calibri"/>
                <w:szCs w:val="22"/>
              </w:rPr>
            </w:pPr>
            <w:r w:rsidRPr="00781FA8">
              <w:rPr>
                <w:rFonts w:eastAsia="Calibri"/>
                <w:szCs w:val="22"/>
              </w:rPr>
              <w:t xml:space="preserve">Marketing, Solicitation and Advertising </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3 pp. 145-189</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4</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Business, Marketing and Technology</w:t>
            </w:r>
          </w:p>
          <w:p w:rsidR="00781FA8" w:rsidRPr="00781FA8" w:rsidRDefault="00781FA8" w:rsidP="00781FA8">
            <w:pPr>
              <w:ind w:firstLine="0"/>
              <w:jc w:val="left"/>
              <w:rPr>
                <w:rFonts w:eastAsia="Calibri"/>
                <w:szCs w:val="22"/>
              </w:rPr>
            </w:pPr>
            <w:r w:rsidRPr="00781FA8">
              <w:rPr>
                <w:rFonts w:eastAsia="Calibri"/>
                <w:szCs w:val="22"/>
              </w:rPr>
              <w:t>Fees and Billing</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3 pp. 189-214</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5</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Business, Marketing and Technology</w:t>
            </w:r>
          </w:p>
          <w:p w:rsidR="00781FA8" w:rsidRPr="00781FA8" w:rsidRDefault="00781FA8" w:rsidP="00781FA8">
            <w:pPr>
              <w:ind w:firstLine="0"/>
              <w:jc w:val="left"/>
              <w:rPr>
                <w:rFonts w:eastAsia="Calibri"/>
                <w:szCs w:val="22"/>
              </w:rPr>
            </w:pPr>
            <w:r w:rsidRPr="00781FA8">
              <w:rPr>
                <w:rFonts w:eastAsia="Calibri"/>
                <w:szCs w:val="22"/>
              </w:rPr>
              <w:t>Attorney’s Fees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3 pp. 215-230</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5</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 xml:space="preserve">Attorney-Client Privilege </w:t>
            </w:r>
          </w:p>
          <w:p w:rsidR="00781FA8" w:rsidRPr="00781FA8" w:rsidRDefault="00781FA8" w:rsidP="00781FA8">
            <w:pPr>
              <w:ind w:firstLine="0"/>
              <w:jc w:val="left"/>
              <w:rPr>
                <w:rFonts w:eastAsia="Calibri"/>
                <w:szCs w:val="22"/>
              </w:rPr>
            </w:pPr>
            <w:r w:rsidRPr="00781FA8">
              <w:rPr>
                <w:rFonts w:eastAsia="Calibri"/>
                <w:szCs w:val="22"/>
              </w:rPr>
              <w:t>Basics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4 pp. 231-265</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6</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Attorney-Client Privilege</w:t>
            </w:r>
          </w:p>
          <w:p w:rsidR="00781FA8" w:rsidRPr="00781FA8" w:rsidRDefault="00781FA8" w:rsidP="00781FA8">
            <w:pPr>
              <w:ind w:firstLine="0"/>
              <w:jc w:val="left"/>
              <w:rPr>
                <w:rFonts w:eastAsia="Calibri"/>
                <w:szCs w:val="22"/>
              </w:rPr>
            </w:pPr>
            <w:r w:rsidRPr="00781FA8">
              <w:rPr>
                <w:rFonts w:eastAsia="Calibri"/>
                <w:szCs w:val="22"/>
              </w:rPr>
              <w:t>Waiver and Exceptions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4 pp. 266-285</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6</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Confidentiality</w:t>
            </w:r>
          </w:p>
          <w:p w:rsidR="00781FA8" w:rsidRPr="00781FA8" w:rsidRDefault="00781FA8" w:rsidP="00781FA8">
            <w:pPr>
              <w:ind w:firstLine="0"/>
              <w:jc w:val="left"/>
              <w:rPr>
                <w:rFonts w:eastAsia="Calibri"/>
                <w:szCs w:val="22"/>
              </w:rPr>
            </w:pPr>
            <w:r w:rsidRPr="00781FA8">
              <w:rPr>
                <w:rFonts w:eastAsia="Calibri"/>
                <w:szCs w:val="22"/>
              </w:rPr>
              <w:t>Basics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4 pp. 286-293</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7</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Confidentiality</w:t>
            </w:r>
          </w:p>
          <w:p w:rsidR="00781FA8" w:rsidRPr="00781FA8" w:rsidRDefault="00781FA8" w:rsidP="00781FA8">
            <w:pPr>
              <w:ind w:firstLine="0"/>
              <w:jc w:val="left"/>
              <w:rPr>
                <w:rFonts w:eastAsia="Calibri"/>
                <w:szCs w:val="22"/>
              </w:rPr>
            </w:pPr>
            <w:r w:rsidRPr="00781FA8">
              <w:rPr>
                <w:rFonts w:eastAsia="Calibri"/>
                <w:szCs w:val="22"/>
              </w:rPr>
              <w:t>Exceptions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4 pp. 294-310</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7</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Conflicts of Interest</w:t>
            </w:r>
          </w:p>
          <w:p w:rsidR="00781FA8" w:rsidRPr="00781FA8" w:rsidRDefault="00781FA8" w:rsidP="00781FA8">
            <w:pPr>
              <w:ind w:firstLine="0"/>
              <w:jc w:val="left"/>
              <w:rPr>
                <w:rFonts w:eastAsia="Calibri"/>
                <w:szCs w:val="22"/>
              </w:rPr>
            </w:pPr>
            <w:r w:rsidRPr="00781FA8">
              <w:rPr>
                <w:rFonts w:eastAsia="Calibri"/>
                <w:szCs w:val="22"/>
              </w:rPr>
              <w:t>Attorney Client Relationship</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5 pp. 311-341</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8</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Conflicts of Interest</w:t>
            </w:r>
          </w:p>
          <w:p w:rsidR="00781FA8" w:rsidRPr="00781FA8" w:rsidRDefault="00781FA8" w:rsidP="00781FA8">
            <w:pPr>
              <w:ind w:firstLine="0"/>
              <w:jc w:val="left"/>
              <w:rPr>
                <w:rFonts w:eastAsia="Calibri"/>
                <w:szCs w:val="22"/>
              </w:rPr>
            </w:pPr>
            <w:r w:rsidRPr="00781FA8">
              <w:rPr>
                <w:rFonts w:eastAsia="Calibri"/>
                <w:szCs w:val="22"/>
              </w:rPr>
              <w:t>Other</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5 pp. 342-363</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8</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Conflicts of Interest</w:t>
            </w:r>
          </w:p>
          <w:p w:rsidR="00781FA8" w:rsidRPr="00781FA8" w:rsidRDefault="00781FA8" w:rsidP="00781FA8">
            <w:pPr>
              <w:ind w:firstLine="0"/>
              <w:jc w:val="left"/>
              <w:rPr>
                <w:rFonts w:eastAsia="Calibri"/>
                <w:szCs w:val="22"/>
              </w:rPr>
            </w:pPr>
            <w:r w:rsidRPr="00781FA8">
              <w:rPr>
                <w:rFonts w:eastAsia="Calibri"/>
                <w:szCs w:val="22"/>
              </w:rPr>
              <w:t>Other</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5 pp. 364-380</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9</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Duty to Legal System and Others</w:t>
            </w:r>
          </w:p>
          <w:p w:rsidR="00781FA8" w:rsidRPr="00781FA8" w:rsidRDefault="00781FA8" w:rsidP="00781FA8">
            <w:pPr>
              <w:ind w:firstLine="0"/>
              <w:jc w:val="left"/>
              <w:rPr>
                <w:rFonts w:eastAsia="Calibri"/>
                <w:szCs w:val="22"/>
              </w:rPr>
            </w:pPr>
            <w:r w:rsidRPr="00781FA8">
              <w:rPr>
                <w:rFonts w:eastAsia="Calibri"/>
                <w:szCs w:val="22"/>
              </w:rPr>
              <w:t>Duty to Court</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6 pp. 381-441</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9</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Duty to Legal System and Others</w:t>
            </w:r>
          </w:p>
          <w:p w:rsidR="00781FA8" w:rsidRPr="00781FA8" w:rsidRDefault="00781FA8" w:rsidP="00781FA8">
            <w:pPr>
              <w:ind w:firstLine="0"/>
              <w:jc w:val="left"/>
              <w:rPr>
                <w:rFonts w:eastAsia="Calibri"/>
                <w:szCs w:val="22"/>
              </w:rPr>
            </w:pPr>
            <w:r w:rsidRPr="00781FA8">
              <w:rPr>
                <w:rFonts w:eastAsia="Calibri"/>
                <w:szCs w:val="22"/>
              </w:rPr>
              <w:t>Duty to Others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6 pp. 442-472</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10</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Special Ethics Rules</w:t>
            </w:r>
          </w:p>
          <w:p w:rsidR="00781FA8" w:rsidRPr="00781FA8" w:rsidRDefault="00781FA8" w:rsidP="00781FA8">
            <w:pPr>
              <w:ind w:firstLine="0"/>
              <w:jc w:val="left"/>
              <w:rPr>
                <w:rFonts w:eastAsia="Calibri"/>
                <w:szCs w:val="22"/>
              </w:rPr>
            </w:pPr>
            <w:r w:rsidRPr="00781FA8">
              <w:rPr>
                <w:rFonts w:eastAsia="Calibri"/>
                <w:szCs w:val="22"/>
              </w:rPr>
              <w:t>Prosecutors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7 pp. 473-517</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10</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Special Ethics Rules</w:t>
            </w:r>
          </w:p>
          <w:p w:rsidR="00781FA8" w:rsidRPr="00781FA8" w:rsidRDefault="00781FA8" w:rsidP="00781FA8">
            <w:pPr>
              <w:ind w:firstLine="0"/>
              <w:jc w:val="left"/>
              <w:rPr>
                <w:rFonts w:eastAsia="Calibri"/>
                <w:szCs w:val="22"/>
              </w:rPr>
            </w:pPr>
            <w:r w:rsidRPr="00781FA8">
              <w:rPr>
                <w:rFonts w:eastAsia="Calibri"/>
                <w:szCs w:val="22"/>
              </w:rPr>
              <w:t>Judges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7 pp. 518-552</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11</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Proper Role of a Lawyer</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8 pp. 553-569</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11</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Proper Role of a Lawyer</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8 pp. 569-634</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12</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Privileges and Responsibilities</w:t>
            </w:r>
          </w:p>
          <w:p w:rsidR="00781FA8" w:rsidRPr="00781FA8" w:rsidRDefault="00781FA8" w:rsidP="00781FA8">
            <w:pPr>
              <w:ind w:firstLine="0"/>
              <w:jc w:val="left"/>
              <w:rPr>
                <w:rFonts w:eastAsia="Calibri"/>
                <w:szCs w:val="22"/>
              </w:rPr>
            </w:pPr>
            <w:r w:rsidRPr="00781FA8">
              <w:rPr>
                <w:rFonts w:eastAsia="Calibri"/>
                <w:szCs w:val="22"/>
              </w:rPr>
              <w:t xml:space="preserve">Professional Privilege </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9 pp. 635-679</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12</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Privileges and Responsibilities</w:t>
            </w:r>
          </w:p>
          <w:p w:rsidR="00781FA8" w:rsidRPr="00781FA8" w:rsidRDefault="00781FA8" w:rsidP="00781FA8">
            <w:pPr>
              <w:ind w:firstLine="0"/>
              <w:jc w:val="left"/>
              <w:rPr>
                <w:rFonts w:eastAsia="Calibri"/>
                <w:szCs w:val="22"/>
              </w:rPr>
            </w:pPr>
            <w:r w:rsidRPr="00781FA8">
              <w:rPr>
                <w:rFonts w:eastAsia="Calibri"/>
                <w:szCs w:val="22"/>
              </w:rPr>
              <w:t>Responsibilities</w:t>
            </w:r>
          </w:p>
        </w:tc>
        <w:tc>
          <w:tcPr>
            <w:tcW w:w="3600" w:type="dxa"/>
          </w:tcPr>
          <w:p w:rsidR="00781FA8" w:rsidRPr="00781FA8" w:rsidRDefault="00781FA8" w:rsidP="00781FA8">
            <w:pPr>
              <w:ind w:firstLine="0"/>
              <w:jc w:val="left"/>
              <w:rPr>
                <w:rFonts w:eastAsia="Calibri"/>
                <w:szCs w:val="22"/>
              </w:rPr>
            </w:pPr>
            <w:r w:rsidRPr="00781FA8">
              <w:rPr>
                <w:rFonts w:eastAsia="Calibri"/>
                <w:szCs w:val="22"/>
              </w:rPr>
              <w:t>Chapter 9 pp. 679-701</w:t>
            </w: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13</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Catch Up-Course Summary</w:t>
            </w:r>
          </w:p>
        </w:tc>
        <w:tc>
          <w:tcPr>
            <w:tcW w:w="3600" w:type="dxa"/>
          </w:tcPr>
          <w:p w:rsidR="00781FA8" w:rsidRPr="00781FA8" w:rsidRDefault="00781FA8" w:rsidP="00781FA8">
            <w:pPr>
              <w:ind w:firstLine="0"/>
              <w:jc w:val="left"/>
              <w:rPr>
                <w:rFonts w:eastAsia="Calibri"/>
                <w:szCs w:val="22"/>
              </w:rPr>
            </w:pPr>
          </w:p>
        </w:tc>
      </w:tr>
      <w:tr w:rsidR="00781FA8" w:rsidRPr="00781FA8" w:rsidTr="00BC6F06">
        <w:tc>
          <w:tcPr>
            <w:tcW w:w="838" w:type="dxa"/>
          </w:tcPr>
          <w:p w:rsidR="00781FA8" w:rsidRPr="00781FA8" w:rsidRDefault="00781FA8" w:rsidP="00781FA8">
            <w:pPr>
              <w:numPr>
                <w:ilvl w:val="0"/>
                <w:numId w:val="8"/>
              </w:numPr>
              <w:contextualSpacing/>
              <w:jc w:val="center"/>
              <w:rPr>
                <w:rFonts w:eastAsia="Calibri"/>
                <w:szCs w:val="22"/>
              </w:rPr>
            </w:pPr>
          </w:p>
        </w:tc>
        <w:tc>
          <w:tcPr>
            <w:tcW w:w="776" w:type="dxa"/>
          </w:tcPr>
          <w:p w:rsidR="00781FA8" w:rsidRPr="00781FA8" w:rsidRDefault="00781FA8" w:rsidP="00781FA8">
            <w:pPr>
              <w:ind w:firstLine="0"/>
              <w:jc w:val="center"/>
              <w:rPr>
                <w:rFonts w:eastAsia="Calibri"/>
                <w:szCs w:val="22"/>
              </w:rPr>
            </w:pPr>
            <w:r w:rsidRPr="00781FA8">
              <w:rPr>
                <w:rFonts w:eastAsia="Calibri"/>
                <w:szCs w:val="22"/>
              </w:rPr>
              <w:t>13</w:t>
            </w:r>
          </w:p>
        </w:tc>
        <w:tc>
          <w:tcPr>
            <w:tcW w:w="4591" w:type="dxa"/>
          </w:tcPr>
          <w:p w:rsidR="00781FA8" w:rsidRPr="00781FA8" w:rsidRDefault="00781FA8" w:rsidP="00781FA8">
            <w:pPr>
              <w:ind w:firstLine="0"/>
              <w:jc w:val="left"/>
              <w:rPr>
                <w:rFonts w:eastAsia="Calibri"/>
                <w:szCs w:val="22"/>
              </w:rPr>
            </w:pPr>
            <w:r w:rsidRPr="00781FA8">
              <w:rPr>
                <w:rFonts w:eastAsia="Calibri"/>
                <w:szCs w:val="22"/>
              </w:rPr>
              <w:t>Final Exam Review</w:t>
            </w:r>
          </w:p>
        </w:tc>
        <w:tc>
          <w:tcPr>
            <w:tcW w:w="3600" w:type="dxa"/>
          </w:tcPr>
          <w:p w:rsidR="00781FA8" w:rsidRPr="00781FA8" w:rsidRDefault="00781FA8" w:rsidP="00781FA8">
            <w:pPr>
              <w:ind w:firstLine="0"/>
              <w:jc w:val="left"/>
              <w:rPr>
                <w:rFonts w:eastAsia="Calibri"/>
                <w:szCs w:val="22"/>
              </w:rPr>
            </w:pPr>
          </w:p>
        </w:tc>
      </w:tr>
    </w:tbl>
    <w:p w:rsidR="004A5158" w:rsidRDefault="004A5158" w:rsidP="00AF7534"/>
    <w:sectPr w:rsidR="004A51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DF" w:rsidRDefault="00C218DF" w:rsidP="00AA1E93">
      <w:r>
        <w:separator/>
      </w:r>
    </w:p>
  </w:endnote>
  <w:endnote w:type="continuationSeparator" w:id="0">
    <w:p w:rsidR="00C218DF" w:rsidRDefault="00C218DF" w:rsidP="00A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7560"/>
      <w:docPartObj>
        <w:docPartGallery w:val="Page Numbers (Bottom of Page)"/>
        <w:docPartUnique/>
      </w:docPartObj>
    </w:sdtPr>
    <w:sdtEndPr>
      <w:rPr>
        <w:noProof/>
      </w:rPr>
    </w:sdtEndPr>
    <w:sdtContent>
      <w:p w:rsidR="002D1160" w:rsidRDefault="002D116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D1160" w:rsidRDefault="002D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DF" w:rsidRDefault="00C218DF" w:rsidP="00AA1E93">
      <w:r>
        <w:separator/>
      </w:r>
    </w:p>
  </w:footnote>
  <w:footnote w:type="continuationSeparator" w:id="0">
    <w:p w:rsidR="00C218DF" w:rsidRDefault="00C218DF" w:rsidP="00AA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224AC"/>
    <w:multiLevelType w:val="hybridMultilevel"/>
    <w:tmpl w:val="A97EC334"/>
    <w:lvl w:ilvl="0" w:tplc="FB80F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B"/>
    <w:rsid w:val="00054A29"/>
    <w:rsid w:val="0008232E"/>
    <w:rsid w:val="00092ABC"/>
    <w:rsid w:val="000D096E"/>
    <w:rsid w:val="000E2081"/>
    <w:rsid w:val="00114749"/>
    <w:rsid w:val="001356BD"/>
    <w:rsid w:val="0017006A"/>
    <w:rsid w:val="001B285F"/>
    <w:rsid w:val="001D79BE"/>
    <w:rsid w:val="001E37C9"/>
    <w:rsid w:val="001E66A7"/>
    <w:rsid w:val="00201B95"/>
    <w:rsid w:val="00203328"/>
    <w:rsid w:val="0027125C"/>
    <w:rsid w:val="002B1DAF"/>
    <w:rsid w:val="002D1160"/>
    <w:rsid w:val="002D62BE"/>
    <w:rsid w:val="002F198F"/>
    <w:rsid w:val="00310812"/>
    <w:rsid w:val="003113F0"/>
    <w:rsid w:val="00317B0C"/>
    <w:rsid w:val="003918C1"/>
    <w:rsid w:val="003C563D"/>
    <w:rsid w:val="003D0EB5"/>
    <w:rsid w:val="003E72BB"/>
    <w:rsid w:val="00403615"/>
    <w:rsid w:val="00460262"/>
    <w:rsid w:val="004A5158"/>
    <w:rsid w:val="004C4B00"/>
    <w:rsid w:val="004D1139"/>
    <w:rsid w:val="005205FC"/>
    <w:rsid w:val="00534760"/>
    <w:rsid w:val="0054330B"/>
    <w:rsid w:val="005441CD"/>
    <w:rsid w:val="0058032C"/>
    <w:rsid w:val="005B4E70"/>
    <w:rsid w:val="005C60E2"/>
    <w:rsid w:val="00602DEF"/>
    <w:rsid w:val="006645FE"/>
    <w:rsid w:val="00670F4C"/>
    <w:rsid w:val="006766E7"/>
    <w:rsid w:val="006A7258"/>
    <w:rsid w:val="006A797E"/>
    <w:rsid w:val="006A7E3E"/>
    <w:rsid w:val="006D74E3"/>
    <w:rsid w:val="006E4F2F"/>
    <w:rsid w:val="00781FA8"/>
    <w:rsid w:val="00785D71"/>
    <w:rsid w:val="007F76F1"/>
    <w:rsid w:val="00807206"/>
    <w:rsid w:val="00826374"/>
    <w:rsid w:val="00826705"/>
    <w:rsid w:val="00846B2B"/>
    <w:rsid w:val="00896713"/>
    <w:rsid w:val="008B1084"/>
    <w:rsid w:val="008E0B72"/>
    <w:rsid w:val="00945457"/>
    <w:rsid w:val="0097420A"/>
    <w:rsid w:val="0098793D"/>
    <w:rsid w:val="009F70CB"/>
    <w:rsid w:val="00A068FA"/>
    <w:rsid w:val="00AA1E93"/>
    <w:rsid w:val="00AE2137"/>
    <w:rsid w:val="00AE41C2"/>
    <w:rsid w:val="00AF7534"/>
    <w:rsid w:val="00B13620"/>
    <w:rsid w:val="00B17095"/>
    <w:rsid w:val="00B4019D"/>
    <w:rsid w:val="00B57EFF"/>
    <w:rsid w:val="00B62F6A"/>
    <w:rsid w:val="00B84E92"/>
    <w:rsid w:val="00BC588D"/>
    <w:rsid w:val="00BC6F06"/>
    <w:rsid w:val="00C07A39"/>
    <w:rsid w:val="00C218DF"/>
    <w:rsid w:val="00C3551E"/>
    <w:rsid w:val="00C77B53"/>
    <w:rsid w:val="00D87ADB"/>
    <w:rsid w:val="00DA3AA8"/>
    <w:rsid w:val="00DB6A90"/>
    <w:rsid w:val="00E66AFF"/>
    <w:rsid w:val="00F347F1"/>
    <w:rsid w:val="00F61F70"/>
    <w:rsid w:val="00FB2C49"/>
    <w:rsid w:val="00FC3D9E"/>
    <w:rsid w:val="00F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F90"/>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paragraph" w:styleId="Header">
    <w:name w:val="header"/>
    <w:basedOn w:val="Normal"/>
    <w:link w:val="HeaderChar"/>
    <w:uiPriority w:val="99"/>
    <w:unhideWhenUsed/>
    <w:rsid w:val="00AA1E93"/>
    <w:pPr>
      <w:tabs>
        <w:tab w:val="center" w:pos="4680"/>
        <w:tab w:val="right" w:pos="9360"/>
      </w:tabs>
    </w:pPr>
  </w:style>
  <w:style w:type="character" w:customStyle="1" w:styleId="HeaderChar">
    <w:name w:val="Header Char"/>
    <w:basedOn w:val="DefaultParagraphFont"/>
    <w:link w:val="Header"/>
    <w:uiPriority w:val="99"/>
    <w:rsid w:val="00AA1E93"/>
    <w:rPr>
      <w:szCs w:val="20"/>
    </w:rPr>
  </w:style>
  <w:style w:type="paragraph" w:styleId="Footer">
    <w:name w:val="footer"/>
    <w:basedOn w:val="Normal"/>
    <w:link w:val="FooterChar"/>
    <w:uiPriority w:val="99"/>
    <w:unhideWhenUsed/>
    <w:rsid w:val="00AA1E93"/>
    <w:pPr>
      <w:tabs>
        <w:tab w:val="center" w:pos="4680"/>
        <w:tab w:val="right" w:pos="9360"/>
      </w:tabs>
    </w:pPr>
  </w:style>
  <w:style w:type="character" w:customStyle="1" w:styleId="FooterChar">
    <w:name w:val="Footer Char"/>
    <w:basedOn w:val="DefaultParagraphFont"/>
    <w:link w:val="Footer"/>
    <w:uiPriority w:val="99"/>
    <w:rsid w:val="00AA1E93"/>
    <w:rPr>
      <w:szCs w:val="20"/>
    </w:rPr>
  </w:style>
  <w:style w:type="paragraph" w:customStyle="1" w:styleId="yiv3878556597msonormal">
    <w:name w:val="yiv3878556597msonormal"/>
    <w:basedOn w:val="Normal"/>
    <w:rsid w:val="004A5158"/>
    <w:pPr>
      <w:spacing w:before="100" w:beforeAutospacing="1" w:after="100" w:afterAutospacing="1"/>
      <w:ind w:firstLine="0"/>
      <w:jc w:val="left"/>
    </w:pPr>
    <w:rPr>
      <w:rFonts w:eastAsia="Times New Roman" w:cs="Times New Roman"/>
      <w:szCs w:val="24"/>
    </w:rPr>
  </w:style>
  <w:style w:type="character" w:styleId="Hyperlink">
    <w:name w:val="Hyperlink"/>
    <w:basedOn w:val="DefaultParagraphFont"/>
    <w:uiPriority w:val="99"/>
    <w:semiHidden/>
    <w:unhideWhenUsed/>
    <w:rsid w:val="004A5158"/>
    <w:rPr>
      <w:color w:val="0000FF"/>
      <w:u w:val="single"/>
    </w:rPr>
  </w:style>
  <w:style w:type="character" w:styleId="FollowedHyperlink">
    <w:name w:val="FollowedHyperlink"/>
    <w:basedOn w:val="DefaultParagraphFont"/>
    <w:uiPriority w:val="99"/>
    <w:semiHidden/>
    <w:unhideWhenUsed/>
    <w:rsid w:val="00FB2C49"/>
    <w:rPr>
      <w:color w:val="800080" w:themeColor="followedHyperlink"/>
      <w:u w:val="single"/>
    </w:rPr>
  </w:style>
  <w:style w:type="paragraph" w:styleId="BalloonText">
    <w:name w:val="Balloon Text"/>
    <w:basedOn w:val="Normal"/>
    <w:link w:val="BalloonTextChar"/>
    <w:uiPriority w:val="99"/>
    <w:semiHidden/>
    <w:unhideWhenUsed/>
    <w:rsid w:val="00580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2C"/>
    <w:rPr>
      <w:rFonts w:ascii="Segoe UI" w:hAnsi="Segoe UI" w:cs="Segoe UI"/>
      <w:sz w:val="18"/>
      <w:szCs w:val="18"/>
    </w:rPr>
  </w:style>
  <w:style w:type="table" w:styleId="TableGrid">
    <w:name w:val="Table Grid"/>
    <w:basedOn w:val="TableNormal"/>
    <w:uiPriority w:val="39"/>
    <w:rsid w:val="00781FA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12468">
      <w:bodyDiv w:val="1"/>
      <w:marLeft w:val="0"/>
      <w:marRight w:val="0"/>
      <w:marTop w:val="0"/>
      <w:marBottom w:val="0"/>
      <w:divBdr>
        <w:top w:val="none" w:sz="0" w:space="0" w:color="auto"/>
        <w:left w:val="none" w:sz="0" w:space="0" w:color="auto"/>
        <w:bottom w:val="none" w:sz="0" w:space="0" w:color="auto"/>
        <w:right w:val="none" w:sz="0" w:space="0" w:color="auto"/>
      </w:divBdr>
      <w:divsChild>
        <w:div w:id="1453863227">
          <w:marLeft w:val="0"/>
          <w:marRight w:val="0"/>
          <w:marTop w:val="0"/>
          <w:marBottom w:val="0"/>
          <w:divBdr>
            <w:top w:val="none" w:sz="0" w:space="0" w:color="auto"/>
            <w:left w:val="none" w:sz="0" w:space="0" w:color="auto"/>
            <w:bottom w:val="none" w:sz="0" w:space="0" w:color="auto"/>
            <w:right w:val="none" w:sz="0" w:space="0" w:color="auto"/>
          </w:divBdr>
        </w:div>
        <w:div w:id="962614824">
          <w:marLeft w:val="0"/>
          <w:marRight w:val="0"/>
          <w:marTop w:val="0"/>
          <w:marBottom w:val="0"/>
          <w:divBdr>
            <w:top w:val="none" w:sz="0" w:space="0" w:color="auto"/>
            <w:left w:val="none" w:sz="0" w:space="0" w:color="auto"/>
            <w:bottom w:val="none" w:sz="0" w:space="0" w:color="auto"/>
            <w:right w:val="none" w:sz="0" w:space="0" w:color="auto"/>
          </w:divBdr>
        </w:div>
        <w:div w:id="1459372916">
          <w:marLeft w:val="0"/>
          <w:marRight w:val="0"/>
          <w:marTop w:val="0"/>
          <w:marBottom w:val="0"/>
          <w:divBdr>
            <w:top w:val="none" w:sz="0" w:space="0" w:color="auto"/>
            <w:left w:val="none" w:sz="0" w:space="0" w:color="auto"/>
            <w:bottom w:val="none" w:sz="0" w:space="0" w:color="auto"/>
            <w:right w:val="none" w:sz="0" w:space="0" w:color="auto"/>
          </w:divBdr>
        </w:div>
        <w:div w:id="1535970244">
          <w:marLeft w:val="0"/>
          <w:marRight w:val="0"/>
          <w:marTop w:val="0"/>
          <w:marBottom w:val="0"/>
          <w:divBdr>
            <w:top w:val="none" w:sz="0" w:space="0" w:color="auto"/>
            <w:left w:val="none" w:sz="0" w:space="0" w:color="auto"/>
            <w:bottom w:val="none" w:sz="0" w:space="0" w:color="auto"/>
            <w:right w:val="none" w:sz="0" w:space="0" w:color="auto"/>
          </w:divBdr>
        </w:div>
        <w:div w:id="1993170491">
          <w:marLeft w:val="0"/>
          <w:marRight w:val="0"/>
          <w:marTop w:val="0"/>
          <w:marBottom w:val="0"/>
          <w:divBdr>
            <w:top w:val="none" w:sz="0" w:space="0" w:color="auto"/>
            <w:left w:val="none" w:sz="0" w:space="0" w:color="auto"/>
            <w:bottom w:val="none" w:sz="0" w:space="0" w:color="auto"/>
            <w:right w:val="none" w:sz="0" w:space="0" w:color="auto"/>
          </w:divBdr>
        </w:div>
        <w:div w:id="588732254">
          <w:marLeft w:val="0"/>
          <w:marRight w:val="0"/>
          <w:marTop w:val="0"/>
          <w:marBottom w:val="0"/>
          <w:divBdr>
            <w:top w:val="none" w:sz="0" w:space="0" w:color="auto"/>
            <w:left w:val="none" w:sz="0" w:space="0" w:color="auto"/>
            <w:bottom w:val="none" w:sz="0" w:space="0" w:color="auto"/>
            <w:right w:val="none" w:sz="0" w:space="0" w:color="auto"/>
          </w:divBdr>
        </w:div>
        <w:div w:id="1395816325">
          <w:marLeft w:val="0"/>
          <w:marRight w:val="0"/>
          <w:marTop w:val="0"/>
          <w:marBottom w:val="0"/>
          <w:divBdr>
            <w:top w:val="none" w:sz="0" w:space="0" w:color="auto"/>
            <w:left w:val="none" w:sz="0" w:space="0" w:color="auto"/>
            <w:bottom w:val="none" w:sz="0" w:space="0" w:color="auto"/>
            <w:right w:val="none" w:sz="0" w:space="0" w:color="auto"/>
          </w:divBdr>
        </w:div>
        <w:div w:id="1222323538">
          <w:marLeft w:val="0"/>
          <w:marRight w:val="0"/>
          <w:marTop w:val="0"/>
          <w:marBottom w:val="0"/>
          <w:divBdr>
            <w:top w:val="none" w:sz="0" w:space="0" w:color="auto"/>
            <w:left w:val="none" w:sz="0" w:space="0" w:color="auto"/>
            <w:bottom w:val="none" w:sz="0" w:space="0" w:color="auto"/>
            <w:right w:val="none" w:sz="0" w:space="0" w:color="auto"/>
          </w:divBdr>
        </w:div>
        <w:div w:id="1251619641">
          <w:marLeft w:val="0"/>
          <w:marRight w:val="0"/>
          <w:marTop w:val="0"/>
          <w:marBottom w:val="0"/>
          <w:divBdr>
            <w:top w:val="none" w:sz="0" w:space="0" w:color="auto"/>
            <w:left w:val="none" w:sz="0" w:space="0" w:color="auto"/>
            <w:bottom w:val="none" w:sz="0" w:space="0" w:color="auto"/>
            <w:right w:val="none" w:sz="0" w:space="0" w:color="auto"/>
          </w:divBdr>
        </w:div>
        <w:div w:id="989793284">
          <w:marLeft w:val="0"/>
          <w:marRight w:val="0"/>
          <w:marTop w:val="0"/>
          <w:marBottom w:val="0"/>
          <w:divBdr>
            <w:top w:val="none" w:sz="0" w:space="0" w:color="auto"/>
            <w:left w:val="none" w:sz="0" w:space="0" w:color="auto"/>
            <w:bottom w:val="none" w:sz="0" w:space="0" w:color="auto"/>
            <w:right w:val="none" w:sz="0" w:space="0" w:color="auto"/>
          </w:divBdr>
        </w:div>
        <w:div w:id="2051416478">
          <w:marLeft w:val="0"/>
          <w:marRight w:val="0"/>
          <w:marTop w:val="0"/>
          <w:marBottom w:val="0"/>
          <w:divBdr>
            <w:top w:val="none" w:sz="0" w:space="0" w:color="auto"/>
            <w:left w:val="none" w:sz="0" w:space="0" w:color="auto"/>
            <w:bottom w:val="none" w:sz="0" w:space="0" w:color="auto"/>
            <w:right w:val="none" w:sz="0" w:space="0" w:color="auto"/>
          </w:divBdr>
        </w:div>
        <w:div w:id="776798373">
          <w:marLeft w:val="0"/>
          <w:marRight w:val="0"/>
          <w:marTop w:val="0"/>
          <w:marBottom w:val="0"/>
          <w:divBdr>
            <w:top w:val="none" w:sz="0" w:space="0" w:color="auto"/>
            <w:left w:val="none" w:sz="0" w:space="0" w:color="auto"/>
            <w:bottom w:val="none" w:sz="0" w:space="0" w:color="auto"/>
            <w:right w:val="none" w:sz="0" w:space="0" w:color="auto"/>
          </w:divBdr>
        </w:div>
        <w:div w:id="1051660673">
          <w:marLeft w:val="0"/>
          <w:marRight w:val="0"/>
          <w:marTop w:val="0"/>
          <w:marBottom w:val="0"/>
          <w:divBdr>
            <w:top w:val="none" w:sz="0" w:space="0" w:color="auto"/>
            <w:left w:val="none" w:sz="0" w:space="0" w:color="auto"/>
            <w:bottom w:val="none" w:sz="0" w:space="0" w:color="auto"/>
            <w:right w:val="none" w:sz="0" w:space="0" w:color="auto"/>
          </w:divBdr>
        </w:div>
        <w:div w:id="36593471">
          <w:marLeft w:val="0"/>
          <w:marRight w:val="0"/>
          <w:marTop w:val="0"/>
          <w:marBottom w:val="0"/>
          <w:divBdr>
            <w:top w:val="none" w:sz="0" w:space="0" w:color="auto"/>
            <w:left w:val="none" w:sz="0" w:space="0" w:color="auto"/>
            <w:bottom w:val="none" w:sz="0" w:space="0" w:color="auto"/>
            <w:right w:val="none" w:sz="0" w:space="0" w:color="auto"/>
          </w:divBdr>
        </w:div>
        <w:div w:id="420100494">
          <w:marLeft w:val="0"/>
          <w:marRight w:val="0"/>
          <w:marTop w:val="0"/>
          <w:marBottom w:val="0"/>
          <w:divBdr>
            <w:top w:val="none" w:sz="0" w:space="0" w:color="auto"/>
            <w:left w:val="none" w:sz="0" w:space="0" w:color="auto"/>
            <w:bottom w:val="none" w:sz="0" w:space="0" w:color="auto"/>
            <w:right w:val="none" w:sz="0" w:space="0" w:color="auto"/>
          </w:divBdr>
        </w:div>
        <w:div w:id="531500904">
          <w:marLeft w:val="0"/>
          <w:marRight w:val="0"/>
          <w:marTop w:val="0"/>
          <w:marBottom w:val="0"/>
          <w:divBdr>
            <w:top w:val="none" w:sz="0" w:space="0" w:color="auto"/>
            <w:left w:val="none" w:sz="0" w:space="0" w:color="auto"/>
            <w:bottom w:val="none" w:sz="0" w:space="0" w:color="auto"/>
            <w:right w:val="none" w:sz="0" w:space="0" w:color="auto"/>
          </w:divBdr>
        </w:div>
        <w:div w:id="396706902">
          <w:marLeft w:val="0"/>
          <w:marRight w:val="0"/>
          <w:marTop w:val="0"/>
          <w:marBottom w:val="0"/>
          <w:divBdr>
            <w:top w:val="none" w:sz="0" w:space="0" w:color="auto"/>
            <w:left w:val="none" w:sz="0" w:space="0" w:color="auto"/>
            <w:bottom w:val="none" w:sz="0" w:space="0" w:color="auto"/>
            <w:right w:val="none" w:sz="0" w:space="0" w:color="auto"/>
          </w:divBdr>
        </w:div>
        <w:div w:id="716972069">
          <w:marLeft w:val="0"/>
          <w:marRight w:val="0"/>
          <w:marTop w:val="0"/>
          <w:marBottom w:val="0"/>
          <w:divBdr>
            <w:top w:val="none" w:sz="0" w:space="0" w:color="auto"/>
            <w:left w:val="none" w:sz="0" w:space="0" w:color="auto"/>
            <w:bottom w:val="none" w:sz="0" w:space="0" w:color="auto"/>
            <w:right w:val="none" w:sz="0" w:space="0" w:color="auto"/>
          </w:divBdr>
        </w:div>
        <w:div w:id="1271545776">
          <w:marLeft w:val="0"/>
          <w:marRight w:val="0"/>
          <w:marTop w:val="0"/>
          <w:marBottom w:val="0"/>
          <w:divBdr>
            <w:top w:val="none" w:sz="0" w:space="0" w:color="auto"/>
            <w:left w:val="none" w:sz="0" w:space="0" w:color="auto"/>
            <w:bottom w:val="none" w:sz="0" w:space="0" w:color="auto"/>
            <w:right w:val="none" w:sz="0" w:space="0" w:color="auto"/>
          </w:divBdr>
        </w:div>
        <w:div w:id="1713335833">
          <w:marLeft w:val="0"/>
          <w:marRight w:val="0"/>
          <w:marTop w:val="0"/>
          <w:marBottom w:val="0"/>
          <w:divBdr>
            <w:top w:val="none" w:sz="0" w:space="0" w:color="auto"/>
            <w:left w:val="none" w:sz="0" w:space="0" w:color="auto"/>
            <w:bottom w:val="none" w:sz="0" w:space="0" w:color="auto"/>
            <w:right w:val="none" w:sz="0" w:space="0" w:color="auto"/>
          </w:divBdr>
        </w:div>
        <w:div w:id="1286813905">
          <w:marLeft w:val="0"/>
          <w:marRight w:val="0"/>
          <w:marTop w:val="0"/>
          <w:marBottom w:val="0"/>
          <w:divBdr>
            <w:top w:val="none" w:sz="0" w:space="0" w:color="auto"/>
            <w:left w:val="none" w:sz="0" w:space="0" w:color="auto"/>
            <w:bottom w:val="none" w:sz="0" w:space="0" w:color="auto"/>
            <w:right w:val="none" w:sz="0" w:space="0" w:color="auto"/>
          </w:divBdr>
        </w:div>
        <w:div w:id="938565709">
          <w:marLeft w:val="0"/>
          <w:marRight w:val="0"/>
          <w:marTop w:val="0"/>
          <w:marBottom w:val="0"/>
          <w:divBdr>
            <w:top w:val="none" w:sz="0" w:space="0" w:color="auto"/>
            <w:left w:val="none" w:sz="0" w:space="0" w:color="auto"/>
            <w:bottom w:val="none" w:sz="0" w:space="0" w:color="auto"/>
            <w:right w:val="none" w:sz="0" w:space="0" w:color="auto"/>
          </w:divBdr>
        </w:div>
        <w:div w:id="324435558">
          <w:marLeft w:val="0"/>
          <w:marRight w:val="0"/>
          <w:marTop w:val="0"/>
          <w:marBottom w:val="0"/>
          <w:divBdr>
            <w:top w:val="none" w:sz="0" w:space="0" w:color="auto"/>
            <w:left w:val="none" w:sz="0" w:space="0" w:color="auto"/>
            <w:bottom w:val="none" w:sz="0" w:space="0" w:color="auto"/>
            <w:right w:val="none" w:sz="0" w:space="0" w:color="auto"/>
          </w:divBdr>
        </w:div>
        <w:div w:id="906843674">
          <w:marLeft w:val="0"/>
          <w:marRight w:val="0"/>
          <w:marTop w:val="0"/>
          <w:marBottom w:val="0"/>
          <w:divBdr>
            <w:top w:val="none" w:sz="0" w:space="0" w:color="auto"/>
            <w:left w:val="none" w:sz="0" w:space="0" w:color="auto"/>
            <w:bottom w:val="none" w:sz="0" w:space="0" w:color="auto"/>
            <w:right w:val="none" w:sz="0" w:space="0" w:color="auto"/>
          </w:divBdr>
        </w:div>
        <w:div w:id="1203204534">
          <w:marLeft w:val="0"/>
          <w:marRight w:val="0"/>
          <w:marTop w:val="0"/>
          <w:marBottom w:val="0"/>
          <w:divBdr>
            <w:top w:val="none" w:sz="0" w:space="0" w:color="auto"/>
            <w:left w:val="none" w:sz="0" w:space="0" w:color="auto"/>
            <w:bottom w:val="none" w:sz="0" w:space="0" w:color="auto"/>
            <w:right w:val="none" w:sz="0" w:space="0" w:color="auto"/>
          </w:divBdr>
        </w:div>
        <w:div w:id="1839341815">
          <w:marLeft w:val="0"/>
          <w:marRight w:val="0"/>
          <w:marTop w:val="0"/>
          <w:marBottom w:val="0"/>
          <w:divBdr>
            <w:top w:val="none" w:sz="0" w:space="0" w:color="auto"/>
            <w:left w:val="none" w:sz="0" w:space="0" w:color="auto"/>
            <w:bottom w:val="none" w:sz="0" w:space="0" w:color="auto"/>
            <w:right w:val="none" w:sz="0" w:space="0" w:color="auto"/>
          </w:divBdr>
        </w:div>
      </w:divsChild>
    </w:div>
    <w:div w:id="1461681003">
      <w:bodyDiv w:val="1"/>
      <w:marLeft w:val="0"/>
      <w:marRight w:val="0"/>
      <w:marTop w:val="0"/>
      <w:marBottom w:val="0"/>
      <w:divBdr>
        <w:top w:val="none" w:sz="0" w:space="0" w:color="auto"/>
        <w:left w:val="none" w:sz="0" w:space="0" w:color="auto"/>
        <w:bottom w:val="none" w:sz="0" w:space="0" w:color="auto"/>
        <w:right w:val="none" w:sz="0" w:space="0" w:color="auto"/>
      </w:divBdr>
      <w:divsChild>
        <w:div w:id="2010982261">
          <w:marLeft w:val="0"/>
          <w:marRight w:val="0"/>
          <w:marTop w:val="0"/>
          <w:marBottom w:val="0"/>
          <w:divBdr>
            <w:top w:val="none" w:sz="0" w:space="0" w:color="auto"/>
            <w:left w:val="none" w:sz="0" w:space="0" w:color="auto"/>
            <w:bottom w:val="none" w:sz="0" w:space="0" w:color="auto"/>
            <w:right w:val="none" w:sz="0" w:space="0" w:color="auto"/>
          </w:divBdr>
        </w:div>
        <w:div w:id="929972020">
          <w:marLeft w:val="0"/>
          <w:marRight w:val="0"/>
          <w:marTop w:val="0"/>
          <w:marBottom w:val="0"/>
          <w:divBdr>
            <w:top w:val="none" w:sz="0" w:space="0" w:color="auto"/>
            <w:left w:val="none" w:sz="0" w:space="0" w:color="auto"/>
            <w:bottom w:val="none" w:sz="0" w:space="0" w:color="auto"/>
            <w:right w:val="none" w:sz="0" w:space="0" w:color="auto"/>
          </w:divBdr>
        </w:div>
        <w:div w:id="1205674233">
          <w:marLeft w:val="0"/>
          <w:marRight w:val="0"/>
          <w:marTop w:val="0"/>
          <w:marBottom w:val="0"/>
          <w:divBdr>
            <w:top w:val="none" w:sz="0" w:space="0" w:color="auto"/>
            <w:left w:val="none" w:sz="0" w:space="0" w:color="auto"/>
            <w:bottom w:val="none" w:sz="0" w:space="0" w:color="auto"/>
            <w:right w:val="none" w:sz="0" w:space="0" w:color="auto"/>
          </w:divBdr>
        </w:div>
        <w:div w:id="160389544">
          <w:marLeft w:val="0"/>
          <w:marRight w:val="0"/>
          <w:marTop w:val="0"/>
          <w:marBottom w:val="0"/>
          <w:divBdr>
            <w:top w:val="none" w:sz="0" w:space="0" w:color="auto"/>
            <w:left w:val="none" w:sz="0" w:space="0" w:color="auto"/>
            <w:bottom w:val="none" w:sz="0" w:space="0" w:color="auto"/>
            <w:right w:val="none" w:sz="0" w:space="0" w:color="auto"/>
          </w:divBdr>
        </w:div>
        <w:div w:id="719599538">
          <w:marLeft w:val="0"/>
          <w:marRight w:val="0"/>
          <w:marTop w:val="0"/>
          <w:marBottom w:val="0"/>
          <w:divBdr>
            <w:top w:val="none" w:sz="0" w:space="0" w:color="auto"/>
            <w:left w:val="none" w:sz="0" w:space="0" w:color="auto"/>
            <w:bottom w:val="none" w:sz="0" w:space="0" w:color="auto"/>
            <w:right w:val="none" w:sz="0" w:space="0" w:color="auto"/>
          </w:divBdr>
        </w:div>
        <w:div w:id="1002204106">
          <w:marLeft w:val="0"/>
          <w:marRight w:val="0"/>
          <w:marTop w:val="0"/>
          <w:marBottom w:val="0"/>
          <w:divBdr>
            <w:top w:val="none" w:sz="0" w:space="0" w:color="auto"/>
            <w:left w:val="none" w:sz="0" w:space="0" w:color="auto"/>
            <w:bottom w:val="none" w:sz="0" w:space="0" w:color="auto"/>
            <w:right w:val="none" w:sz="0" w:space="0" w:color="auto"/>
          </w:divBdr>
        </w:div>
        <w:div w:id="1104155918">
          <w:marLeft w:val="0"/>
          <w:marRight w:val="0"/>
          <w:marTop w:val="0"/>
          <w:marBottom w:val="0"/>
          <w:divBdr>
            <w:top w:val="none" w:sz="0" w:space="0" w:color="auto"/>
            <w:left w:val="none" w:sz="0" w:space="0" w:color="auto"/>
            <w:bottom w:val="none" w:sz="0" w:space="0" w:color="auto"/>
            <w:right w:val="none" w:sz="0" w:space="0" w:color="auto"/>
          </w:divBdr>
        </w:div>
        <w:div w:id="1111439212">
          <w:marLeft w:val="0"/>
          <w:marRight w:val="0"/>
          <w:marTop w:val="0"/>
          <w:marBottom w:val="0"/>
          <w:divBdr>
            <w:top w:val="none" w:sz="0" w:space="0" w:color="auto"/>
            <w:left w:val="none" w:sz="0" w:space="0" w:color="auto"/>
            <w:bottom w:val="none" w:sz="0" w:space="0" w:color="auto"/>
            <w:right w:val="none" w:sz="0" w:space="0" w:color="auto"/>
          </w:divBdr>
        </w:div>
        <w:div w:id="953170937">
          <w:marLeft w:val="0"/>
          <w:marRight w:val="0"/>
          <w:marTop w:val="0"/>
          <w:marBottom w:val="0"/>
          <w:divBdr>
            <w:top w:val="none" w:sz="0" w:space="0" w:color="auto"/>
            <w:left w:val="none" w:sz="0" w:space="0" w:color="auto"/>
            <w:bottom w:val="none" w:sz="0" w:space="0" w:color="auto"/>
            <w:right w:val="none" w:sz="0" w:space="0" w:color="auto"/>
          </w:divBdr>
        </w:div>
        <w:div w:id="1209534046">
          <w:marLeft w:val="0"/>
          <w:marRight w:val="0"/>
          <w:marTop w:val="0"/>
          <w:marBottom w:val="0"/>
          <w:divBdr>
            <w:top w:val="none" w:sz="0" w:space="0" w:color="auto"/>
            <w:left w:val="none" w:sz="0" w:space="0" w:color="auto"/>
            <w:bottom w:val="none" w:sz="0" w:space="0" w:color="auto"/>
            <w:right w:val="none" w:sz="0" w:space="0" w:color="auto"/>
          </w:divBdr>
        </w:div>
        <w:div w:id="1541354272">
          <w:marLeft w:val="0"/>
          <w:marRight w:val="0"/>
          <w:marTop w:val="0"/>
          <w:marBottom w:val="0"/>
          <w:divBdr>
            <w:top w:val="none" w:sz="0" w:space="0" w:color="auto"/>
            <w:left w:val="none" w:sz="0" w:space="0" w:color="auto"/>
            <w:bottom w:val="none" w:sz="0" w:space="0" w:color="auto"/>
            <w:right w:val="none" w:sz="0" w:space="0" w:color="auto"/>
          </w:divBdr>
        </w:div>
        <w:div w:id="1475368627">
          <w:marLeft w:val="0"/>
          <w:marRight w:val="0"/>
          <w:marTop w:val="0"/>
          <w:marBottom w:val="0"/>
          <w:divBdr>
            <w:top w:val="none" w:sz="0" w:space="0" w:color="auto"/>
            <w:left w:val="none" w:sz="0" w:space="0" w:color="auto"/>
            <w:bottom w:val="none" w:sz="0" w:space="0" w:color="auto"/>
            <w:right w:val="none" w:sz="0" w:space="0" w:color="auto"/>
          </w:divBdr>
        </w:div>
        <w:div w:id="923803278">
          <w:marLeft w:val="0"/>
          <w:marRight w:val="0"/>
          <w:marTop w:val="0"/>
          <w:marBottom w:val="0"/>
          <w:divBdr>
            <w:top w:val="none" w:sz="0" w:space="0" w:color="auto"/>
            <w:left w:val="none" w:sz="0" w:space="0" w:color="auto"/>
            <w:bottom w:val="none" w:sz="0" w:space="0" w:color="auto"/>
            <w:right w:val="none" w:sz="0" w:space="0" w:color="auto"/>
          </w:divBdr>
        </w:div>
        <w:div w:id="1011565836">
          <w:marLeft w:val="0"/>
          <w:marRight w:val="0"/>
          <w:marTop w:val="0"/>
          <w:marBottom w:val="0"/>
          <w:divBdr>
            <w:top w:val="none" w:sz="0" w:space="0" w:color="auto"/>
            <w:left w:val="none" w:sz="0" w:space="0" w:color="auto"/>
            <w:bottom w:val="none" w:sz="0" w:space="0" w:color="auto"/>
            <w:right w:val="none" w:sz="0" w:space="0" w:color="auto"/>
          </w:divBdr>
        </w:div>
        <w:div w:id="2122799409">
          <w:marLeft w:val="0"/>
          <w:marRight w:val="0"/>
          <w:marTop w:val="0"/>
          <w:marBottom w:val="0"/>
          <w:divBdr>
            <w:top w:val="none" w:sz="0" w:space="0" w:color="auto"/>
            <w:left w:val="none" w:sz="0" w:space="0" w:color="auto"/>
            <w:bottom w:val="none" w:sz="0" w:space="0" w:color="auto"/>
            <w:right w:val="none" w:sz="0" w:space="0" w:color="auto"/>
          </w:divBdr>
        </w:div>
        <w:div w:id="1578900539">
          <w:marLeft w:val="0"/>
          <w:marRight w:val="0"/>
          <w:marTop w:val="0"/>
          <w:marBottom w:val="0"/>
          <w:divBdr>
            <w:top w:val="none" w:sz="0" w:space="0" w:color="auto"/>
            <w:left w:val="none" w:sz="0" w:space="0" w:color="auto"/>
            <w:bottom w:val="none" w:sz="0" w:space="0" w:color="auto"/>
            <w:right w:val="none" w:sz="0" w:space="0" w:color="auto"/>
          </w:divBdr>
        </w:div>
        <w:div w:id="58789555">
          <w:marLeft w:val="0"/>
          <w:marRight w:val="0"/>
          <w:marTop w:val="0"/>
          <w:marBottom w:val="0"/>
          <w:divBdr>
            <w:top w:val="none" w:sz="0" w:space="0" w:color="auto"/>
            <w:left w:val="none" w:sz="0" w:space="0" w:color="auto"/>
            <w:bottom w:val="none" w:sz="0" w:space="0" w:color="auto"/>
            <w:right w:val="none" w:sz="0" w:space="0" w:color="auto"/>
          </w:divBdr>
        </w:div>
        <w:div w:id="2030645085">
          <w:marLeft w:val="0"/>
          <w:marRight w:val="0"/>
          <w:marTop w:val="0"/>
          <w:marBottom w:val="0"/>
          <w:divBdr>
            <w:top w:val="none" w:sz="0" w:space="0" w:color="auto"/>
            <w:left w:val="none" w:sz="0" w:space="0" w:color="auto"/>
            <w:bottom w:val="none" w:sz="0" w:space="0" w:color="auto"/>
            <w:right w:val="none" w:sz="0" w:space="0" w:color="auto"/>
          </w:divBdr>
        </w:div>
        <w:div w:id="243345084">
          <w:marLeft w:val="0"/>
          <w:marRight w:val="0"/>
          <w:marTop w:val="0"/>
          <w:marBottom w:val="0"/>
          <w:divBdr>
            <w:top w:val="none" w:sz="0" w:space="0" w:color="auto"/>
            <w:left w:val="none" w:sz="0" w:space="0" w:color="auto"/>
            <w:bottom w:val="none" w:sz="0" w:space="0" w:color="auto"/>
            <w:right w:val="none" w:sz="0" w:space="0" w:color="auto"/>
          </w:divBdr>
        </w:div>
        <w:div w:id="466166132">
          <w:marLeft w:val="0"/>
          <w:marRight w:val="0"/>
          <w:marTop w:val="0"/>
          <w:marBottom w:val="0"/>
          <w:divBdr>
            <w:top w:val="none" w:sz="0" w:space="0" w:color="auto"/>
            <w:left w:val="none" w:sz="0" w:space="0" w:color="auto"/>
            <w:bottom w:val="none" w:sz="0" w:space="0" w:color="auto"/>
            <w:right w:val="none" w:sz="0" w:space="0" w:color="auto"/>
          </w:divBdr>
        </w:div>
        <w:div w:id="1616014023">
          <w:marLeft w:val="0"/>
          <w:marRight w:val="0"/>
          <w:marTop w:val="0"/>
          <w:marBottom w:val="0"/>
          <w:divBdr>
            <w:top w:val="none" w:sz="0" w:space="0" w:color="auto"/>
            <w:left w:val="none" w:sz="0" w:space="0" w:color="auto"/>
            <w:bottom w:val="none" w:sz="0" w:space="0" w:color="auto"/>
            <w:right w:val="none" w:sz="0" w:space="0" w:color="auto"/>
          </w:divBdr>
        </w:div>
        <w:div w:id="1979333639">
          <w:marLeft w:val="0"/>
          <w:marRight w:val="0"/>
          <w:marTop w:val="0"/>
          <w:marBottom w:val="0"/>
          <w:divBdr>
            <w:top w:val="none" w:sz="0" w:space="0" w:color="auto"/>
            <w:left w:val="none" w:sz="0" w:space="0" w:color="auto"/>
            <w:bottom w:val="none" w:sz="0" w:space="0" w:color="auto"/>
            <w:right w:val="none" w:sz="0" w:space="0" w:color="auto"/>
          </w:divBdr>
        </w:div>
        <w:div w:id="1792239775">
          <w:marLeft w:val="0"/>
          <w:marRight w:val="0"/>
          <w:marTop w:val="0"/>
          <w:marBottom w:val="0"/>
          <w:divBdr>
            <w:top w:val="none" w:sz="0" w:space="0" w:color="auto"/>
            <w:left w:val="none" w:sz="0" w:space="0" w:color="auto"/>
            <w:bottom w:val="none" w:sz="0" w:space="0" w:color="auto"/>
            <w:right w:val="none" w:sz="0" w:space="0" w:color="auto"/>
          </w:divBdr>
        </w:div>
        <w:div w:id="1049190220">
          <w:marLeft w:val="0"/>
          <w:marRight w:val="0"/>
          <w:marTop w:val="0"/>
          <w:marBottom w:val="0"/>
          <w:divBdr>
            <w:top w:val="none" w:sz="0" w:space="0" w:color="auto"/>
            <w:left w:val="none" w:sz="0" w:space="0" w:color="auto"/>
            <w:bottom w:val="none" w:sz="0" w:space="0" w:color="auto"/>
            <w:right w:val="none" w:sz="0" w:space="0" w:color="auto"/>
          </w:divBdr>
        </w:div>
        <w:div w:id="265426058">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17180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fhealth.org/screen-test-protect/covid-19-exposure-and-symptoms-who-do-i-call-if/"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alog.ufl.edu/UGRD/academic-regulations/atten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GALUser</cp:lastModifiedBy>
  <cp:revision>3</cp:revision>
  <cp:lastPrinted>2020-08-17T21:00:00Z</cp:lastPrinted>
  <dcterms:created xsi:type="dcterms:W3CDTF">2020-08-19T16:24:00Z</dcterms:created>
  <dcterms:modified xsi:type="dcterms:W3CDTF">2020-08-19T16:33:00Z</dcterms:modified>
</cp:coreProperties>
</file>