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FF930" w14:textId="77777777" w:rsidR="00195D7B" w:rsidRPr="00423960" w:rsidRDefault="00195D7B" w:rsidP="00195D7B">
      <w:pPr>
        <w:jc w:val="center"/>
        <w:rPr>
          <w:rFonts w:eastAsia="Times New Roman" w:cs="Times New Roman"/>
          <w:b/>
          <w:sz w:val="28"/>
          <w:szCs w:val="28"/>
        </w:rPr>
      </w:pPr>
      <w:bookmarkStart w:id="0" w:name="_GoBack"/>
      <w:bookmarkEnd w:id="0"/>
      <w:r w:rsidRPr="00423960">
        <w:rPr>
          <w:rFonts w:eastAsia="Times New Roman" w:cs="Times New Roman"/>
          <w:b/>
          <w:sz w:val="40"/>
          <w:szCs w:val="28"/>
        </w:rPr>
        <w:t>SYLLABUS</w:t>
      </w:r>
    </w:p>
    <w:p w14:paraId="7697970D" w14:textId="77777777" w:rsidR="00195D7B" w:rsidRPr="00401A87" w:rsidRDefault="00BE0138" w:rsidP="00195D7B">
      <w:pPr>
        <w:jc w:val="center"/>
        <w:rPr>
          <w:rFonts w:eastAsia="Times New Roman" w:cs="Times New Roman"/>
          <w:b/>
          <w:sz w:val="28"/>
          <w:szCs w:val="28"/>
        </w:rPr>
      </w:pPr>
      <w:r>
        <w:rPr>
          <w:rFonts w:eastAsia="Times New Roman" w:cs="Times New Roman"/>
          <w:b/>
          <w:sz w:val="28"/>
          <w:szCs w:val="28"/>
        </w:rPr>
        <w:t>BANKRUPTCY</w:t>
      </w:r>
      <w:r w:rsidR="00195D7B">
        <w:rPr>
          <w:rFonts w:eastAsia="Times New Roman" w:cs="Times New Roman"/>
          <w:b/>
          <w:sz w:val="28"/>
          <w:szCs w:val="28"/>
        </w:rPr>
        <w:t xml:space="preserve"> (</w:t>
      </w:r>
      <w:r w:rsidR="00BE236E">
        <w:rPr>
          <w:rFonts w:eastAsia="Times New Roman" w:cs="Times New Roman"/>
          <w:b/>
          <w:sz w:val="28"/>
          <w:szCs w:val="28"/>
        </w:rPr>
        <w:t>Spring 2021</w:t>
      </w:r>
      <w:r w:rsidR="00195D7B">
        <w:rPr>
          <w:rFonts w:eastAsia="Times New Roman" w:cs="Times New Roman"/>
          <w:b/>
          <w:sz w:val="28"/>
          <w:szCs w:val="28"/>
        </w:rPr>
        <w:t>)</w:t>
      </w:r>
    </w:p>
    <w:p w14:paraId="308ACE27" w14:textId="77777777" w:rsidR="00195D7B" w:rsidRDefault="00195D7B" w:rsidP="00195D7B">
      <w:pPr>
        <w:ind w:right="-180"/>
        <w:jc w:val="both"/>
        <w:rPr>
          <w:rFonts w:ascii="Book Antiqua" w:eastAsia="Times New Roman" w:hAnsi="Book Antiqua" w:cs="Times New Roman"/>
          <w:sz w:val="26"/>
          <w:szCs w:val="26"/>
        </w:rPr>
      </w:pPr>
    </w:p>
    <w:p w14:paraId="58136E88" w14:textId="77777777" w:rsidR="00195D7B" w:rsidRPr="00423960" w:rsidRDefault="00195D7B" w:rsidP="00195D7B">
      <w:pPr>
        <w:ind w:right="-180"/>
        <w:jc w:val="both"/>
        <w:rPr>
          <w:rFonts w:ascii="Book Antiqua" w:eastAsia="Times New Roman" w:hAnsi="Book Antiqua" w:cs="Times New Roman"/>
        </w:rPr>
      </w:pPr>
      <w:r>
        <w:rPr>
          <w:rFonts w:ascii="Book Antiqua" w:eastAsia="Times New Roman" w:hAnsi="Book Antiqua" w:cs="Times New Roman"/>
        </w:rPr>
        <w:t xml:space="preserve">PROFESSOR: </w:t>
      </w:r>
      <w:r>
        <w:rPr>
          <w:rFonts w:ascii="Book Antiqua" w:eastAsia="Times New Roman" w:hAnsi="Book Antiqua" w:cs="Times New Roman"/>
        </w:rPr>
        <w:tab/>
      </w:r>
      <w:r>
        <w:rPr>
          <w:rFonts w:ascii="Book Antiqua" w:eastAsia="Times New Roman" w:hAnsi="Book Antiqua" w:cs="Times New Roman"/>
        </w:rPr>
        <w:tab/>
      </w:r>
      <w:r w:rsidRPr="00423960">
        <w:rPr>
          <w:rFonts w:ascii="Book Antiqua" w:eastAsia="Times New Roman" w:hAnsi="Book Antiqua" w:cs="Times New Roman"/>
        </w:rPr>
        <w:t xml:space="preserve">Robert J. Rhee </w:t>
      </w:r>
    </w:p>
    <w:p w14:paraId="7C84325E" w14:textId="77777777" w:rsidR="00195D7B" w:rsidRDefault="00195D7B" w:rsidP="00195D7B">
      <w:pPr>
        <w:ind w:right="-180"/>
        <w:jc w:val="both"/>
        <w:rPr>
          <w:rFonts w:ascii="Book Antiqua" w:eastAsia="Times New Roman" w:hAnsi="Book Antiqua" w:cs="Times New Roman"/>
        </w:rPr>
      </w:pPr>
    </w:p>
    <w:p w14:paraId="768D2D9E" w14:textId="77777777" w:rsidR="00195D7B" w:rsidRPr="00423960" w:rsidRDefault="00195D7B" w:rsidP="002967FE">
      <w:pPr>
        <w:ind w:right="-180"/>
        <w:jc w:val="both"/>
        <w:rPr>
          <w:rFonts w:ascii="Book Antiqua" w:eastAsia="Times New Roman" w:hAnsi="Book Antiqua" w:cs="Times New Roman"/>
        </w:rPr>
      </w:pPr>
      <w:r w:rsidRPr="00423960">
        <w:rPr>
          <w:rFonts w:ascii="Book Antiqua" w:eastAsia="Times New Roman" w:hAnsi="Book Antiqua" w:cs="Times New Roman"/>
        </w:rPr>
        <w:t>CONTACT</w:t>
      </w:r>
      <w:r>
        <w:rPr>
          <w:rFonts w:ascii="Book Antiqua" w:eastAsia="Times New Roman" w:hAnsi="Book Antiqua" w:cs="Times New Roman"/>
        </w:rPr>
        <w:t>:</w:t>
      </w:r>
      <w:r>
        <w:rPr>
          <w:rFonts w:ascii="Book Antiqua" w:eastAsia="Times New Roman" w:hAnsi="Book Antiqua" w:cs="Times New Roman"/>
        </w:rPr>
        <w:tab/>
      </w:r>
      <w:r w:rsidRPr="00423960">
        <w:rPr>
          <w:rFonts w:ascii="Book Antiqua" w:eastAsia="Times New Roman" w:hAnsi="Book Antiqua" w:cs="Times New Roman"/>
        </w:rPr>
        <w:tab/>
      </w:r>
      <w:r w:rsidRPr="00423960">
        <w:rPr>
          <w:rFonts w:ascii="Book Antiqua" w:eastAsia="Times New Roman" w:hAnsi="Book Antiqua" w:cs="Times New Roman"/>
        </w:rPr>
        <w:tab/>
      </w:r>
      <w:r>
        <w:rPr>
          <w:rFonts w:ascii="Book Antiqua" w:eastAsia="Times New Roman" w:hAnsi="Book Antiqua" w:cs="Times New Roman"/>
        </w:rPr>
        <w:t>Holland Hall</w:t>
      </w:r>
      <w:r w:rsidRPr="00423960">
        <w:rPr>
          <w:rFonts w:ascii="Book Antiqua" w:eastAsia="Times New Roman" w:hAnsi="Book Antiqua" w:cs="Times New Roman"/>
        </w:rPr>
        <w:t xml:space="preserve"> # 378</w:t>
      </w:r>
      <w:r>
        <w:rPr>
          <w:rFonts w:ascii="Book Antiqua" w:eastAsia="Times New Roman" w:hAnsi="Book Antiqua" w:cs="Times New Roman"/>
        </w:rPr>
        <w:t xml:space="preserve">, </w:t>
      </w:r>
      <w:r w:rsidRPr="00423960">
        <w:rPr>
          <w:rFonts w:ascii="Book Antiqua" w:eastAsia="Times New Roman" w:hAnsi="Book Antiqua" w:cs="Times New Roman"/>
        </w:rPr>
        <w:t>352-273-</w:t>
      </w:r>
      <w:proofErr w:type="gramStart"/>
      <w:r w:rsidRPr="00423960">
        <w:rPr>
          <w:rFonts w:ascii="Book Antiqua" w:eastAsia="Times New Roman" w:hAnsi="Book Antiqua" w:cs="Times New Roman"/>
        </w:rPr>
        <w:t>0958</w:t>
      </w:r>
      <w:r w:rsidR="002967FE">
        <w:rPr>
          <w:rFonts w:ascii="Book Antiqua" w:eastAsia="Times New Roman" w:hAnsi="Book Antiqua" w:cs="Times New Roman"/>
        </w:rPr>
        <w:t xml:space="preserve">;  </w:t>
      </w:r>
      <w:r w:rsidRPr="00423960">
        <w:rPr>
          <w:rFonts w:ascii="Book Antiqua" w:eastAsia="Times New Roman" w:hAnsi="Book Antiqua" w:cs="Times New Roman"/>
        </w:rPr>
        <w:t>rhee@law.ufl.edu</w:t>
      </w:r>
      <w:proofErr w:type="gramEnd"/>
    </w:p>
    <w:p w14:paraId="211BEEC7" w14:textId="77777777" w:rsidR="00195D7B" w:rsidRDefault="00195D7B" w:rsidP="00195D7B">
      <w:pPr>
        <w:ind w:right="-180"/>
        <w:jc w:val="both"/>
        <w:rPr>
          <w:rFonts w:ascii="Book Antiqua" w:eastAsia="Times New Roman" w:hAnsi="Book Antiqua" w:cs="Times New Roman"/>
        </w:rPr>
      </w:pPr>
    </w:p>
    <w:p w14:paraId="47A3FCD1" w14:textId="33A81E53" w:rsidR="00195D7B" w:rsidRPr="00423960" w:rsidRDefault="00195D7B" w:rsidP="00195D7B">
      <w:pPr>
        <w:ind w:right="-180"/>
        <w:jc w:val="both"/>
        <w:rPr>
          <w:rFonts w:ascii="Book Antiqua" w:eastAsia="Times New Roman" w:hAnsi="Book Antiqua" w:cs="Times New Roman"/>
        </w:rPr>
      </w:pPr>
      <w:r>
        <w:rPr>
          <w:rFonts w:ascii="Book Antiqua" w:eastAsia="Times New Roman" w:hAnsi="Book Antiqua" w:cs="Times New Roman"/>
        </w:rPr>
        <w:t xml:space="preserve">CLASSROOM: </w:t>
      </w:r>
      <w:r>
        <w:rPr>
          <w:rFonts w:ascii="Book Antiqua" w:eastAsia="Times New Roman" w:hAnsi="Book Antiqua" w:cs="Times New Roman"/>
        </w:rPr>
        <w:tab/>
      </w:r>
      <w:r w:rsidRPr="00423960">
        <w:rPr>
          <w:rFonts w:ascii="Book Antiqua" w:eastAsia="Times New Roman" w:hAnsi="Book Antiqua" w:cs="Times New Roman"/>
        </w:rPr>
        <w:tab/>
      </w:r>
      <w:r w:rsidR="005302A1">
        <w:rPr>
          <w:rFonts w:ascii="Book Antiqua" w:eastAsia="Times New Roman" w:hAnsi="Book Antiqua" w:cs="Times New Roman"/>
        </w:rPr>
        <w:t xml:space="preserve">Holland 382 </w:t>
      </w:r>
      <w:r w:rsidR="00BE0138">
        <w:rPr>
          <w:rFonts w:ascii="Book Antiqua" w:eastAsia="Times New Roman" w:hAnsi="Book Antiqua" w:cs="Times New Roman"/>
        </w:rPr>
        <w:t xml:space="preserve"> </w:t>
      </w:r>
    </w:p>
    <w:p w14:paraId="7926C46D" w14:textId="77777777" w:rsidR="00195D7B" w:rsidRDefault="00195D7B" w:rsidP="00195D7B">
      <w:pPr>
        <w:ind w:right="-187"/>
        <w:jc w:val="both"/>
        <w:rPr>
          <w:rFonts w:ascii="Book Antiqua" w:eastAsia="Times New Roman" w:hAnsi="Book Antiqua" w:cs="Times New Roman"/>
        </w:rPr>
      </w:pPr>
    </w:p>
    <w:p w14:paraId="5F4A7604" w14:textId="213DB14D" w:rsidR="00195D7B" w:rsidRDefault="00195D7B" w:rsidP="00195D7B">
      <w:pPr>
        <w:ind w:right="-187"/>
        <w:jc w:val="both"/>
        <w:rPr>
          <w:rFonts w:ascii="Book Antiqua" w:eastAsia="Times New Roman" w:hAnsi="Book Antiqua" w:cs="Times New Roman"/>
        </w:rPr>
      </w:pPr>
      <w:r>
        <w:rPr>
          <w:rFonts w:ascii="Book Antiqua" w:eastAsia="Times New Roman" w:hAnsi="Book Antiqua" w:cs="Times New Roman"/>
        </w:rPr>
        <w:t xml:space="preserve">CLASS TIME: </w:t>
      </w:r>
      <w:r>
        <w:rPr>
          <w:rFonts w:ascii="Book Antiqua" w:eastAsia="Times New Roman" w:hAnsi="Book Antiqua" w:cs="Times New Roman"/>
        </w:rPr>
        <w:tab/>
      </w:r>
      <w:r>
        <w:rPr>
          <w:rFonts w:ascii="Book Antiqua" w:eastAsia="Times New Roman" w:hAnsi="Book Antiqua" w:cs="Times New Roman"/>
        </w:rPr>
        <w:tab/>
      </w:r>
      <w:r w:rsidR="005302A1">
        <w:rPr>
          <w:rFonts w:ascii="Book Antiqua" w:eastAsia="Times New Roman" w:hAnsi="Book Antiqua" w:cs="Times New Roman"/>
        </w:rPr>
        <w:t>Thursday</w:t>
      </w:r>
      <w:r w:rsidR="00D066BE">
        <w:rPr>
          <w:rFonts w:ascii="Book Antiqua" w:eastAsia="Times New Roman" w:hAnsi="Book Antiqua" w:cs="Times New Roman"/>
        </w:rPr>
        <w:t xml:space="preserve"> &amp; </w:t>
      </w:r>
      <w:r w:rsidR="005302A1">
        <w:rPr>
          <w:rFonts w:ascii="Book Antiqua" w:eastAsia="Times New Roman" w:hAnsi="Book Antiqua" w:cs="Times New Roman"/>
        </w:rPr>
        <w:t>Friday</w:t>
      </w:r>
      <w:r>
        <w:rPr>
          <w:rFonts w:ascii="Book Antiqua" w:eastAsia="Times New Roman" w:hAnsi="Book Antiqua" w:cs="Times New Roman"/>
        </w:rPr>
        <w:t xml:space="preserve">:  </w:t>
      </w:r>
      <w:r>
        <w:rPr>
          <w:rFonts w:ascii="Book Antiqua" w:eastAsia="Times New Roman" w:hAnsi="Book Antiqua" w:cs="Times New Roman"/>
        </w:rPr>
        <w:tab/>
      </w:r>
      <w:r w:rsidR="00D066BE">
        <w:rPr>
          <w:rFonts w:ascii="Book Antiqua" w:eastAsia="Times New Roman" w:hAnsi="Book Antiqua" w:cs="Times New Roman"/>
        </w:rPr>
        <w:t xml:space="preserve">10:30am to 11:55am </w:t>
      </w:r>
      <w:r w:rsidRPr="00423960">
        <w:rPr>
          <w:rFonts w:ascii="Book Antiqua" w:eastAsia="Times New Roman" w:hAnsi="Book Antiqua" w:cs="Times New Roman"/>
        </w:rPr>
        <w:t xml:space="preserve"> </w:t>
      </w:r>
      <w:r>
        <w:rPr>
          <w:rFonts w:ascii="Book Antiqua" w:eastAsia="Times New Roman" w:hAnsi="Book Antiqua" w:cs="Times New Roman"/>
        </w:rPr>
        <w:t xml:space="preserve"> </w:t>
      </w:r>
    </w:p>
    <w:p w14:paraId="469E715D" w14:textId="77777777" w:rsidR="00195D7B" w:rsidRPr="00423960" w:rsidRDefault="00626746" w:rsidP="00195D7B">
      <w:pPr>
        <w:ind w:right="-187"/>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p>
    <w:p w14:paraId="173D164A" w14:textId="77777777" w:rsidR="005302A1" w:rsidRDefault="00195D7B" w:rsidP="00195D7B">
      <w:pPr>
        <w:ind w:right="-187"/>
        <w:jc w:val="both"/>
        <w:rPr>
          <w:rFonts w:ascii="Book Antiqua" w:eastAsia="Times New Roman" w:hAnsi="Book Antiqua" w:cs="Times New Roman"/>
        </w:rPr>
      </w:pPr>
      <w:r>
        <w:rPr>
          <w:rFonts w:ascii="Book Antiqua" w:eastAsia="Times New Roman" w:hAnsi="Book Antiqua" w:cs="Times New Roman"/>
        </w:rPr>
        <w:t xml:space="preserve">OFFICE HOURS: </w:t>
      </w:r>
      <w:r>
        <w:rPr>
          <w:rFonts w:ascii="Book Antiqua" w:eastAsia="Times New Roman" w:hAnsi="Book Antiqua" w:cs="Times New Roman"/>
        </w:rPr>
        <w:tab/>
      </w:r>
      <w:r>
        <w:rPr>
          <w:rFonts w:ascii="Book Antiqua" w:eastAsia="Times New Roman" w:hAnsi="Book Antiqua" w:cs="Times New Roman"/>
        </w:rPr>
        <w:tab/>
      </w:r>
      <w:r w:rsidR="005302A1">
        <w:rPr>
          <w:rFonts w:ascii="Book Antiqua" w:eastAsia="Times New Roman" w:hAnsi="Book Antiqua" w:cs="Times New Roman"/>
        </w:rPr>
        <w:t>Thursday</w:t>
      </w:r>
      <w:r w:rsidR="00AD33CD">
        <w:rPr>
          <w:rFonts w:ascii="Book Antiqua" w:eastAsia="Times New Roman" w:hAnsi="Book Antiqua" w:cs="Times New Roman"/>
        </w:rPr>
        <w:t xml:space="preserve"> &amp; </w:t>
      </w:r>
      <w:r w:rsidR="005302A1">
        <w:rPr>
          <w:rFonts w:ascii="Book Antiqua" w:eastAsia="Times New Roman" w:hAnsi="Book Antiqua" w:cs="Times New Roman"/>
        </w:rPr>
        <w:t>Friday</w:t>
      </w:r>
      <w:r w:rsidR="00AD33CD">
        <w:rPr>
          <w:rFonts w:ascii="Book Antiqua" w:eastAsia="Times New Roman" w:hAnsi="Book Antiqua" w:cs="Times New Roman"/>
        </w:rPr>
        <w:t>:</w:t>
      </w:r>
      <w:r>
        <w:rPr>
          <w:rFonts w:ascii="Book Antiqua" w:eastAsia="Times New Roman" w:hAnsi="Book Antiqua" w:cs="Times New Roman"/>
        </w:rPr>
        <w:t xml:space="preserve">  </w:t>
      </w:r>
      <w:r>
        <w:rPr>
          <w:rFonts w:ascii="Book Antiqua" w:eastAsia="Times New Roman" w:hAnsi="Book Antiqua" w:cs="Times New Roman"/>
        </w:rPr>
        <w:tab/>
      </w:r>
      <w:r w:rsidR="0031131E">
        <w:rPr>
          <w:rFonts w:ascii="Book Antiqua" w:eastAsia="Times New Roman" w:hAnsi="Book Antiqua" w:cs="Times New Roman"/>
        </w:rPr>
        <w:t>1</w:t>
      </w:r>
      <w:r w:rsidR="00D066BE">
        <w:rPr>
          <w:rFonts w:ascii="Book Antiqua" w:eastAsia="Times New Roman" w:hAnsi="Book Antiqua" w:cs="Times New Roman"/>
        </w:rPr>
        <w:t>2</w:t>
      </w:r>
      <w:r w:rsidR="00626746">
        <w:rPr>
          <w:rFonts w:ascii="Book Antiqua" w:eastAsia="Times New Roman" w:hAnsi="Book Antiqua" w:cs="Times New Roman"/>
        </w:rPr>
        <w:t>:0</w:t>
      </w:r>
      <w:r w:rsidR="00D066BE">
        <w:rPr>
          <w:rFonts w:ascii="Book Antiqua" w:eastAsia="Times New Roman" w:hAnsi="Book Antiqua" w:cs="Times New Roman"/>
        </w:rPr>
        <w:t>0pm</w:t>
      </w:r>
      <w:r w:rsidR="0051265E">
        <w:rPr>
          <w:rFonts w:ascii="Book Antiqua" w:eastAsia="Times New Roman" w:hAnsi="Book Antiqua" w:cs="Times New Roman"/>
        </w:rPr>
        <w:t xml:space="preserve"> to 1:0</w:t>
      </w:r>
      <w:r w:rsidR="00D066BE">
        <w:rPr>
          <w:rFonts w:ascii="Book Antiqua" w:eastAsia="Times New Roman" w:hAnsi="Book Antiqua" w:cs="Times New Roman"/>
        </w:rPr>
        <w:t>0 pm</w:t>
      </w:r>
    </w:p>
    <w:p w14:paraId="476FC491" w14:textId="0FC26F66" w:rsidR="00195D7B" w:rsidRPr="00423960" w:rsidRDefault="005302A1" w:rsidP="00195D7B">
      <w:pPr>
        <w:ind w:right="-187"/>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t xml:space="preserve">Zoom or telephone call only </w:t>
      </w:r>
      <w:r w:rsidR="00195D7B" w:rsidRPr="00423960">
        <w:rPr>
          <w:rFonts w:ascii="Book Antiqua" w:eastAsia="Times New Roman" w:hAnsi="Book Antiqua" w:cs="Times New Roman"/>
        </w:rPr>
        <w:t xml:space="preserve"> </w:t>
      </w:r>
      <w:r w:rsidR="00195D7B">
        <w:rPr>
          <w:rFonts w:ascii="Book Antiqua" w:eastAsia="Times New Roman" w:hAnsi="Book Antiqua" w:cs="Times New Roman"/>
        </w:rPr>
        <w:t xml:space="preserve"> </w:t>
      </w:r>
    </w:p>
    <w:p w14:paraId="25D4C8F7" w14:textId="77777777" w:rsidR="00195D7B" w:rsidRPr="00423960" w:rsidRDefault="00195D7B" w:rsidP="00195D7B">
      <w:pPr>
        <w:ind w:right="-187"/>
        <w:jc w:val="both"/>
        <w:rPr>
          <w:rFonts w:ascii="Book Antiqua" w:eastAsia="Times New Roman" w:hAnsi="Book Antiqua" w:cs="Times New Roman"/>
        </w:rPr>
      </w:pPr>
    </w:p>
    <w:p w14:paraId="6F2E80D9" w14:textId="7FD06CF7" w:rsidR="00195D7B" w:rsidRPr="00A664FE" w:rsidRDefault="00195D7B" w:rsidP="00195D7B">
      <w:pPr>
        <w:autoSpaceDE w:val="0"/>
        <w:autoSpaceDN w:val="0"/>
        <w:adjustRightInd w:val="0"/>
        <w:ind w:left="2880" w:hanging="2880"/>
        <w:jc w:val="both"/>
      </w:pPr>
      <w:r>
        <w:rPr>
          <w:rFonts w:ascii="Book Antiqua" w:eastAsia="Times New Roman" w:hAnsi="Book Antiqua" w:cs="Times New Roman"/>
        </w:rPr>
        <w:t xml:space="preserve">FINAL EXAM:  </w:t>
      </w:r>
      <w:r>
        <w:rPr>
          <w:rFonts w:ascii="Book Antiqua" w:eastAsia="Times New Roman" w:hAnsi="Book Antiqua" w:cs="Times New Roman"/>
        </w:rPr>
        <w:tab/>
      </w:r>
      <w:r w:rsidR="005302A1">
        <w:t xml:space="preserve">TBD </w:t>
      </w:r>
      <w:r w:rsidR="00BE0138">
        <w:t xml:space="preserve"> </w:t>
      </w:r>
    </w:p>
    <w:p w14:paraId="6611EBDB" w14:textId="77777777" w:rsidR="0039279E" w:rsidRPr="00423960" w:rsidRDefault="0039279E" w:rsidP="00195D7B">
      <w:pPr>
        <w:jc w:val="both"/>
        <w:rPr>
          <w:rFonts w:ascii="Book Antiqua" w:eastAsia="Times New Roman" w:hAnsi="Book Antiqua" w:cs="Times New Roman"/>
        </w:rPr>
      </w:pPr>
    </w:p>
    <w:p w14:paraId="58922778" w14:textId="77777777" w:rsidR="00195D7B" w:rsidRPr="00423960" w:rsidRDefault="00195D7B" w:rsidP="00195D7B">
      <w:pPr>
        <w:jc w:val="both"/>
        <w:rPr>
          <w:rFonts w:ascii="Book Antiqua" w:eastAsia="Times New Roman" w:hAnsi="Book Antiqua" w:cs="Times New Roman"/>
          <w:b/>
        </w:rPr>
      </w:pPr>
      <w:r w:rsidRPr="00423960">
        <w:rPr>
          <w:rFonts w:ascii="Book Antiqua" w:eastAsia="Times New Roman" w:hAnsi="Book Antiqua" w:cs="Times New Roman"/>
          <w:b/>
        </w:rPr>
        <w:t xml:space="preserve">TEXTBOOKS </w:t>
      </w:r>
    </w:p>
    <w:p w14:paraId="7A010A8B" w14:textId="77777777" w:rsidR="00195D7B" w:rsidRPr="00423960" w:rsidRDefault="00195D7B" w:rsidP="00195D7B">
      <w:pPr>
        <w:jc w:val="both"/>
        <w:rPr>
          <w:rFonts w:ascii="Book Antiqua" w:eastAsia="Times New Roman" w:hAnsi="Book Antiqua" w:cs="Times New Roman"/>
          <w:b/>
        </w:rPr>
      </w:pPr>
    </w:p>
    <w:p w14:paraId="14FE828A" w14:textId="77777777" w:rsidR="00195D7B" w:rsidRDefault="00BE236E" w:rsidP="00195D7B">
      <w:pPr>
        <w:jc w:val="both"/>
      </w:pPr>
      <w:r>
        <w:t xml:space="preserve">Daniel J. </w:t>
      </w:r>
      <w:proofErr w:type="spellStart"/>
      <w:r>
        <w:t>Bussel</w:t>
      </w:r>
      <w:proofErr w:type="spellEnd"/>
      <w:r>
        <w:t xml:space="preserve"> &amp; David A. </w:t>
      </w:r>
      <w:proofErr w:type="spellStart"/>
      <w:r>
        <w:t>Skeel</w:t>
      </w:r>
      <w:proofErr w:type="spellEnd"/>
      <w:r>
        <w:t xml:space="preserve">, </w:t>
      </w:r>
      <w:r w:rsidR="00BE0138">
        <w:t xml:space="preserve">Bankruptcy (10th ed. Foundation Press 2015) </w:t>
      </w:r>
    </w:p>
    <w:p w14:paraId="02E2AE58" w14:textId="77777777" w:rsidR="005848E7" w:rsidRDefault="005848E7" w:rsidP="00195D7B">
      <w:pPr>
        <w:jc w:val="both"/>
      </w:pPr>
    </w:p>
    <w:p w14:paraId="4D472103" w14:textId="77777777" w:rsidR="00BE236E" w:rsidRDefault="006625A2" w:rsidP="00195D7B">
      <w:pPr>
        <w:jc w:val="both"/>
      </w:pPr>
      <w:r>
        <w:t>I do not assign a statutory supplement. I see no need to require students to purchase a statutory supplement when the statute is freely available online. Students are required to review all statutory materials</w:t>
      </w:r>
      <w:r w:rsidR="00C94963">
        <w:t xml:space="preserve"> as presented in the textbook and the syllabus</w:t>
      </w:r>
      <w:r>
        <w:t xml:space="preserve">. The </w:t>
      </w:r>
      <w:r w:rsidR="00BE236E">
        <w:t>U.S. Bankruptcy Code</w:t>
      </w:r>
      <w:r>
        <w:t xml:space="preserve"> is available at</w:t>
      </w:r>
      <w:r w:rsidR="00BE236E">
        <w:t xml:space="preserve">:  </w:t>
      </w:r>
      <w:hyperlink r:id="rId5" w:history="1">
        <w:r w:rsidR="00BE236E">
          <w:rPr>
            <w:rStyle w:val="Hyperlink"/>
          </w:rPr>
          <w:t>https://www.law.cornell.edu/uscode/text/11</w:t>
        </w:r>
      </w:hyperlink>
      <w:r w:rsidR="00C94963">
        <w:rPr>
          <w:rStyle w:val="Hyperlink"/>
        </w:rPr>
        <w:t>.</w:t>
      </w:r>
      <w:r w:rsidR="00BE236E">
        <w:t xml:space="preserve"> </w:t>
      </w:r>
    </w:p>
    <w:p w14:paraId="3CCA4F07" w14:textId="77777777" w:rsidR="00195D7B" w:rsidRDefault="00195D7B" w:rsidP="00195D7B">
      <w:pPr>
        <w:jc w:val="both"/>
        <w:rPr>
          <w:rFonts w:ascii="Book Antiqua" w:eastAsia="Times New Roman" w:hAnsi="Book Antiqua" w:cs="Times New Roman"/>
        </w:rPr>
      </w:pPr>
      <w:bookmarkStart w:id="1" w:name="_Hlk61351058"/>
    </w:p>
    <w:p w14:paraId="0E1B80F6" w14:textId="06E0D740" w:rsidR="006B5B38" w:rsidRDefault="006B5B38" w:rsidP="00626746">
      <w:pPr>
        <w:jc w:val="both"/>
        <w:rPr>
          <w:rFonts w:ascii="Book Antiqua" w:eastAsia="Times New Roman" w:hAnsi="Book Antiqua" w:cs="Times New Roman"/>
          <w:b/>
        </w:rPr>
      </w:pPr>
      <w:r>
        <w:rPr>
          <w:rFonts w:ascii="Book Antiqua" w:eastAsia="Times New Roman" w:hAnsi="Book Antiqua" w:cs="Times New Roman"/>
          <w:b/>
        </w:rPr>
        <w:t>COURSE DESCRIPTION</w:t>
      </w:r>
    </w:p>
    <w:p w14:paraId="3BC51C30" w14:textId="0E887918" w:rsidR="006B5B38" w:rsidRDefault="006B5B38" w:rsidP="00626746">
      <w:pPr>
        <w:jc w:val="both"/>
      </w:pPr>
    </w:p>
    <w:p w14:paraId="249A4A30" w14:textId="511A1EAF" w:rsidR="006B5B38" w:rsidRDefault="006B5B38" w:rsidP="00626746">
      <w:pPr>
        <w:jc w:val="both"/>
      </w:pPr>
      <w:r>
        <w:t xml:space="preserve">Creditors’ Remedies and Bankruptcy </w:t>
      </w:r>
      <w:r w:rsidRPr="006B5B38">
        <w:t>(LAW 605</w:t>
      </w:r>
      <w:r>
        <w:t>2</w:t>
      </w:r>
      <w:r w:rsidRPr="006B5B38">
        <w:t>)</w:t>
      </w:r>
      <w:r>
        <w:t xml:space="preserve">: This course is a </w:t>
      </w:r>
      <w:r w:rsidRPr="006B5B38">
        <w:t>study of individual collection of monetary judgments and administration of insolvent estates under the Bankruptcy Code and state law.</w:t>
      </w:r>
    </w:p>
    <w:p w14:paraId="723A766D" w14:textId="77777777" w:rsidR="006B5B38" w:rsidRPr="006B5B38" w:rsidRDefault="006B5B38" w:rsidP="00626746">
      <w:pPr>
        <w:jc w:val="both"/>
      </w:pPr>
    </w:p>
    <w:bookmarkEnd w:id="1"/>
    <w:p w14:paraId="38468F58" w14:textId="502F25AC" w:rsidR="00626746" w:rsidRPr="00800466" w:rsidRDefault="00626746" w:rsidP="00626746">
      <w:pPr>
        <w:jc w:val="both"/>
        <w:rPr>
          <w:rFonts w:ascii="Book Antiqua" w:eastAsia="Times New Roman" w:hAnsi="Book Antiqua" w:cs="Times New Roman"/>
          <w:b/>
        </w:rPr>
      </w:pPr>
      <w:r w:rsidRPr="00800466">
        <w:rPr>
          <w:rFonts w:ascii="Book Antiqua" w:eastAsia="Times New Roman" w:hAnsi="Book Antiqua" w:cs="Times New Roman"/>
          <w:b/>
        </w:rPr>
        <w:t xml:space="preserve">STUDENT LEARNING OUTCOMES </w:t>
      </w:r>
    </w:p>
    <w:p w14:paraId="05F5E79B" w14:textId="77777777" w:rsidR="00DF53FF" w:rsidRPr="00423960" w:rsidRDefault="00DF53FF" w:rsidP="00DF53FF">
      <w:pPr>
        <w:jc w:val="both"/>
        <w:rPr>
          <w:rFonts w:ascii="Book Antiqua" w:eastAsia="Times New Roman" w:hAnsi="Book Antiqua" w:cs="Times New Roman"/>
        </w:rPr>
      </w:pPr>
    </w:p>
    <w:p w14:paraId="45C2E778" w14:textId="77777777" w:rsidR="006625A2" w:rsidRDefault="006625A2" w:rsidP="006625A2">
      <w:pPr>
        <w:jc w:val="both"/>
      </w:pPr>
      <w:r w:rsidRPr="0068569A">
        <w:t>After completing this course, students should be able to:</w:t>
      </w:r>
    </w:p>
    <w:p w14:paraId="6136CF58" w14:textId="77777777" w:rsidR="006625A2" w:rsidRDefault="006625A2" w:rsidP="00B15832">
      <w:pPr>
        <w:pStyle w:val="ListParagraph"/>
        <w:numPr>
          <w:ilvl w:val="0"/>
          <w:numId w:val="1"/>
        </w:numPr>
        <w:jc w:val="both"/>
      </w:pPr>
      <w:r>
        <w:t>Know and analyze the laws applicable to creditors’ rights and bankruptcy in general.</w:t>
      </w:r>
    </w:p>
    <w:p w14:paraId="0EBD3A43" w14:textId="77777777" w:rsidR="006625A2" w:rsidRDefault="006625A2" w:rsidP="00B15832">
      <w:pPr>
        <w:pStyle w:val="ListParagraph"/>
        <w:numPr>
          <w:ilvl w:val="0"/>
          <w:numId w:val="1"/>
        </w:numPr>
        <w:jc w:val="both"/>
      </w:pPr>
      <w:r>
        <w:t xml:space="preserve">Consider issues related to advising the debtor or creditors arising under federal bankruptcy law, including issues related to </w:t>
      </w:r>
      <w:r w:rsidR="004B5C37">
        <w:t>bankruptcy claims, making claims under bankruptcy, avoidance, and chapter 11 reorganization</w:t>
      </w:r>
      <w:r>
        <w:t>.</w:t>
      </w:r>
    </w:p>
    <w:p w14:paraId="0C70E746" w14:textId="77777777" w:rsidR="006625A2" w:rsidRDefault="006625A2" w:rsidP="00B15832">
      <w:pPr>
        <w:pStyle w:val="ListParagraph"/>
        <w:numPr>
          <w:ilvl w:val="0"/>
          <w:numId w:val="1"/>
        </w:numPr>
        <w:jc w:val="both"/>
      </w:pPr>
      <w:r>
        <w:t xml:space="preserve">Know </w:t>
      </w:r>
      <w:r w:rsidR="004B5C37">
        <w:t>the basic transactional processes involved in the pursuit of creditors’ claims and bankruptcy</w:t>
      </w:r>
      <w:r>
        <w:t xml:space="preserve">. </w:t>
      </w:r>
    </w:p>
    <w:p w14:paraId="62650E1E" w14:textId="77777777" w:rsidR="00AB3EBA" w:rsidRPr="00800466" w:rsidRDefault="006625A2" w:rsidP="00B15832">
      <w:pPr>
        <w:pStyle w:val="ListParagraph"/>
        <w:numPr>
          <w:ilvl w:val="0"/>
          <w:numId w:val="1"/>
        </w:numPr>
        <w:jc w:val="both"/>
      </w:pPr>
      <w:r>
        <w:lastRenderedPageBreak/>
        <w:t xml:space="preserve">Know and apply basic business concepts in accounting, finance, and economics specifically relevant and related to the understanding of </w:t>
      </w:r>
      <w:r w:rsidR="004B5C37">
        <w:t>bankruptcy</w:t>
      </w:r>
      <w:r>
        <w:t xml:space="preserve">. </w:t>
      </w:r>
      <w:r w:rsidR="00BE0138">
        <w:t xml:space="preserve"> </w:t>
      </w:r>
      <w:r w:rsidR="00AB3EBA">
        <w:t xml:space="preserve"> </w:t>
      </w:r>
    </w:p>
    <w:p w14:paraId="59DB7CBF" w14:textId="77777777" w:rsidR="00626746" w:rsidRPr="00DF53FF" w:rsidRDefault="00626746" w:rsidP="00195D7B">
      <w:pPr>
        <w:jc w:val="both"/>
      </w:pPr>
    </w:p>
    <w:p w14:paraId="544DA226" w14:textId="77777777" w:rsidR="00195D7B" w:rsidRPr="00423960" w:rsidRDefault="00195D7B" w:rsidP="00195D7B">
      <w:pPr>
        <w:rPr>
          <w:rFonts w:ascii="Book Antiqua" w:eastAsia="Times New Roman" w:hAnsi="Book Antiqua" w:cs="Times New Roman"/>
          <w:b/>
        </w:rPr>
      </w:pPr>
      <w:r w:rsidRPr="00423960">
        <w:rPr>
          <w:rFonts w:ascii="Book Antiqua" w:eastAsia="Times New Roman" w:hAnsi="Book Antiqua" w:cs="Times New Roman"/>
          <w:b/>
        </w:rPr>
        <w:t>GRADING</w:t>
      </w:r>
    </w:p>
    <w:p w14:paraId="415261D3" w14:textId="77777777" w:rsidR="00195D7B" w:rsidRPr="00423960" w:rsidRDefault="00195D7B" w:rsidP="00195D7B">
      <w:pPr>
        <w:jc w:val="both"/>
        <w:rPr>
          <w:rFonts w:ascii="Book Antiqua" w:eastAsia="Times New Roman" w:hAnsi="Book Antiqua" w:cs="Times New Roman"/>
        </w:rPr>
      </w:pPr>
    </w:p>
    <w:p w14:paraId="107FA336" w14:textId="77777777" w:rsidR="001E7403" w:rsidRDefault="00DF53FF" w:rsidP="00AD33CD">
      <w:pPr>
        <w:jc w:val="both"/>
        <w:rPr>
          <w:rFonts w:ascii="Book Antiqua" w:eastAsia="Times New Roman" w:hAnsi="Book Antiqua" w:cs="Times New Roman"/>
        </w:rPr>
      </w:pPr>
      <w:r>
        <w:rPr>
          <w:rFonts w:ascii="Book Antiqua" w:eastAsia="Times New Roman" w:hAnsi="Book Antiqua" w:cs="Times New Roman"/>
        </w:rPr>
        <w:t xml:space="preserve">Grading will be consistent with College of Law policy. </w:t>
      </w:r>
      <w:r w:rsidR="00AD33CD" w:rsidRPr="00423960">
        <w:rPr>
          <w:rFonts w:ascii="Book Antiqua" w:eastAsia="Times New Roman" w:hAnsi="Book Antiqua" w:cs="Times New Roman"/>
        </w:rPr>
        <w:t xml:space="preserve">Your grade will be based on </w:t>
      </w:r>
      <w:r w:rsidR="00AD33CD">
        <w:rPr>
          <w:rFonts w:ascii="Book Antiqua" w:eastAsia="Times New Roman" w:hAnsi="Book Antiqua" w:cs="Times New Roman"/>
        </w:rPr>
        <w:t>a final exam (100% of the final grade)</w:t>
      </w:r>
      <w:r w:rsidR="00AD33CD" w:rsidRPr="00423960">
        <w:rPr>
          <w:rFonts w:ascii="Book Antiqua" w:eastAsia="Times New Roman" w:hAnsi="Book Antiqua" w:cs="Times New Roman"/>
        </w:rPr>
        <w:t>. Exam grades are done on a blind basis. All grades are final. There will be no regrading or revisions from me, except to correct any mathematical or clerical errors in computing the final score.</w:t>
      </w:r>
    </w:p>
    <w:p w14:paraId="0BA51401" w14:textId="77777777" w:rsidR="00B62B65" w:rsidRPr="00B62B65" w:rsidRDefault="00B62B65" w:rsidP="00B62B65">
      <w:pPr>
        <w:rPr>
          <w:rFonts w:ascii="Book Antiqua" w:eastAsia="Times New Roman" w:hAnsi="Book Antiqua" w:cs="Times New Roman"/>
          <w:b/>
        </w:rPr>
      </w:pPr>
    </w:p>
    <w:p w14:paraId="56FD257B" w14:textId="77777777" w:rsidR="00195D7B" w:rsidRPr="00423960" w:rsidRDefault="00195D7B" w:rsidP="00195D7B">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14:paraId="4893C596" w14:textId="77777777" w:rsidR="00195D7B" w:rsidRDefault="00195D7B" w:rsidP="00195D7B">
      <w:pPr>
        <w:jc w:val="both"/>
        <w:rPr>
          <w:rFonts w:ascii="Book Antiqua" w:eastAsia="Times New Roman" w:hAnsi="Book Antiqua" w:cs="Times New Roman"/>
        </w:rPr>
      </w:pPr>
    </w:p>
    <w:p w14:paraId="680FE687" w14:textId="731C3ED1" w:rsidR="00BE236E" w:rsidRDefault="00BE236E" w:rsidP="00BE236E">
      <w:pPr>
        <w:jc w:val="both"/>
        <w:rPr>
          <w:rFonts w:ascii="Book Antiqua" w:eastAsia="Times New Roman" w:hAnsi="Book Antiqua" w:cs="Times New Roman"/>
        </w:rPr>
      </w:pPr>
      <w:bookmarkStart w:id="2" w:name="_Hlk61271687"/>
      <w:r>
        <w:rPr>
          <w:rFonts w:ascii="Book Antiqua" w:eastAsia="Times New Roman" w:hAnsi="Book Antiqua" w:cs="Times New Roman"/>
        </w:rPr>
        <w:t xml:space="preserve">The final exam will be </w:t>
      </w:r>
      <w:r w:rsidRPr="00C94963">
        <w:rPr>
          <w:rFonts w:ascii="Book Antiqua" w:eastAsia="Times New Roman" w:hAnsi="Book Antiqua" w:cs="Times New Roman"/>
          <w:b/>
        </w:rPr>
        <w:t>open casebook</w:t>
      </w:r>
      <w:r>
        <w:rPr>
          <w:rFonts w:ascii="Book Antiqua" w:eastAsia="Times New Roman" w:hAnsi="Book Antiqua" w:cs="Times New Roman"/>
        </w:rPr>
        <w:t xml:space="preserve">. There are no restrictions on what you can write into the book. </w:t>
      </w:r>
      <w:r w:rsidR="00C94963">
        <w:rPr>
          <w:rFonts w:ascii="Book Antiqua" w:eastAsia="Times New Roman" w:hAnsi="Book Antiqua" w:cs="Times New Roman"/>
        </w:rPr>
        <w:t xml:space="preserve">You will also be permitted to bring </w:t>
      </w:r>
      <w:r w:rsidR="00C94963" w:rsidRPr="005302A1">
        <w:rPr>
          <w:rFonts w:ascii="Book Antiqua" w:eastAsia="Times New Roman" w:hAnsi="Book Antiqua" w:cs="Times New Roman"/>
          <w:b/>
          <w:u w:val="single"/>
        </w:rPr>
        <w:t>any personal notes or outlines</w:t>
      </w:r>
      <w:r w:rsidR="00C94963" w:rsidRPr="005302A1">
        <w:rPr>
          <w:rFonts w:ascii="Book Antiqua" w:eastAsia="Times New Roman" w:hAnsi="Book Antiqua" w:cs="Times New Roman"/>
          <w:u w:val="single"/>
        </w:rPr>
        <w:t>,</w:t>
      </w:r>
      <w:r w:rsidR="00C94963">
        <w:rPr>
          <w:rFonts w:ascii="Book Antiqua" w:eastAsia="Times New Roman" w:hAnsi="Book Antiqua" w:cs="Times New Roman"/>
        </w:rPr>
        <w:t xml:space="preserve"> </w:t>
      </w:r>
      <w:r w:rsidR="00C94963" w:rsidRPr="005302A1">
        <w:rPr>
          <w:rFonts w:ascii="Book Antiqua" w:eastAsia="Times New Roman" w:hAnsi="Book Antiqua" w:cs="Times New Roman"/>
          <w:b/>
          <w:u w:val="single"/>
        </w:rPr>
        <w:t>written by you</w:t>
      </w:r>
      <w:r w:rsidR="005302A1">
        <w:rPr>
          <w:rFonts w:ascii="Book Antiqua" w:eastAsia="Times New Roman" w:hAnsi="Book Antiqua" w:cs="Times New Roman"/>
          <w:b/>
          <w:u w:val="single"/>
        </w:rPr>
        <w:t xml:space="preserve"> as your or your study group’s </w:t>
      </w:r>
      <w:proofErr w:type="spellStart"/>
      <w:r w:rsidR="005302A1">
        <w:rPr>
          <w:rFonts w:ascii="Book Antiqua" w:eastAsia="Times New Roman" w:hAnsi="Book Antiqua" w:cs="Times New Roman"/>
          <w:b/>
          <w:u w:val="single"/>
        </w:rPr>
        <w:t>workproduct</w:t>
      </w:r>
      <w:proofErr w:type="spellEnd"/>
      <w:r w:rsidR="00C94963">
        <w:rPr>
          <w:rFonts w:ascii="Book Antiqua" w:eastAsia="Times New Roman" w:hAnsi="Book Antiqua" w:cs="Times New Roman"/>
        </w:rPr>
        <w:t xml:space="preserve"> (i.e., no commercial outlines or any other published materials other than your textbook). There </w:t>
      </w:r>
      <w:r w:rsidR="00C157E1">
        <w:rPr>
          <w:rFonts w:ascii="Book Antiqua" w:eastAsia="Times New Roman" w:hAnsi="Book Antiqua" w:cs="Times New Roman"/>
        </w:rPr>
        <w:t>is</w:t>
      </w:r>
      <w:r w:rsidR="00C94963">
        <w:rPr>
          <w:rFonts w:ascii="Book Antiqua" w:eastAsia="Times New Roman" w:hAnsi="Book Antiqua" w:cs="Times New Roman"/>
        </w:rPr>
        <w:t xml:space="preserve"> no limitation on page count. Your notes and outline may include the statutory provisions that you believe will be necessary for the exam. The assembly of statutory materials, which is at your discretion, is recommended since this course is statute based. </w:t>
      </w:r>
    </w:p>
    <w:bookmarkEnd w:id="2"/>
    <w:p w14:paraId="450BBD7B" w14:textId="77777777" w:rsidR="00BE236E" w:rsidRDefault="00BE236E" w:rsidP="00BE236E">
      <w:pPr>
        <w:jc w:val="both"/>
        <w:rPr>
          <w:rFonts w:ascii="Book Antiqua" w:eastAsia="Times New Roman" w:hAnsi="Book Antiqua" w:cs="Times New Roman"/>
        </w:rPr>
      </w:pPr>
    </w:p>
    <w:p w14:paraId="6E70FBDC" w14:textId="621CD7F9" w:rsidR="00195D7B" w:rsidRDefault="00BE236E" w:rsidP="00BE236E">
      <w:pPr>
        <w:jc w:val="both"/>
        <w:rPr>
          <w:rFonts w:ascii="Book Antiqua" w:eastAsia="Times New Roman" w:hAnsi="Book Antiqua" w:cs="Times New Roman"/>
        </w:rPr>
      </w:pPr>
      <w:bookmarkStart w:id="3" w:name="_Hlk61271668"/>
      <w:r>
        <w:rPr>
          <w:rFonts w:ascii="Book Antiqua" w:eastAsia="Times New Roman" w:hAnsi="Book Antiqua" w:cs="Times New Roman"/>
        </w:rPr>
        <w:t xml:space="preserve">The final exam may have essay, short answer, and </w:t>
      </w:r>
      <w:proofErr w:type="gramStart"/>
      <w:r>
        <w:rPr>
          <w:rFonts w:ascii="Book Antiqua" w:eastAsia="Times New Roman" w:hAnsi="Book Antiqua" w:cs="Times New Roman"/>
        </w:rPr>
        <w:t>multiple</w:t>
      </w:r>
      <w:r w:rsidR="00922676">
        <w:rPr>
          <w:rFonts w:ascii="Book Antiqua" w:eastAsia="Times New Roman" w:hAnsi="Book Antiqua" w:cs="Times New Roman"/>
        </w:rPr>
        <w:t xml:space="preserve"> </w:t>
      </w:r>
      <w:r>
        <w:rPr>
          <w:rFonts w:ascii="Book Antiqua" w:eastAsia="Times New Roman" w:hAnsi="Book Antiqua" w:cs="Times New Roman"/>
        </w:rPr>
        <w:t>choice</w:t>
      </w:r>
      <w:proofErr w:type="gramEnd"/>
      <w:r>
        <w:rPr>
          <w:rFonts w:ascii="Book Antiqua" w:eastAsia="Times New Roman" w:hAnsi="Book Antiqua" w:cs="Times New Roman"/>
        </w:rPr>
        <w:t xml:space="preserve"> questions. Essay questions will be an issue-spotting, analysis, or problem-solving format typically seen in most law school exams. The issues and topics for exam questions will come from the course readings and class discussions. The exam will fairly reflect the work that is done in the course. This means that the best way to prepare for the exam is to do the class readings and to attend class. There are no prior exams.  </w:t>
      </w:r>
      <w:r w:rsidR="00BE0138">
        <w:rPr>
          <w:rFonts w:ascii="Book Antiqua" w:eastAsia="Times New Roman" w:hAnsi="Book Antiqua" w:cs="Times New Roman"/>
        </w:rPr>
        <w:t xml:space="preserve"> </w:t>
      </w:r>
    </w:p>
    <w:p w14:paraId="1419B70D" w14:textId="0CF49528" w:rsidR="00922676" w:rsidRDefault="00922676" w:rsidP="00BE236E">
      <w:pPr>
        <w:jc w:val="both"/>
        <w:rPr>
          <w:rFonts w:ascii="Book Antiqua" w:eastAsia="Times New Roman" w:hAnsi="Book Antiqua" w:cs="Times New Roman"/>
        </w:rPr>
      </w:pPr>
    </w:p>
    <w:p w14:paraId="1E0AE25F" w14:textId="5E37ECFC" w:rsidR="00922676" w:rsidRDefault="00922676" w:rsidP="00BE236E">
      <w:pPr>
        <w:jc w:val="both"/>
        <w:rPr>
          <w:rFonts w:ascii="Book Antiqua" w:eastAsia="Times New Roman" w:hAnsi="Book Antiqua" w:cs="Times New Roman"/>
        </w:rPr>
      </w:pPr>
      <w:bookmarkStart w:id="4" w:name="_Hlk61351223"/>
      <w:r w:rsidRPr="00922676">
        <w:rPr>
          <w:rFonts w:ascii="Book Antiqua" w:eastAsia="Times New Roman" w:hAnsi="Book Antiqua" w:cs="Times New Roman"/>
          <w:i/>
          <w:iCs/>
        </w:rPr>
        <w:t>Makeup Exam Policy</w:t>
      </w:r>
      <w:r>
        <w:rPr>
          <w:rFonts w:ascii="Book Antiqua" w:eastAsia="Times New Roman" w:hAnsi="Book Antiqua" w:cs="Times New Roman"/>
        </w:rPr>
        <w:t xml:space="preserve">:  </w:t>
      </w:r>
      <w:r w:rsidRPr="00AC2C9A">
        <w:rPr>
          <w:rFonts w:ascii="Times New Roman" w:hAnsi="Times New Roman" w:cs="Times New Roman"/>
        </w:rPr>
        <w:t xml:space="preserve">The law school policy on exam delays and accommodations can be found </w:t>
      </w:r>
      <w:r>
        <w:t xml:space="preserve">at: </w:t>
      </w:r>
      <w:hyperlink r:id="rId6" w:history="1">
        <w:r w:rsidRPr="007A785F">
          <w:rPr>
            <w:rStyle w:val="Hyperlink"/>
          </w:rPr>
          <w:t>https://www.law.ufl.edu/life-at-uf-law/office-of-student-affairs/current-students/forms-applications/exam-delays-accommodations-form</w:t>
        </w:r>
      </w:hyperlink>
      <w:r>
        <w:t xml:space="preserve">. </w:t>
      </w:r>
    </w:p>
    <w:bookmarkEnd w:id="3"/>
    <w:bookmarkEnd w:id="4"/>
    <w:p w14:paraId="7F7B2180" w14:textId="77777777" w:rsidR="0048487B" w:rsidRDefault="0048487B" w:rsidP="00EB437C">
      <w:pPr>
        <w:rPr>
          <w:rFonts w:ascii="Book Antiqua" w:hAnsi="Book Antiqua"/>
        </w:rPr>
      </w:pPr>
    </w:p>
    <w:p w14:paraId="31C131FF" w14:textId="77777777" w:rsidR="00626746" w:rsidRPr="00D01FEB" w:rsidRDefault="00626746" w:rsidP="00626746">
      <w:pPr>
        <w:pStyle w:val="Heading2"/>
        <w:spacing w:before="0"/>
        <w:rPr>
          <w:rFonts w:ascii="Book Antiqua" w:eastAsia="Times New Roman" w:hAnsi="Book Antiqua" w:cs="Times New Roman"/>
          <w:b/>
          <w:color w:val="auto"/>
          <w:sz w:val="24"/>
          <w:szCs w:val="24"/>
        </w:rPr>
      </w:pPr>
      <w:r w:rsidRPr="00D01FEB">
        <w:rPr>
          <w:rFonts w:ascii="Book Antiqua" w:eastAsia="Times New Roman" w:hAnsi="Book Antiqua" w:cs="Times New Roman"/>
          <w:b/>
          <w:color w:val="auto"/>
          <w:sz w:val="24"/>
          <w:szCs w:val="24"/>
        </w:rPr>
        <w:t xml:space="preserve">GRADING INFORMATION </w:t>
      </w:r>
    </w:p>
    <w:p w14:paraId="5BA7DF46" w14:textId="77777777" w:rsidR="00626746" w:rsidRPr="00D01FEB" w:rsidRDefault="00626746" w:rsidP="00626746"/>
    <w:p w14:paraId="522D5FE3" w14:textId="70E8EEF9" w:rsidR="00626746" w:rsidRDefault="00626746" w:rsidP="00EA362D">
      <w:pPr>
        <w:jc w:val="both"/>
      </w:pPr>
      <w:bookmarkStart w:id="5" w:name="_Hlk61271709"/>
      <w:r w:rsidRPr="00D01FEB">
        <w:t>The Levin College of Law’s mean and mandatory distributions are posted on the College’s website and this class adheres to that posted grading policy. The following chart describes the specific letter grade/grade point equivalent in place:</w:t>
      </w:r>
    </w:p>
    <w:p w14:paraId="3324CC0E" w14:textId="25B509D5" w:rsidR="005302A1" w:rsidRDefault="005302A1" w:rsidP="00EA362D">
      <w:pPr>
        <w:jc w:val="both"/>
      </w:pPr>
    </w:p>
    <w:tbl>
      <w:tblPr>
        <w:tblStyle w:val="TableGrid"/>
        <w:tblW w:w="8406" w:type="dxa"/>
        <w:tblInd w:w="198" w:type="dxa"/>
        <w:tblLook w:val="04A0" w:firstRow="1" w:lastRow="0" w:firstColumn="1" w:lastColumn="0" w:noHBand="0" w:noVBand="1"/>
      </w:tblPr>
      <w:tblGrid>
        <w:gridCol w:w="2070"/>
        <w:gridCol w:w="2106"/>
        <w:gridCol w:w="2142"/>
        <w:gridCol w:w="2088"/>
      </w:tblGrid>
      <w:tr w:rsidR="005302A1" w14:paraId="3D0BACBF" w14:textId="77777777" w:rsidTr="005302A1">
        <w:tc>
          <w:tcPr>
            <w:tcW w:w="2070" w:type="dxa"/>
          </w:tcPr>
          <w:p w14:paraId="7F68EE0D" w14:textId="26D1A78D" w:rsidR="005302A1" w:rsidRPr="005302A1" w:rsidRDefault="005302A1" w:rsidP="005302A1">
            <w:pPr>
              <w:jc w:val="center"/>
              <w:rPr>
                <w:b/>
                <w:bCs/>
              </w:rPr>
            </w:pPr>
            <w:r w:rsidRPr="005302A1">
              <w:rPr>
                <w:b/>
                <w:bCs/>
              </w:rPr>
              <w:t>Letter Grade</w:t>
            </w:r>
          </w:p>
        </w:tc>
        <w:tc>
          <w:tcPr>
            <w:tcW w:w="2106" w:type="dxa"/>
          </w:tcPr>
          <w:p w14:paraId="77815A76" w14:textId="12795488" w:rsidR="005302A1" w:rsidRPr="005302A1" w:rsidRDefault="005302A1" w:rsidP="005302A1">
            <w:pPr>
              <w:jc w:val="center"/>
              <w:rPr>
                <w:b/>
                <w:bCs/>
              </w:rPr>
            </w:pPr>
            <w:r w:rsidRPr="005302A1">
              <w:rPr>
                <w:b/>
                <w:bCs/>
              </w:rPr>
              <w:t>Point Equivalent</w:t>
            </w:r>
          </w:p>
        </w:tc>
        <w:tc>
          <w:tcPr>
            <w:tcW w:w="2142" w:type="dxa"/>
          </w:tcPr>
          <w:p w14:paraId="387856E1" w14:textId="54158099" w:rsidR="005302A1" w:rsidRPr="005302A1" w:rsidRDefault="005302A1" w:rsidP="005302A1">
            <w:pPr>
              <w:jc w:val="center"/>
              <w:rPr>
                <w:b/>
                <w:bCs/>
              </w:rPr>
            </w:pPr>
            <w:r w:rsidRPr="005302A1">
              <w:rPr>
                <w:b/>
                <w:bCs/>
              </w:rPr>
              <w:t>Letter Grade</w:t>
            </w:r>
          </w:p>
        </w:tc>
        <w:tc>
          <w:tcPr>
            <w:tcW w:w="2088" w:type="dxa"/>
          </w:tcPr>
          <w:p w14:paraId="7BA9D2DF" w14:textId="53ACAD43" w:rsidR="005302A1" w:rsidRPr="005302A1" w:rsidRDefault="005302A1" w:rsidP="005302A1">
            <w:pPr>
              <w:jc w:val="center"/>
              <w:rPr>
                <w:b/>
                <w:bCs/>
              </w:rPr>
            </w:pPr>
            <w:r w:rsidRPr="005302A1">
              <w:rPr>
                <w:b/>
                <w:bCs/>
              </w:rPr>
              <w:t>Point Equivalent</w:t>
            </w:r>
          </w:p>
        </w:tc>
      </w:tr>
      <w:tr w:rsidR="005302A1" w14:paraId="34C75A3A" w14:textId="77777777" w:rsidTr="005302A1">
        <w:tc>
          <w:tcPr>
            <w:tcW w:w="2070" w:type="dxa"/>
          </w:tcPr>
          <w:p w14:paraId="03EEFF6C" w14:textId="3AAA41CD" w:rsidR="005302A1" w:rsidRDefault="005302A1" w:rsidP="005302A1">
            <w:pPr>
              <w:jc w:val="center"/>
            </w:pPr>
            <w:r w:rsidRPr="00D01FEB">
              <w:t>A (Excellent)</w:t>
            </w:r>
          </w:p>
        </w:tc>
        <w:tc>
          <w:tcPr>
            <w:tcW w:w="2106" w:type="dxa"/>
          </w:tcPr>
          <w:p w14:paraId="02C97228" w14:textId="30AB3768" w:rsidR="005302A1" w:rsidRDefault="005302A1" w:rsidP="005302A1">
            <w:pPr>
              <w:jc w:val="center"/>
            </w:pPr>
            <w:r w:rsidRPr="00D01FEB">
              <w:t>4.0</w:t>
            </w:r>
            <w:r>
              <w:t>0</w:t>
            </w:r>
          </w:p>
        </w:tc>
        <w:tc>
          <w:tcPr>
            <w:tcW w:w="2142" w:type="dxa"/>
          </w:tcPr>
          <w:p w14:paraId="052D2A8C" w14:textId="102C5FFA" w:rsidR="005302A1" w:rsidRDefault="005302A1" w:rsidP="005302A1">
            <w:pPr>
              <w:jc w:val="center"/>
            </w:pPr>
            <w:r w:rsidRPr="00D01FEB">
              <w:t>C (Satisfactory)</w:t>
            </w:r>
          </w:p>
        </w:tc>
        <w:tc>
          <w:tcPr>
            <w:tcW w:w="2088" w:type="dxa"/>
          </w:tcPr>
          <w:p w14:paraId="30C5F150" w14:textId="116AA8E1" w:rsidR="005302A1" w:rsidRDefault="005302A1" w:rsidP="005302A1">
            <w:pPr>
              <w:jc w:val="center"/>
            </w:pPr>
            <w:r w:rsidRPr="00D01FEB">
              <w:t>2.0</w:t>
            </w:r>
            <w:r>
              <w:t>0</w:t>
            </w:r>
          </w:p>
        </w:tc>
      </w:tr>
      <w:tr w:rsidR="005302A1" w14:paraId="28B5E66F" w14:textId="77777777" w:rsidTr="005302A1">
        <w:tc>
          <w:tcPr>
            <w:tcW w:w="2070" w:type="dxa"/>
          </w:tcPr>
          <w:p w14:paraId="5EDD3B4C" w14:textId="337953C5" w:rsidR="005302A1" w:rsidRDefault="005302A1" w:rsidP="005302A1">
            <w:pPr>
              <w:jc w:val="center"/>
            </w:pPr>
            <w:r w:rsidRPr="00D01FEB">
              <w:t>A-</w:t>
            </w:r>
          </w:p>
        </w:tc>
        <w:tc>
          <w:tcPr>
            <w:tcW w:w="2106" w:type="dxa"/>
          </w:tcPr>
          <w:p w14:paraId="6838BB18" w14:textId="508F6EE1" w:rsidR="005302A1" w:rsidRDefault="005302A1" w:rsidP="005302A1">
            <w:pPr>
              <w:jc w:val="center"/>
            </w:pPr>
            <w:r w:rsidRPr="00D01FEB">
              <w:t>3.67</w:t>
            </w:r>
          </w:p>
        </w:tc>
        <w:tc>
          <w:tcPr>
            <w:tcW w:w="2142" w:type="dxa"/>
          </w:tcPr>
          <w:p w14:paraId="636E8034" w14:textId="43DD75E9" w:rsidR="005302A1" w:rsidRDefault="005302A1" w:rsidP="005302A1">
            <w:pPr>
              <w:jc w:val="center"/>
            </w:pPr>
            <w:r w:rsidRPr="00D01FEB">
              <w:t>C-</w:t>
            </w:r>
          </w:p>
        </w:tc>
        <w:tc>
          <w:tcPr>
            <w:tcW w:w="2088" w:type="dxa"/>
          </w:tcPr>
          <w:p w14:paraId="213927BB" w14:textId="22015200" w:rsidR="005302A1" w:rsidRDefault="005302A1" w:rsidP="005302A1">
            <w:pPr>
              <w:jc w:val="center"/>
            </w:pPr>
            <w:r w:rsidRPr="00D01FEB">
              <w:t>1.67</w:t>
            </w:r>
          </w:p>
        </w:tc>
      </w:tr>
      <w:tr w:rsidR="005302A1" w14:paraId="2CA494B0" w14:textId="77777777" w:rsidTr="005302A1">
        <w:tc>
          <w:tcPr>
            <w:tcW w:w="2070" w:type="dxa"/>
          </w:tcPr>
          <w:p w14:paraId="6555FE53" w14:textId="299D7E10" w:rsidR="005302A1" w:rsidRDefault="005302A1" w:rsidP="005302A1">
            <w:pPr>
              <w:jc w:val="center"/>
            </w:pPr>
            <w:r w:rsidRPr="00D01FEB">
              <w:t>B+</w:t>
            </w:r>
          </w:p>
        </w:tc>
        <w:tc>
          <w:tcPr>
            <w:tcW w:w="2106" w:type="dxa"/>
          </w:tcPr>
          <w:p w14:paraId="2F0A935D" w14:textId="19F9FADD" w:rsidR="005302A1" w:rsidRDefault="005302A1" w:rsidP="005302A1">
            <w:pPr>
              <w:jc w:val="center"/>
            </w:pPr>
            <w:r w:rsidRPr="00D01FEB">
              <w:t>3.33</w:t>
            </w:r>
          </w:p>
        </w:tc>
        <w:tc>
          <w:tcPr>
            <w:tcW w:w="2142" w:type="dxa"/>
          </w:tcPr>
          <w:p w14:paraId="43C42F20" w14:textId="27B38220" w:rsidR="005302A1" w:rsidRDefault="005302A1" w:rsidP="005302A1">
            <w:pPr>
              <w:jc w:val="center"/>
            </w:pPr>
            <w:r w:rsidRPr="00D01FEB">
              <w:t>D+</w:t>
            </w:r>
          </w:p>
        </w:tc>
        <w:tc>
          <w:tcPr>
            <w:tcW w:w="2088" w:type="dxa"/>
          </w:tcPr>
          <w:p w14:paraId="5850BE62" w14:textId="2C93BAFA" w:rsidR="005302A1" w:rsidRDefault="005302A1" w:rsidP="005302A1">
            <w:pPr>
              <w:jc w:val="center"/>
            </w:pPr>
            <w:r w:rsidRPr="00D01FEB">
              <w:t>1.33</w:t>
            </w:r>
          </w:p>
        </w:tc>
      </w:tr>
      <w:tr w:rsidR="005302A1" w14:paraId="06D00813" w14:textId="77777777" w:rsidTr="005302A1">
        <w:tc>
          <w:tcPr>
            <w:tcW w:w="2070" w:type="dxa"/>
          </w:tcPr>
          <w:p w14:paraId="40E8EAAC" w14:textId="2619BBF7" w:rsidR="005302A1" w:rsidRDefault="005302A1" w:rsidP="005302A1">
            <w:pPr>
              <w:jc w:val="center"/>
            </w:pPr>
            <w:r w:rsidRPr="00D01FEB">
              <w:t>B</w:t>
            </w:r>
          </w:p>
        </w:tc>
        <w:tc>
          <w:tcPr>
            <w:tcW w:w="2106" w:type="dxa"/>
          </w:tcPr>
          <w:p w14:paraId="427F8DF1" w14:textId="444CB7BD" w:rsidR="005302A1" w:rsidRDefault="005302A1" w:rsidP="005302A1">
            <w:pPr>
              <w:jc w:val="center"/>
            </w:pPr>
            <w:r w:rsidRPr="00D01FEB">
              <w:t>3.0</w:t>
            </w:r>
            <w:r>
              <w:t>0</w:t>
            </w:r>
          </w:p>
        </w:tc>
        <w:tc>
          <w:tcPr>
            <w:tcW w:w="2142" w:type="dxa"/>
          </w:tcPr>
          <w:p w14:paraId="32753F01" w14:textId="3A78C8E2" w:rsidR="005302A1" w:rsidRDefault="005302A1" w:rsidP="005302A1">
            <w:pPr>
              <w:jc w:val="center"/>
            </w:pPr>
            <w:r w:rsidRPr="00D01FEB">
              <w:t>D (Poor)</w:t>
            </w:r>
          </w:p>
        </w:tc>
        <w:tc>
          <w:tcPr>
            <w:tcW w:w="2088" w:type="dxa"/>
          </w:tcPr>
          <w:p w14:paraId="56FEC4C8" w14:textId="46BF6B8E" w:rsidR="005302A1" w:rsidRDefault="005302A1" w:rsidP="005302A1">
            <w:pPr>
              <w:jc w:val="center"/>
            </w:pPr>
            <w:r w:rsidRPr="00D01FEB">
              <w:t>1.0</w:t>
            </w:r>
            <w:r>
              <w:t>0</w:t>
            </w:r>
          </w:p>
        </w:tc>
      </w:tr>
      <w:tr w:rsidR="005302A1" w14:paraId="66F98D65" w14:textId="77777777" w:rsidTr="005302A1">
        <w:tc>
          <w:tcPr>
            <w:tcW w:w="2070" w:type="dxa"/>
          </w:tcPr>
          <w:p w14:paraId="75D26517" w14:textId="4E31B2AA" w:rsidR="005302A1" w:rsidRDefault="005302A1" w:rsidP="005302A1">
            <w:pPr>
              <w:jc w:val="center"/>
            </w:pPr>
            <w:r w:rsidRPr="00D01FEB">
              <w:t>B-</w:t>
            </w:r>
          </w:p>
        </w:tc>
        <w:tc>
          <w:tcPr>
            <w:tcW w:w="2106" w:type="dxa"/>
          </w:tcPr>
          <w:p w14:paraId="237D194B" w14:textId="639FF7E7" w:rsidR="005302A1" w:rsidRDefault="005302A1" w:rsidP="005302A1">
            <w:pPr>
              <w:jc w:val="center"/>
            </w:pPr>
            <w:r w:rsidRPr="00D01FEB">
              <w:t>2.67</w:t>
            </w:r>
          </w:p>
        </w:tc>
        <w:tc>
          <w:tcPr>
            <w:tcW w:w="2142" w:type="dxa"/>
          </w:tcPr>
          <w:p w14:paraId="1140287E" w14:textId="388DFE2E" w:rsidR="005302A1" w:rsidRDefault="005302A1" w:rsidP="005302A1">
            <w:pPr>
              <w:jc w:val="center"/>
            </w:pPr>
            <w:r w:rsidRPr="00D01FEB">
              <w:t>D-</w:t>
            </w:r>
          </w:p>
        </w:tc>
        <w:tc>
          <w:tcPr>
            <w:tcW w:w="2088" w:type="dxa"/>
          </w:tcPr>
          <w:p w14:paraId="655E1FDF" w14:textId="3A5CEB26" w:rsidR="005302A1" w:rsidRDefault="005302A1" w:rsidP="005302A1">
            <w:pPr>
              <w:jc w:val="center"/>
            </w:pPr>
            <w:r w:rsidRPr="00D01FEB">
              <w:t>0.67</w:t>
            </w:r>
          </w:p>
        </w:tc>
      </w:tr>
      <w:tr w:rsidR="005302A1" w14:paraId="0FDE28FB" w14:textId="77777777" w:rsidTr="005302A1">
        <w:tc>
          <w:tcPr>
            <w:tcW w:w="2070" w:type="dxa"/>
          </w:tcPr>
          <w:p w14:paraId="0EB23E4D" w14:textId="0AF63216" w:rsidR="005302A1" w:rsidRDefault="005302A1" w:rsidP="005302A1">
            <w:pPr>
              <w:jc w:val="center"/>
            </w:pPr>
            <w:r w:rsidRPr="00D01FEB">
              <w:lastRenderedPageBreak/>
              <w:t>C+</w:t>
            </w:r>
          </w:p>
        </w:tc>
        <w:tc>
          <w:tcPr>
            <w:tcW w:w="2106" w:type="dxa"/>
          </w:tcPr>
          <w:p w14:paraId="670CC4F2" w14:textId="21EC2F51" w:rsidR="005302A1" w:rsidRDefault="005302A1" w:rsidP="005302A1">
            <w:pPr>
              <w:jc w:val="center"/>
            </w:pPr>
            <w:r w:rsidRPr="00D01FEB">
              <w:t>2.33</w:t>
            </w:r>
          </w:p>
        </w:tc>
        <w:tc>
          <w:tcPr>
            <w:tcW w:w="2142" w:type="dxa"/>
          </w:tcPr>
          <w:p w14:paraId="6FEC61DC" w14:textId="19B5F2BD" w:rsidR="005302A1" w:rsidRDefault="005302A1" w:rsidP="005302A1">
            <w:pPr>
              <w:jc w:val="center"/>
            </w:pPr>
            <w:r w:rsidRPr="00D01FEB">
              <w:t>E (Failure)</w:t>
            </w:r>
          </w:p>
        </w:tc>
        <w:tc>
          <w:tcPr>
            <w:tcW w:w="2088" w:type="dxa"/>
          </w:tcPr>
          <w:p w14:paraId="5A732EFB" w14:textId="742DFFA5" w:rsidR="005302A1" w:rsidRDefault="005302A1" w:rsidP="005302A1">
            <w:pPr>
              <w:jc w:val="center"/>
            </w:pPr>
            <w:r w:rsidRPr="00D01FEB">
              <w:t>0.0</w:t>
            </w:r>
            <w:r>
              <w:t>0</w:t>
            </w:r>
          </w:p>
        </w:tc>
      </w:tr>
    </w:tbl>
    <w:p w14:paraId="38417DE1" w14:textId="77777777" w:rsidR="005302A1" w:rsidRDefault="005302A1" w:rsidP="00626746">
      <w:pPr>
        <w:jc w:val="both"/>
      </w:pPr>
    </w:p>
    <w:p w14:paraId="3F6BC4F0" w14:textId="434E91F0" w:rsidR="00626746" w:rsidRPr="00D01FEB" w:rsidRDefault="00626746" w:rsidP="00626746">
      <w:pPr>
        <w:jc w:val="both"/>
      </w:pPr>
      <w:r w:rsidRPr="00D01FEB">
        <w:t xml:space="preserve">The law school grading policy is available at: </w:t>
      </w:r>
      <w:hyperlink r:id="rId7" w:anchor="9" w:history="1">
        <w:r w:rsidRPr="00D01FEB">
          <w:rPr>
            <w:rStyle w:val="Hyperlink"/>
          </w:rPr>
          <w:t>http://www.law.ufl.edu/student-affairs/current-students/academic-policies#9</w:t>
        </w:r>
      </w:hyperlink>
      <w:r w:rsidRPr="00D01FEB">
        <w:t>.</w:t>
      </w:r>
    </w:p>
    <w:bookmarkEnd w:id="5"/>
    <w:p w14:paraId="246F06D4" w14:textId="77777777" w:rsidR="00626746" w:rsidRDefault="00626746" w:rsidP="00626746">
      <w:pPr>
        <w:jc w:val="both"/>
        <w:rPr>
          <w:rFonts w:ascii="Book Antiqua" w:eastAsia="Times New Roman" w:hAnsi="Book Antiqua" w:cs="Times New Roman"/>
        </w:rPr>
      </w:pPr>
    </w:p>
    <w:p w14:paraId="5265AC1C" w14:textId="77777777" w:rsidR="00626746" w:rsidRPr="00800466" w:rsidRDefault="00626746" w:rsidP="00626746">
      <w:pPr>
        <w:jc w:val="both"/>
        <w:rPr>
          <w:rFonts w:ascii="Book Antiqua" w:eastAsia="Times New Roman" w:hAnsi="Book Antiqua" w:cs="Times New Roman"/>
          <w:b/>
        </w:rPr>
      </w:pPr>
      <w:r w:rsidRPr="00800466">
        <w:rPr>
          <w:rFonts w:ascii="Book Antiqua" w:eastAsia="Times New Roman" w:hAnsi="Book Antiqua" w:cs="Times New Roman"/>
          <w:b/>
        </w:rPr>
        <w:t>WORKLOAD AND CLASS PREPARATION</w:t>
      </w:r>
    </w:p>
    <w:p w14:paraId="218897BF" w14:textId="77777777" w:rsidR="00626746" w:rsidRDefault="00626746" w:rsidP="00626746">
      <w:pPr>
        <w:jc w:val="both"/>
        <w:rPr>
          <w:rFonts w:ascii="Book Antiqua" w:eastAsia="Times New Roman" w:hAnsi="Book Antiqua" w:cs="Times New Roman"/>
        </w:rPr>
      </w:pPr>
    </w:p>
    <w:p w14:paraId="1032519B" w14:textId="77777777" w:rsidR="00626746" w:rsidRDefault="00626746" w:rsidP="00626746">
      <w:pPr>
        <w:jc w:val="both"/>
      </w:pPr>
      <w:r w:rsidRPr="00800466">
        <w:t>It is anticipated that you will spend approximately 2 hours out of class reading and/or preparing for in class assignments for every 1 hour in class.</w:t>
      </w:r>
    </w:p>
    <w:p w14:paraId="75716B44" w14:textId="77777777" w:rsidR="00626746" w:rsidRPr="00800466" w:rsidRDefault="00626746" w:rsidP="00626746">
      <w:pPr>
        <w:jc w:val="both"/>
      </w:pPr>
    </w:p>
    <w:p w14:paraId="1B2D063E" w14:textId="77777777" w:rsidR="00626746" w:rsidRPr="006B2D85" w:rsidRDefault="00626746" w:rsidP="00626746">
      <w:pPr>
        <w:jc w:val="both"/>
        <w:rPr>
          <w:rFonts w:ascii="Book Antiqua" w:eastAsia="Times New Roman" w:hAnsi="Book Antiqua" w:cs="Times New Roman"/>
          <w:b/>
        </w:rPr>
      </w:pPr>
      <w:r w:rsidRPr="006B2D85">
        <w:rPr>
          <w:rFonts w:ascii="Book Antiqua" w:eastAsia="Times New Roman" w:hAnsi="Book Antiqua" w:cs="Times New Roman"/>
          <w:b/>
        </w:rPr>
        <w:t xml:space="preserve">ATTENDANCE  </w:t>
      </w:r>
    </w:p>
    <w:p w14:paraId="295539CA" w14:textId="77777777" w:rsidR="00626746" w:rsidRPr="006B2D85" w:rsidRDefault="00626746" w:rsidP="00626746">
      <w:pPr>
        <w:jc w:val="both"/>
        <w:rPr>
          <w:rFonts w:ascii="Book Antiqua" w:eastAsia="Times New Roman" w:hAnsi="Book Antiqua" w:cs="Times New Roman"/>
        </w:rPr>
      </w:pPr>
    </w:p>
    <w:p w14:paraId="4596B5E0" w14:textId="77777777" w:rsidR="00626746" w:rsidRDefault="00626746" w:rsidP="00626746">
      <w:pPr>
        <w:jc w:val="both"/>
        <w:rPr>
          <w:rFonts w:cs="Times New Roman"/>
        </w:rPr>
      </w:pPr>
      <w:bookmarkStart w:id="6" w:name="_Hlk61271726"/>
      <w:r w:rsidRPr="00D01FEB">
        <w:rPr>
          <w:rFonts w:cs="Times New Roman"/>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8" w:history="1">
        <w:r w:rsidRPr="00D01FEB">
          <w:rPr>
            <w:rStyle w:val="Hyperlink"/>
            <w:rFonts w:cs="Times New Roman"/>
          </w:rPr>
          <w:t>https://catalog.ufl.edu/ugrad/current/regulations/info/attendance.aspx</w:t>
        </w:r>
      </w:hyperlink>
      <w:r w:rsidRPr="00D01FEB">
        <w:rPr>
          <w:rFonts w:cs="Times New Roman"/>
        </w:rPr>
        <w:t>.</w:t>
      </w:r>
      <w:r>
        <w:rPr>
          <w:rFonts w:cs="Times New Roman"/>
        </w:rPr>
        <w:t xml:space="preserve"> </w:t>
      </w:r>
    </w:p>
    <w:p w14:paraId="41CC34C2" w14:textId="77777777" w:rsidR="00626746" w:rsidRDefault="00626746" w:rsidP="00626746">
      <w:pPr>
        <w:jc w:val="both"/>
        <w:rPr>
          <w:rFonts w:cs="Times New Roman"/>
        </w:rPr>
      </w:pPr>
    </w:p>
    <w:p w14:paraId="5210BCE9" w14:textId="77777777" w:rsidR="00626746" w:rsidRPr="0068569A" w:rsidRDefault="00626746" w:rsidP="00626746">
      <w:pPr>
        <w:jc w:val="both"/>
        <w:rPr>
          <w:rFonts w:ascii="Book Antiqua" w:eastAsia="Times New Roman" w:hAnsi="Book Antiqua" w:cs="Times New Roman"/>
        </w:rPr>
      </w:pPr>
      <w:r>
        <w:rPr>
          <w:rFonts w:ascii="Book Antiqua" w:eastAsia="Times New Roman" w:hAnsi="Book Antiqua" w:cs="Times New Roman"/>
        </w:rPr>
        <w:t xml:space="preserve">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bookmarkEnd w:id="6"/>
    <w:p w14:paraId="672C0697" w14:textId="77777777" w:rsidR="00626746" w:rsidRDefault="00626746" w:rsidP="00626746">
      <w:pPr>
        <w:jc w:val="both"/>
        <w:rPr>
          <w:rFonts w:ascii="Book Antiqua" w:eastAsia="Times New Roman" w:hAnsi="Book Antiqua" w:cs="Times New Roman"/>
        </w:rPr>
      </w:pPr>
    </w:p>
    <w:p w14:paraId="1F05C7CB" w14:textId="77777777" w:rsidR="00626746" w:rsidRPr="008A5251" w:rsidRDefault="00626746" w:rsidP="00626746">
      <w:pPr>
        <w:jc w:val="both"/>
        <w:rPr>
          <w:rFonts w:ascii="Book Antiqua" w:eastAsia="Times New Roman" w:hAnsi="Book Antiqua" w:cs="Times New Roman"/>
          <w:b/>
        </w:rPr>
      </w:pPr>
      <w:r>
        <w:rPr>
          <w:rFonts w:ascii="Book Antiqua" w:eastAsia="Times New Roman" w:hAnsi="Book Antiqua" w:cs="Times New Roman"/>
          <w:b/>
        </w:rPr>
        <w:t>ACCOMMODATIONS</w:t>
      </w:r>
    </w:p>
    <w:p w14:paraId="3BCE70AB" w14:textId="77777777" w:rsidR="00626746" w:rsidRDefault="00626746" w:rsidP="00626746">
      <w:pPr>
        <w:jc w:val="both"/>
        <w:rPr>
          <w:rFonts w:ascii="Book Antiqua" w:eastAsia="Times New Roman" w:hAnsi="Book Antiqua" w:cs="Times New Roman"/>
        </w:rPr>
      </w:pPr>
    </w:p>
    <w:p w14:paraId="79C51341" w14:textId="77777777" w:rsidR="00626746" w:rsidRDefault="00626746" w:rsidP="00626746">
      <w:pPr>
        <w:jc w:val="both"/>
      </w:pPr>
      <w:r w:rsidRPr="00D01FEB">
        <w:t>Students requesting accommodation for disabilities must first register with the Disability Resource Center  (</w:t>
      </w:r>
      <w:hyperlink r:id="rId9" w:history="1">
        <w:r w:rsidRPr="00D01FEB">
          <w:rPr>
            <w:rStyle w:val="Hyperlink"/>
          </w:rPr>
          <w:t>http</w:t>
        </w:r>
      </w:hyperlink>
      <w:hyperlink r:id="rId10" w:history="1">
        <w:r w:rsidRPr="00D01FEB">
          <w:rPr>
            <w:rStyle w:val="Hyperlink"/>
          </w:rPr>
          <w:t>://</w:t>
        </w:r>
      </w:hyperlink>
      <w:hyperlink r:id="rId11" w:history="1">
        <w:r w:rsidRPr="00D01FEB">
          <w:rPr>
            <w:rStyle w:val="Hyperlink"/>
          </w:rPr>
          <w:t>www</w:t>
        </w:r>
      </w:hyperlink>
      <w:hyperlink r:id="rId12" w:history="1">
        <w:r w:rsidRPr="00D01FEB">
          <w:rPr>
            <w:rStyle w:val="Hyperlink"/>
          </w:rPr>
          <w:t>.</w:t>
        </w:r>
      </w:hyperlink>
      <w:hyperlink r:id="rId13" w:history="1">
        <w:r w:rsidRPr="00D01FEB">
          <w:rPr>
            <w:rStyle w:val="Hyperlink"/>
          </w:rPr>
          <w:t>ds</w:t>
        </w:r>
      </w:hyperlink>
      <w:hyperlink r:id="rId14" w:history="1">
        <w:r w:rsidRPr="00D01FEB">
          <w:rPr>
            <w:rStyle w:val="Hyperlink"/>
          </w:rPr>
          <w:t>o</w:t>
        </w:r>
      </w:hyperlink>
      <w:hyperlink r:id="rId15" w:history="1">
        <w:r w:rsidRPr="00D01FEB">
          <w:rPr>
            <w:rStyle w:val="Hyperlink"/>
          </w:rPr>
          <w:t>.</w:t>
        </w:r>
      </w:hyperlink>
      <w:hyperlink r:id="rId16" w:history="1">
        <w:r w:rsidRPr="00D01FEB">
          <w:rPr>
            <w:rStyle w:val="Hyperlink"/>
          </w:rPr>
          <w:t>ufl</w:t>
        </w:r>
      </w:hyperlink>
      <w:hyperlink r:id="rId17" w:history="1">
        <w:r w:rsidRPr="00D01FEB">
          <w:rPr>
            <w:rStyle w:val="Hyperlink"/>
          </w:rPr>
          <w:t>.</w:t>
        </w:r>
      </w:hyperlink>
      <w:hyperlink r:id="rId18" w:history="1">
        <w:r w:rsidRPr="00D01FEB">
          <w:rPr>
            <w:rStyle w:val="Hyperlink"/>
          </w:rPr>
          <w:t>edu</w:t>
        </w:r>
      </w:hyperlink>
      <w:hyperlink r:id="rId19" w:history="1">
        <w:r w:rsidRPr="00D01FEB">
          <w:rPr>
            <w:rStyle w:val="Hyperlink"/>
          </w:rPr>
          <w:t>/</w:t>
        </w:r>
      </w:hyperlink>
      <w:hyperlink r:id="rId20" w:history="1">
        <w:r w:rsidRPr="00D01FEB">
          <w:rPr>
            <w:rStyle w:val="Hyperlink"/>
          </w:rPr>
          <w:t>drc</w:t>
        </w:r>
      </w:hyperlink>
      <w:hyperlink r:id="rId21" w:history="1">
        <w:r w:rsidRPr="00D01FEB">
          <w:rPr>
            <w:rStyle w:val="Hyperlink"/>
          </w:rPr>
          <w:t>/</w:t>
        </w:r>
      </w:hyperlink>
      <w:r w:rsidRPr="00D01FEB">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18809B3A" w14:textId="77777777" w:rsidR="00626746" w:rsidRDefault="00626746" w:rsidP="00626746">
      <w:pPr>
        <w:jc w:val="both"/>
      </w:pPr>
    </w:p>
    <w:p w14:paraId="18CFC83B" w14:textId="77777777" w:rsidR="00626746" w:rsidRDefault="00626746" w:rsidP="00626746">
      <w:pPr>
        <w:jc w:val="both"/>
      </w:pPr>
      <w:r>
        <w:rPr>
          <w:rFonts w:cs="Times New Roman"/>
        </w:rPr>
        <w:t xml:space="preserve">Also, </w:t>
      </w:r>
      <w:r w:rsidRPr="00E1609C">
        <w:rPr>
          <w:rFonts w:cs="Times New Roman"/>
        </w:rPr>
        <w:t xml:space="preserve">with prior notification to the </w:t>
      </w:r>
      <w:r>
        <w:rPr>
          <w:rFonts w:cs="Times New Roman"/>
        </w:rPr>
        <w:t>professor,</w:t>
      </w:r>
      <w:r w:rsidRPr="00E1609C">
        <w:rPr>
          <w:rFonts w:cs="Times New Roman"/>
        </w:rPr>
        <w:t xml:space="preserve"> students </w:t>
      </w:r>
      <w:r>
        <w:rPr>
          <w:rFonts w:cs="Times New Roman"/>
        </w:rPr>
        <w:t>are</w:t>
      </w:r>
      <w:r w:rsidRPr="00E1609C">
        <w:rPr>
          <w:rFonts w:cs="Times New Roman"/>
        </w:rPr>
        <w:t xml:space="preserve"> </w:t>
      </w:r>
      <w:r>
        <w:rPr>
          <w:rFonts w:cs="Times New Roman"/>
        </w:rPr>
        <w:t xml:space="preserve">entitled to be </w:t>
      </w:r>
      <w:r w:rsidRPr="00E1609C">
        <w:rPr>
          <w:rFonts w:cs="Times New Roman"/>
        </w:rPr>
        <w:t xml:space="preserve">excused from class or other scheduled academic activity to observe a religious holy day of their faith. Students </w:t>
      </w:r>
      <w:r>
        <w:rPr>
          <w:rFonts w:cs="Times New Roman"/>
        </w:rPr>
        <w:t>are entitled to have</w:t>
      </w:r>
      <w:r w:rsidRPr="00E1609C">
        <w:rPr>
          <w:rFonts w:cs="Times New Roman"/>
        </w:rPr>
        <w:t xml:space="preserve"> a reasonable amount of time to make up the material or activities covered in their absence. Students </w:t>
      </w:r>
      <w:r>
        <w:rPr>
          <w:rFonts w:cs="Times New Roman"/>
        </w:rPr>
        <w:t>will</w:t>
      </w:r>
      <w:r w:rsidRPr="00E1609C">
        <w:rPr>
          <w:rFonts w:cs="Times New Roman"/>
        </w:rPr>
        <w:t xml:space="preserve"> not be penalized due to absence from class or other scheduled academic activity because of religious observances.</w:t>
      </w:r>
    </w:p>
    <w:p w14:paraId="76412FD6" w14:textId="77777777" w:rsidR="00626746" w:rsidRDefault="00626746" w:rsidP="00626746">
      <w:pPr>
        <w:jc w:val="both"/>
      </w:pPr>
    </w:p>
    <w:p w14:paraId="3DD50B9F" w14:textId="77777777" w:rsidR="00626746" w:rsidRPr="00D01FEB" w:rsidRDefault="00626746" w:rsidP="00626746">
      <w:pPr>
        <w:jc w:val="both"/>
        <w:rPr>
          <w:rFonts w:ascii="Book Antiqua" w:eastAsia="Times New Roman" w:hAnsi="Book Antiqua" w:cs="Times New Roman"/>
          <w:b/>
        </w:rPr>
      </w:pPr>
      <w:r w:rsidRPr="00D01FEB">
        <w:rPr>
          <w:rFonts w:ascii="Book Antiqua" w:eastAsia="Times New Roman" w:hAnsi="Book Antiqua" w:cs="Times New Roman"/>
          <w:b/>
        </w:rPr>
        <w:t xml:space="preserve">ACADEMIC HONESTY </w:t>
      </w:r>
    </w:p>
    <w:p w14:paraId="312B9560" w14:textId="77777777" w:rsidR="00626746" w:rsidRDefault="00626746" w:rsidP="00626746">
      <w:pPr>
        <w:jc w:val="both"/>
        <w:rPr>
          <w:rFonts w:ascii="Book Antiqua" w:eastAsia="Times New Roman" w:hAnsi="Book Antiqua" w:cs="Times New Roman"/>
        </w:rPr>
      </w:pPr>
    </w:p>
    <w:p w14:paraId="700E49B5" w14:textId="77777777" w:rsidR="00626746" w:rsidRDefault="00626746" w:rsidP="00626746">
      <w:pPr>
        <w:jc w:val="both"/>
      </w:pPr>
      <w:r w:rsidRPr="00D01FEB">
        <w:t xml:space="preserve">Academic honesty and integrity are fundamental values of the University community. Students should be sure that they understand the UF Student Honor Code at </w:t>
      </w:r>
      <w:hyperlink r:id="rId22" w:history="1">
        <w:r w:rsidRPr="00D01FEB">
          <w:rPr>
            <w:rStyle w:val="Hyperlink"/>
          </w:rPr>
          <w:t>http</w:t>
        </w:r>
      </w:hyperlink>
      <w:hyperlink r:id="rId23" w:history="1">
        <w:r w:rsidRPr="00D01FEB">
          <w:rPr>
            <w:rStyle w:val="Hyperlink"/>
          </w:rPr>
          <w:t>://</w:t>
        </w:r>
      </w:hyperlink>
      <w:hyperlink r:id="rId24" w:history="1">
        <w:r w:rsidRPr="00D01FEB">
          <w:rPr>
            <w:rStyle w:val="Hyperlink"/>
          </w:rPr>
          <w:t>www</w:t>
        </w:r>
      </w:hyperlink>
      <w:hyperlink r:id="rId25" w:history="1">
        <w:r w:rsidRPr="00D01FEB">
          <w:rPr>
            <w:rStyle w:val="Hyperlink"/>
          </w:rPr>
          <w:t>.</w:t>
        </w:r>
      </w:hyperlink>
      <w:hyperlink r:id="rId26" w:history="1">
        <w:r w:rsidRPr="00D01FEB">
          <w:rPr>
            <w:rStyle w:val="Hyperlink"/>
          </w:rPr>
          <w:t>dso</w:t>
        </w:r>
      </w:hyperlink>
      <w:hyperlink r:id="rId27" w:history="1">
        <w:r w:rsidRPr="00D01FEB">
          <w:rPr>
            <w:rStyle w:val="Hyperlink"/>
          </w:rPr>
          <w:t>.</w:t>
        </w:r>
      </w:hyperlink>
      <w:hyperlink r:id="rId28" w:history="1">
        <w:r w:rsidRPr="00D01FEB">
          <w:rPr>
            <w:rStyle w:val="Hyperlink"/>
          </w:rPr>
          <w:t>ufl</w:t>
        </w:r>
      </w:hyperlink>
      <w:hyperlink r:id="rId29" w:history="1">
        <w:r w:rsidRPr="00D01FEB">
          <w:rPr>
            <w:rStyle w:val="Hyperlink"/>
          </w:rPr>
          <w:t>.</w:t>
        </w:r>
      </w:hyperlink>
      <w:hyperlink r:id="rId30" w:history="1">
        <w:r w:rsidRPr="00D01FEB">
          <w:rPr>
            <w:rStyle w:val="Hyperlink"/>
          </w:rPr>
          <w:t>edu</w:t>
        </w:r>
      </w:hyperlink>
      <w:hyperlink r:id="rId31" w:history="1">
        <w:r w:rsidRPr="00D01FEB">
          <w:rPr>
            <w:rStyle w:val="Hyperlink"/>
          </w:rPr>
          <w:t>/</w:t>
        </w:r>
      </w:hyperlink>
      <w:hyperlink r:id="rId32" w:history="1">
        <w:r w:rsidRPr="00D01FEB">
          <w:rPr>
            <w:rStyle w:val="Hyperlink"/>
          </w:rPr>
          <w:t>students</w:t>
        </w:r>
      </w:hyperlink>
      <w:hyperlink r:id="rId33" w:history="1">
        <w:r w:rsidRPr="00D01FEB">
          <w:rPr>
            <w:rStyle w:val="Hyperlink"/>
          </w:rPr>
          <w:t>.</w:t>
        </w:r>
      </w:hyperlink>
      <w:hyperlink r:id="rId34" w:history="1">
        <w:r w:rsidRPr="00D01FEB">
          <w:rPr>
            <w:rStyle w:val="Hyperlink"/>
          </w:rPr>
          <w:t>php</w:t>
        </w:r>
      </w:hyperlink>
      <w:r w:rsidRPr="00D01FEB">
        <w:t xml:space="preserve">. </w:t>
      </w:r>
    </w:p>
    <w:p w14:paraId="6F2E89AE" w14:textId="0476C963" w:rsidR="00F41ECE" w:rsidRDefault="00F41ECE" w:rsidP="00626746">
      <w:pPr>
        <w:jc w:val="both"/>
      </w:pPr>
    </w:p>
    <w:p w14:paraId="5C1891A9" w14:textId="663CA354" w:rsidR="00922676" w:rsidRPr="00922676" w:rsidRDefault="00922676" w:rsidP="00626746">
      <w:pPr>
        <w:jc w:val="both"/>
        <w:rPr>
          <w:b/>
          <w:bCs/>
        </w:rPr>
      </w:pPr>
      <w:bookmarkStart w:id="7" w:name="_Hlk61351612"/>
      <w:r w:rsidRPr="00922676">
        <w:rPr>
          <w:b/>
          <w:bCs/>
        </w:rPr>
        <w:t>ONLINE COURSE EVALUATIONS</w:t>
      </w:r>
    </w:p>
    <w:p w14:paraId="476899E5" w14:textId="51FE6945" w:rsidR="00922676" w:rsidRDefault="00922676" w:rsidP="00626746">
      <w:pPr>
        <w:jc w:val="both"/>
        <w:rPr>
          <w:rFonts w:ascii="Times New Roman" w:hAnsi="Times New Roman" w:cs="Times New Roman"/>
        </w:rPr>
      </w:pPr>
      <w:r w:rsidRPr="00AC2C9A">
        <w:rPr>
          <w:rFonts w:ascii="Times New Roman" w:hAnsi="Times New Roman" w:cs="Times New Roman"/>
        </w:rPr>
        <w:lastRenderedPageBreak/>
        <w:t xml:space="preserve">Students are expected to provide professional and respectful feedback on the quality of instruction in this course by completing course evaluations online via </w:t>
      </w:r>
      <w:proofErr w:type="spellStart"/>
      <w:r w:rsidRPr="00AC2C9A">
        <w:rPr>
          <w:rFonts w:ascii="Times New Roman" w:hAnsi="Times New Roman" w:cs="Times New Roman"/>
        </w:rPr>
        <w:t>GatorEvals</w:t>
      </w:r>
      <w:proofErr w:type="spellEnd"/>
      <w:r w:rsidRPr="00AC2C9A">
        <w:rPr>
          <w:rFonts w:ascii="Times New Roman" w:hAnsi="Times New Roman" w:cs="Times New Roman"/>
        </w:rPr>
        <w:t xml:space="preserve">. </w:t>
      </w:r>
      <w:r>
        <w:rPr>
          <w:rFonts w:ascii="Times New Roman" w:hAnsi="Times New Roman" w:cs="Times New Roman"/>
        </w:rPr>
        <w:t>G</w:t>
      </w:r>
      <w:r w:rsidRPr="00AC2C9A">
        <w:rPr>
          <w:rFonts w:ascii="Times New Roman" w:hAnsi="Times New Roman" w:cs="Times New Roman"/>
        </w:rPr>
        <w:t>uidance on how to give feedback in a professional and respectful manner</w:t>
      </w:r>
      <w:r>
        <w:rPr>
          <w:rFonts w:ascii="Times New Roman" w:hAnsi="Times New Roman" w:cs="Times New Roman"/>
        </w:rPr>
        <w:t xml:space="preserve"> can be found here: </w:t>
      </w:r>
      <w:hyperlink r:id="rId35" w:history="1">
        <w:r w:rsidRPr="007A785F">
          <w:rPr>
            <w:rStyle w:val="Hyperlink"/>
            <w:rFonts w:ascii="Times New Roman" w:hAnsi="Times New Roman" w:cs="Times New Roman"/>
          </w:rPr>
          <w:t>https://gatorevals.aa.ufl.edu/students/</w:t>
        </w:r>
      </w:hyperlink>
      <w:r>
        <w:rPr>
          <w:rFonts w:ascii="Times New Roman" w:hAnsi="Times New Roman" w:cs="Times New Roman"/>
        </w:rPr>
        <w:t>.</w:t>
      </w:r>
      <w:r w:rsidRPr="00AC2C9A">
        <w:rPr>
          <w:rFonts w:ascii="Times New Roman" w:hAnsi="Times New Roman" w:cs="Times New Roman"/>
        </w:rPr>
        <w:t xml:space="preserve"> Students will be notified when the evaluation period opens, and can complete evaluations through the email they receive from </w:t>
      </w:r>
      <w:proofErr w:type="spellStart"/>
      <w:r w:rsidRPr="00AC2C9A">
        <w:rPr>
          <w:rFonts w:ascii="Times New Roman" w:hAnsi="Times New Roman" w:cs="Times New Roman"/>
        </w:rPr>
        <w:t>GatorEvals</w:t>
      </w:r>
      <w:proofErr w:type="spellEnd"/>
      <w:r w:rsidRPr="00AC2C9A">
        <w:rPr>
          <w:rFonts w:ascii="Times New Roman" w:hAnsi="Times New Roman" w:cs="Times New Roman"/>
        </w:rPr>
        <w:t xml:space="preserve">, in their Canvas course menu under </w:t>
      </w:r>
      <w:proofErr w:type="spellStart"/>
      <w:r w:rsidRPr="00AC2C9A">
        <w:rPr>
          <w:rFonts w:ascii="Times New Roman" w:hAnsi="Times New Roman" w:cs="Times New Roman"/>
        </w:rPr>
        <w:t>GatorEvals</w:t>
      </w:r>
      <w:proofErr w:type="spellEnd"/>
      <w:r w:rsidRPr="00AC2C9A">
        <w:rPr>
          <w:rFonts w:ascii="Times New Roman" w:hAnsi="Times New Roman" w:cs="Times New Roman"/>
        </w:rPr>
        <w:t xml:space="preserve">, or via </w:t>
      </w:r>
      <w:hyperlink r:id="rId36" w:history="1">
        <w:r w:rsidRPr="00AC2C9A">
          <w:rPr>
            <w:rStyle w:val="Hyperlink"/>
            <w:rFonts w:ascii="Times New Roman" w:hAnsi="Times New Roman" w:cs="Times New Roman"/>
          </w:rPr>
          <w:t>ufl.bluera.com/ufl/</w:t>
        </w:r>
      </w:hyperlink>
      <w:r w:rsidRPr="00AC2C9A">
        <w:rPr>
          <w:rFonts w:ascii="Times New Roman" w:hAnsi="Times New Roman" w:cs="Times New Roman"/>
        </w:rPr>
        <w:t>. Summaries of course evaluation results are available to students</w:t>
      </w:r>
      <w:r>
        <w:t xml:space="preserve"> can be found here: </w:t>
      </w:r>
      <w:hyperlink r:id="rId37" w:history="1">
        <w:r w:rsidRPr="007A785F">
          <w:rPr>
            <w:rStyle w:val="Hyperlink"/>
          </w:rPr>
          <w:t>https://gatorevals.aa.ufl.edu/public-results/</w:t>
        </w:r>
      </w:hyperlink>
      <w:r>
        <w:t xml:space="preserve">. </w:t>
      </w:r>
    </w:p>
    <w:p w14:paraId="27D94229" w14:textId="25862D4E" w:rsidR="00922676" w:rsidRDefault="00922676" w:rsidP="00626746">
      <w:pPr>
        <w:jc w:val="both"/>
      </w:pPr>
    </w:p>
    <w:p w14:paraId="2784D970" w14:textId="1616E1B0" w:rsidR="0007750B" w:rsidRPr="0007750B" w:rsidRDefault="0007750B" w:rsidP="00626746">
      <w:pPr>
        <w:jc w:val="both"/>
        <w:rPr>
          <w:b/>
          <w:bCs/>
        </w:rPr>
      </w:pPr>
      <w:r w:rsidRPr="0007750B">
        <w:rPr>
          <w:b/>
          <w:bCs/>
        </w:rPr>
        <w:t>COVID POLICY</w:t>
      </w:r>
    </w:p>
    <w:p w14:paraId="06DCE865" w14:textId="63CC1ACB" w:rsidR="0007750B" w:rsidRDefault="0007750B" w:rsidP="00626746">
      <w:pPr>
        <w:jc w:val="both"/>
      </w:pPr>
    </w:p>
    <w:p w14:paraId="0DC25152" w14:textId="689A06C5" w:rsidR="0007750B" w:rsidRPr="0007750B" w:rsidRDefault="0007750B" w:rsidP="0007750B">
      <w:pPr>
        <w:spacing w:after="160" w:line="259" w:lineRule="auto"/>
        <w:rPr>
          <w:rFonts w:ascii="Times New Roman" w:hAnsi="Times New Roman" w:cs="Times New Roman"/>
        </w:rPr>
      </w:pPr>
      <w:r w:rsidRPr="0007750B">
        <w:rPr>
          <w:rFonts w:ascii="Times New Roman" w:hAnsi="Times New Roman" w:cs="Times New Roman"/>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72B66132" w14:textId="77777777" w:rsidR="0007750B" w:rsidRPr="00AC2C9A" w:rsidRDefault="0007750B" w:rsidP="0007750B">
      <w:pPr>
        <w:pStyle w:val="ListParagraph"/>
        <w:numPr>
          <w:ilvl w:val="0"/>
          <w:numId w:val="24"/>
        </w:numPr>
        <w:spacing w:after="160" w:line="259" w:lineRule="auto"/>
        <w:ind w:left="360"/>
        <w:rPr>
          <w:rFonts w:ascii="Times New Roman" w:hAnsi="Times New Roman" w:cs="Times New Roman"/>
        </w:rPr>
      </w:pPr>
      <w:r w:rsidRPr="00AC2C9A">
        <w:rPr>
          <w:rFonts w:ascii="Times New Roman" w:hAnsi="Times New Roman" w:cs="Times New Roman"/>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59BBB406" w14:textId="77777777" w:rsidR="0007750B" w:rsidRPr="00AC2C9A" w:rsidRDefault="0007750B" w:rsidP="0007750B">
      <w:pPr>
        <w:numPr>
          <w:ilvl w:val="0"/>
          <w:numId w:val="24"/>
        </w:numPr>
        <w:ind w:left="360"/>
        <w:rPr>
          <w:rFonts w:ascii="Times New Roman" w:hAnsi="Times New Roman" w:cs="Times New Roman"/>
        </w:rPr>
      </w:pPr>
      <w:r w:rsidRPr="00AC2C9A">
        <w:rPr>
          <w:rFonts w:ascii="Times New Roman" w:hAnsi="Times New Roman" w:cs="Times New Roman"/>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10F62393" w14:textId="77777777" w:rsidR="0007750B" w:rsidRPr="00AC2C9A" w:rsidRDefault="0007750B" w:rsidP="0007750B">
      <w:pPr>
        <w:ind w:left="360"/>
        <w:rPr>
          <w:rFonts w:ascii="Times New Roman" w:hAnsi="Times New Roman" w:cs="Times New Roman"/>
        </w:rPr>
      </w:pPr>
    </w:p>
    <w:p w14:paraId="4DBF6644" w14:textId="77777777" w:rsidR="0007750B" w:rsidRPr="00AC2C9A" w:rsidRDefault="0007750B" w:rsidP="0007750B">
      <w:pPr>
        <w:numPr>
          <w:ilvl w:val="0"/>
          <w:numId w:val="24"/>
        </w:numPr>
        <w:ind w:left="360"/>
        <w:rPr>
          <w:rFonts w:ascii="Times New Roman" w:hAnsi="Times New Roman" w:cs="Times New Roman"/>
        </w:rPr>
      </w:pPr>
      <w:r w:rsidRPr="00AC2C9A">
        <w:rPr>
          <w:rFonts w:ascii="Times New Roman" w:hAnsi="Times New Roman" w:cs="Times New Roman"/>
        </w:rPr>
        <w:t>Sanitizing supplies are available in the classroom if you wish to wipe down your desks prior to sitting down and at the end of the class.</w:t>
      </w:r>
    </w:p>
    <w:p w14:paraId="42C30A75" w14:textId="77777777" w:rsidR="0007750B" w:rsidRPr="00AC2C9A" w:rsidRDefault="0007750B" w:rsidP="0007750B">
      <w:pPr>
        <w:rPr>
          <w:rFonts w:ascii="Times New Roman" w:hAnsi="Times New Roman" w:cs="Times New Roman"/>
        </w:rPr>
      </w:pPr>
    </w:p>
    <w:p w14:paraId="4F74F67B" w14:textId="77777777" w:rsidR="0007750B" w:rsidRPr="00AC2C9A" w:rsidRDefault="0007750B" w:rsidP="0007750B">
      <w:pPr>
        <w:numPr>
          <w:ilvl w:val="0"/>
          <w:numId w:val="24"/>
        </w:numPr>
        <w:ind w:left="360"/>
        <w:rPr>
          <w:rFonts w:ascii="Times New Roman" w:hAnsi="Times New Roman" w:cs="Times New Roman"/>
        </w:rPr>
      </w:pPr>
      <w:r w:rsidRPr="00AC2C9A">
        <w:rPr>
          <w:rFonts w:ascii="Times New Roman" w:hAnsi="Times New Roman" w:cs="Times New Roman"/>
        </w:rPr>
        <w:t>Be mindful of how to properly enter and exit the classroom.  Practice physical distancing to the extent possible when entering and exiting the classroom.</w:t>
      </w:r>
    </w:p>
    <w:p w14:paraId="5520AD91" w14:textId="77777777" w:rsidR="0007750B" w:rsidRPr="00AC2C9A" w:rsidRDefault="0007750B" w:rsidP="0007750B">
      <w:pPr>
        <w:ind w:left="360"/>
        <w:rPr>
          <w:rFonts w:ascii="Times New Roman" w:hAnsi="Times New Roman" w:cs="Times New Roman"/>
        </w:rPr>
      </w:pPr>
    </w:p>
    <w:p w14:paraId="61AF6831" w14:textId="77777777" w:rsidR="0007750B" w:rsidRPr="00AC2C9A" w:rsidRDefault="0007750B" w:rsidP="0007750B">
      <w:pPr>
        <w:numPr>
          <w:ilvl w:val="0"/>
          <w:numId w:val="24"/>
        </w:numPr>
        <w:ind w:left="360"/>
        <w:rPr>
          <w:rFonts w:ascii="Times New Roman" w:hAnsi="Times New Roman" w:cs="Times New Roman"/>
        </w:rPr>
      </w:pPr>
      <w:r w:rsidRPr="00AC2C9A">
        <w:rPr>
          <w:rFonts w:ascii="Times New Roman" w:hAnsi="Times New Roman" w:cs="Times New Roman"/>
        </w:rPr>
        <w:t>If you are experiencing COVID-19 symptoms (</w:t>
      </w:r>
      <w:hyperlink r:id="rId38" w:history="1">
        <w:r w:rsidRPr="00AC2C9A">
          <w:rPr>
            <w:rStyle w:val="Hyperlink"/>
            <w:rFonts w:ascii="Times New Roman" w:hAnsi="Times New Roman" w:cs="Times New Roman"/>
          </w:rPr>
          <w:t>https://www.cdc.gov/coronavirus/2019-ncov/symptoms-testing/symptoms.html</w:t>
        </w:r>
      </w:hyperlink>
      <w:r w:rsidRPr="00AC2C9A">
        <w:rPr>
          <w:rFonts w:ascii="Times New Roman" w:hAnsi="Times New Roman" w:cs="Times New Roman"/>
        </w:rPr>
        <w:t xml:space="preserve">), please do not come to campus or, if you are already on campus, please immediately leave campus.  Please use the UF Health screening system and follow the instructions about when you are able to return to campus.  </w:t>
      </w:r>
      <w:hyperlink r:id="rId39" w:history="1">
        <w:r w:rsidRPr="00AC2C9A">
          <w:rPr>
            <w:rStyle w:val="Hyperlink"/>
            <w:rFonts w:ascii="Times New Roman" w:hAnsi="Times New Roman" w:cs="Times New Roman"/>
          </w:rPr>
          <w:t>https://coronavirus.ufhealth.org/screen-test-protect/covid-19-exposure-and-symptoms-who-do-i-call-if/</w:t>
        </w:r>
      </w:hyperlink>
      <w:r w:rsidRPr="00AC2C9A">
        <w:rPr>
          <w:rFonts w:ascii="Times New Roman" w:hAnsi="Times New Roman" w:cs="Times New Roman"/>
        </w:rPr>
        <w:t>.</w:t>
      </w:r>
    </w:p>
    <w:p w14:paraId="213D1BCF" w14:textId="77777777" w:rsidR="0007750B" w:rsidRPr="00AC2C9A" w:rsidRDefault="0007750B" w:rsidP="0007750B">
      <w:pPr>
        <w:ind w:left="360"/>
        <w:rPr>
          <w:rFonts w:ascii="Times New Roman" w:hAnsi="Times New Roman" w:cs="Times New Roman"/>
        </w:rPr>
      </w:pPr>
    </w:p>
    <w:p w14:paraId="40609F47" w14:textId="77777777" w:rsidR="0007750B" w:rsidRPr="00AC2C9A" w:rsidRDefault="0007750B" w:rsidP="0007750B">
      <w:pPr>
        <w:numPr>
          <w:ilvl w:val="0"/>
          <w:numId w:val="24"/>
        </w:numPr>
        <w:ind w:left="360"/>
        <w:rPr>
          <w:rFonts w:ascii="Times New Roman" w:hAnsi="Times New Roman" w:cs="Times New Roman"/>
        </w:rPr>
      </w:pPr>
      <w:r w:rsidRPr="00AC2C9A">
        <w:rPr>
          <w:rFonts w:ascii="Times New Roman" w:hAnsi="Times New Roman" w:cs="Times New Roman"/>
        </w:rPr>
        <w:t>Course materials will be provided to you with an excused absence, and you will be given a reasonable amount of time to make up work.</w:t>
      </w:r>
      <w:hyperlink r:id="rId40" w:history="1">
        <w:r w:rsidRPr="00AC2C9A">
          <w:rPr>
            <w:rStyle w:val="Hyperlink"/>
            <w:rFonts w:ascii="Times New Roman" w:hAnsi="Times New Roman" w:cs="Times New Roman"/>
          </w:rPr>
          <w:t>https://catalog.ufl.edu/UGRD/academic-regulations/attendance-policies/</w:t>
        </w:r>
      </w:hyperlink>
      <w:r w:rsidRPr="00AC2C9A">
        <w:rPr>
          <w:rFonts w:ascii="Times New Roman" w:hAnsi="Times New Roman" w:cs="Times New Roman"/>
        </w:rPr>
        <w:t>.”</w:t>
      </w:r>
    </w:p>
    <w:p w14:paraId="58B45E6B" w14:textId="78029E90" w:rsidR="0007750B" w:rsidRDefault="0007750B" w:rsidP="00626746">
      <w:pPr>
        <w:jc w:val="both"/>
      </w:pPr>
    </w:p>
    <w:p w14:paraId="4534D13C" w14:textId="1BAF449B" w:rsidR="0007750B" w:rsidRPr="00D01FEB" w:rsidRDefault="0007750B" w:rsidP="0007750B">
      <w:pPr>
        <w:jc w:val="both"/>
        <w:rPr>
          <w:rFonts w:ascii="Book Antiqua" w:eastAsia="Times New Roman" w:hAnsi="Book Antiqua" w:cs="Times New Roman"/>
          <w:b/>
        </w:rPr>
      </w:pPr>
      <w:r>
        <w:rPr>
          <w:rFonts w:ascii="Book Antiqua" w:eastAsia="Times New Roman" w:hAnsi="Book Antiqua" w:cs="Times New Roman"/>
          <w:b/>
        </w:rPr>
        <w:t xml:space="preserve">CLASS DISCUSSION AND RECORDING </w:t>
      </w:r>
    </w:p>
    <w:p w14:paraId="0CB1DCF0" w14:textId="2DE7A29C" w:rsidR="0007750B" w:rsidRDefault="0007750B" w:rsidP="00626746">
      <w:pPr>
        <w:jc w:val="both"/>
      </w:pPr>
    </w:p>
    <w:p w14:paraId="2A560C45" w14:textId="6809E80C" w:rsidR="0007750B" w:rsidRDefault="0007750B" w:rsidP="00626746">
      <w:pPr>
        <w:jc w:val="both"/>
      </w:pPr>
      <w:r w:rsidRPr="00AC2C9A">
        <w:rPr>
          <w:rFonts w:ascii="Times New Roman" w:hAnsi="Times New Roman" w:cs="Times New Roman"/>
        </w:rPr>
        <w:lastRenderedPageBreak/>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bookmarkEnd w:id="7"/>
    <w:p w14:paraId="1B0ADEC2" w14:textId="77777777" w:rsidR="0007750B" w:rsidRDefault="0007750B" w:rsidP="00626746">
      <w:pPr>
        <w:jc w:val="both"/>
      </w:pPr>
    </w:p>
    <w:p w14:paraId="295FDBEE" w14:textId="41A308DF" w:rsidR="005302A1" w:rsidRPr="00D01FEB" w:rsidRDefault="005302A1" w:rsidP="005302A1">
      <w:pPr>
        <w:jc w:val="both"/>
        <w:rPr>
          <w:rFonts w:ascii="Book Antiqua" w:eastAsia="Times New Roman" w:hAnsi="Book Antiqua" w:cs="Times New Roman"/>
          <w:b/>
        </w:rPr>
      </w:pPr>
      <w:bookmarkStart w:id="8" w:name="_Hlk61271739"/>
      <w:r>
        <w:rPr>
          <w:rFonts w:ascii="Book Antiqua" w:eastAsia="Times New Roman" w:hAnsi="Book Antiqua" w:cs="Times New Roman"/>
          <w:b/>
        </w:rPr>
        <w:t xml:space="preserve">ONLINE (ZOOM) CLASS SESSIONS </w:t>
      </w:r>
      <w:r w:rsidRPr="00D01FEB">
        <w:rPr>
          <w:rFonts w:ascii="Book Antiqua" w:eastAsia="Times New Roman" w:hAnsi="Book Antiqua" w:cs="Times New Roman"/>
          <w:b/>
        </w:rPr>
        <w:t xml:space="preserve"> </w:t>
      </w:r>
    </w:p>
    <w:p w14:paraId="5D850104" w14:textId="77777777" w:rsidR="005302A1" w:rsidRDefault="005302A1" w:rsidP="005302A1">
      <w:pPr>
        <w:jc w:val="both"/>
        <w:rPr>
          <w:rFonts w:ascii="Book Antiqua" w:eastAsia="Times New Roman" w:hAnsi="Book Antiqua" w:cs="Times New Roman"/>
        </w:rPr>
      </w:pPr>
    </w:p>
    <w:p w14:paraId="7B2DDC0D" w14:textId="68DA79C9" w:rsidR="005302A1" w:rsidRDefault="005302A1" w:rsidP="005302A1">
      <w:pPr>
        <w:jc w:val="both"/>
      </w:pPr>
      <w:r>
        <w:t xml:space="preserve">Per law school policy, our course must have a majority of in-person class sessions. </w:t>
      </w:r>
      <w:r w:rsidR="00F61F8F">
        <w:t xml:space="preserve">Consistent with this policy, we will try to have more in-person class sessions during the early part of the course, thus permitting us to “bank” the possibility of online sessions during the latter part of this course. Zoom class sessions will be announced ahead of time. </w:t>
      </w:r>
    </w:p>
    <w:p w14:paraId="6764CBD3" w14:textId="77777777" w:rsidR="009B4BAD" w:rsidRPr="00E1609C" w:rsidRDefault="009B4BAD" w:rsidP="00626746">
      <w:pPr>
        <w:jc w:val="both"/>
        <w:rPr>
          <w:rFonts w:eastAsia="Times New Roman" w:cs="Times New Roman"/>
        </w:rPr>
      </w:pPr>
    </w:p>
    <w:bookmarkEnd w:id="8"/>
    <w:p w14:paraId="20EC41FC" w14:textId="77777777" w:rsidR="00DF53FF" w:rsidRDefault="00DF53FF" w:rsidP="00DF53FF">
      <w:pPr>
        <w:rPr>
          <w:rFonts w:ascii="Book Antiqua" w:hAnsi="Book Antiqua"/>
        </w:rPr>
      </w:pPr>
    </w:p>
    <w:p w14:paraId="22AC1C57" w14:textId="77777777" w:rsidR="00DF53FF" w:rsidRPr="00423960" w:rsidRDefault="00DF53FF" w:rsidP="00EB437C">
      <w:pPr>
        <w:rPr>
          <w:rFonts w:ascii="Book Antiqua" w:hAnsi="Book Antiqua"/>
        </w:rPr>
        <w:sectPr w:rsidR="00DF53FF" w:rsidRPr="00423960">
          <w:pgSz w:w="12240" w:h="15840"/>
          <w:pgMar w:top="1440" w:right="1440" w:bottom="1440" w:left="1440" w:header="720" w:footer="720" w:gutter="0"/>
          <w:cols w:space="720"/>
          <w:docGrid w:linePitch="360"/>
        </w:sectPr>
      </w:pPr>
    </w:p>
    <w:p w14:paraId="3FC80D7F" w14:textId="77777777" w:rsidR="00AD33CD" w:rsidRDefault="00AD33CD" w:rsidP="00AD33CD">
      <w:pPr>
        <w:jc w:val="center"/>
        <w:rPr>
          <w:rFonts w:ascii="Book Antiqua" w:hAnsi="Book Antiqua"/>
          <w:b/>
          <w:sz w:val="40"/>
        </w:rPr>
      </w:pPr>
      <w:r w:rsidRPr="00DE7D4F">
        <w:rPr>
          <w:rFonts w:ascii="Book Antiqua" w:hAnsi="Book Antiqua"/>
          <w:b/>
          <w:sz w:val="40"/>
        </w:rPr>
        <w:lastRenderedPageBreak/>
        <w:t xml:space="preserve">ASSIGNMENTS </w:t>
      </w:r>
    </w:p>
    <w:p w14:paraId="78BA9D72" w14:textId="77777777" w:rsidR="00AD33CD" w:rsidRDefault="00AD33CD" w:rsidP="00AD33CD">
      <w:pPr>
        <w:rPr>
          <w:rFonts w:ascii="Book Antiqua" w:hAnsi="Book Antiqua"/>
          <w:b/>
        </w:rPr>
      </w:pPr>
    </w:p>
    <w:p w14:paraId="2A37163A" w14:textId="77777777" w:rsidR="00AD33CD" w:rsidRPr="0048487B" w:rsidRDefault="00AD33CD" w:rsidP="00AD33CD">
      <w:pPr>
        <w:rPr>
          <w:rFonts w:ascii="Book Antiqua" w:hAnsi="Book Antiqua"/>
          <w:b/>
        </w:rPr>
      </w:pPr>
    </w:p>
    <w:tbl>
      <w:tblPr>
        <w:tblStyle w:val="TableGrid"/>
        <w:tblW w:w="9360" w:type="dxa"/>
        <w:tblInd w:w="-5" w:type="dxa"/>
        <w:tblLayout w:type="fixed"/>
        <w:tblLook w:val="04A0" w:firstRow="1" w:lastRow="0" w:firstColumn="1" w:lastColumn="0" w:noHBand="0" w:noVBand="1"/>
      </w:tblPr>
      <w:tblGrid>
        <w:gridCol w:w="810"/>
        <w:gridCol w:w="6660"/>
        <w:gridCol w:w="1890"/>
      </w:tblGrid>
      <w:tr w:rsidR="00AD33CD" w14:paraId="3426E720" w14:textId="77777777" w:rsidTr="00B57107">
        <w:trPr>
          <w:trHeight w:val="773"/>
        </w:trPr>
        <w:tc>
          <w:tcPr>
            <w:tcW w:w="810" w:type="dxa"/>
            <w:vAlign w:val="center"/>
          </w:tcPr>
          <w:p w14:paraId="1E5C73A2" w14:textId="77777777" w:rsidR="00AD33CD" w:rsidRPr="00E81769" w:rsidRDefault="00AD33CD" w:rsidP="00B57107">
            <w:pPr>
              <w:jc w:val="center"/>
              <w:rPr>
                <w:rFonts w:ascii="Book Antiqua" w:hAnsi="Book Antiqua"/>
                <w:b/>
              </w:rPr>
            </w:pPr>
            <w:r w:rsidRPr="00E81769">
              <w:rPr>
                <w:rFonts w:ascii="Book Antiqua" w:hAnsi="Book Antiqua"/>
                <w:b/>
              </w:rPr>
              <w:t>Class #</w:t>
            </w:r>
          </w:p>
        </w:tc>
        <w:tc>
          <w:tcPr>
            <w:tcW w:w="6660" w:type="dxa"/>
          </w:tcPr>
          <w:p w14:paraId="5BCCC90B" w14:textId="77777777" w:rsidR="00AD33CD" w:rsidRPr="00E81769" w:rsidRDefault="00AD33CD" w:rsidP="00B57107">
            <w:pPr>
              <w:jc w:val="center"/>
              <w:rPr>
                <w:rFonts w:ascii="Book Antiqua" w:hAnsi="Book Antiqua"/>
                <w:b/>
              </w:rPr>
            </w:pPr>
          </w:p>
          <w:p w14:paraId="5A4997DE" w14:textId="77777777" w:rsidR="00AD33CD" w:rsidRPr="00E81769" w:rsidRDefault="00AD33CD" w:rsidP="00B57107">
            <w:pPr>
              <w:jc w:val="center"/>
              <w:rPr>
                <w:rFonts w:ascii="Book Antiqua" w:hAnsi="Book Antiqua"/>
                <w:b/>
              </w:rPr>
            </w:pPr>
            <w:r w:rsidRPr="00E81769">
              <w:rPr>
                <w:rFonts w:ascii="Book Antiqua" w:hAnsi="Book Antiqua"/>
                <w:b/>
              </w:rPr>
              <w:t>Topics, Issues, and Cases</w:t>
            </w:r>
          </w:p>
        </w:tc>
        <w:tc>
          <w:tcPr>
            <w:tcW w:w="1890" w:type="dxa"/>
            <w:vAlign w:val="center"/>
          </w:tcPr>
          <w:p w14:paraId="5453F690" w14:textId="77777777" w:rsidR="00AD33CD" w:rsidRPr="00E81769" w:rsidRDefault="006A3BFD" w:rsidP="006A3BFD">
            <w:pPr>
              <w:jc w:val="center"/>
              <w:rPr>
                <w:rFonts w:ascii="Book Antiqua" w:hAnsi="Book Antiqua"/>
                <w:b/>
              </w:rPr>
            </w:pPr>
            <w:r w:rsidRPr="00E81769">
              <w:rPr>
                <w:rFonts w:ascii="Book Antiqua" w:hAnsi="Book Antiqua"/>
                <w:b/>
              </w:rPr>
              <w:t>Text pages</w:t>
            </w:r>
          </w:p>
        </w:tc>
      </w:tr>
      <w:tr w:rsidR="00BE236E" w:rsidRPr="00420406" w14:paraId="4B9D5990" w14:textId="77777777" w:rsidTr="00B57107">
        <w:tc>
          <w:tcPr>
            <w:tcW w:w="810" w:type="dxa"/>
            <w:shd w:val="clear" w:color="auto" w:fill="D9D9D9" w:themeFill="background1" w:themeFillShade="D9"/>
          </w:tcPr>
          <w:p w14:paraId="537D9748" w14:textId="77777777" w:rsidR="00BE236E" w:rsidRPr="00E81769" w:rsidRDefault="00BE236E" w:rsidP="00B57107">
            <w:pPr>
              <w:jc w:val="center"/>
            </w:pPr>
            <w:r>
              <w:t>1</w:t>
            </w:r>
          </w:p>
        </w:tc>
        <w:tc>
          <w:tcPr>
            <w:tcW w:w="6660" w:type="dxa"/>
            <w:shd w:val="clear" w:color="auto" w:fill="D9D9D9" w:themeFill="background1" w:themeFillShade="D9"/>
          </w:tcPr>
          <w:p w14:paraId="14218B23" w14:textId="77777777" w:rsidR="00245425" w:rsidRDefault="00245425" w:rsidP="00245425">
            <w:pPr>
              <w:jc w:val="both"/>
            </w:pPr>
            <w:r>
              <w:t>CHAPTER 1:  INTRODUCTION</w:t>
            </w:r>
          </w:p>
          <w:p w14:paraId="65E3795B" w14:textId="77777777" w:rsidR="00BE236E" w:rsidRDefault="00245425" w:rsidP="00B15832">
            <w:pPr>
              <w:pStyle w:val="ListParagraph"/>
              <w:numPr>
                <w:ilvl w:val="0"/>
                <w:numId w:val="2"/>
              </w:numPr>
              <w:jc w:val="both"/>
            </w:pPr>
            <w:r>
              <w:t xml:space="preserve">Consensual liens </w:t>
            </w:r>
          </w:p>
          <w:p w14:paraId="62B38860" w14:textId="77777777" w:rsidR="00245425" w:rsidRDefault="00245425" w:rsidP="00B15832">
            <w:pPr>
              <w:pStyle w:val="ListParagraph"/>
              <w:numPr>
                <w:ilvl w:val="0"/>
                <w:numId w:val="2"/>
              </w:numPr>
              <w:jc w:val="both"/>
            </w:pPr>
            <w:r>
              <w:t xml:space="preserve">Judicial liens </w:t>
            </w:r>
          </w:p>
          <w:p w14:paraId="1C83AF6E" w14:textId="77777777" w:rsidR="00245425" w:rsidRDefault="00245425" w:rsidP="00B15832">
            <w:pPr>
              <w:pStyle w:val="ListParagraph"/>
              <w:numPr>
                <w:ilvl w:val="0"/>
                <w:numId w:val="2"/>
              </w:numPr>
              <w:jc w:val="both"/>
            </w:pPr>
            <w:r>
              <w:t xml:space="preserve">Overview of bankruptcy </w:t>
            </w:r>
          </w:p>
          <w:p w14:paraId="02EDDFAA" w14:textId="77777777" w:rsidR="005848E7" w:rsidRDefault="005848E7" w:rsidP="00245425">
            <w:pPr>
              <w:jc w:val="both"/>
            </w:pPr>
          </w:p>
          <w:p w14:paraId="7AAA21EB" w14:textId="0FD94B79" w:rsidR="005848E7" w:rsidRDefault="00681E37" w:rsidP="00AA49C1">
            <w:pPr>
              <w:jc w:val="both"/>
            </w:pPr>
            <w:r>
              <w:t>Bankruptcy Code (11 U.S.C.):</w:t>
            </w:r>
            <w:r w:rsidR="007D0875">
              <w:t xml:space="preserve">  § 362(a)</w:t>
            </w:r>
          </w:p>
          <w:p w14:paraId="6BE4382C" w14:textId="77777777" w:rsidR="007D0875" w:rsidRPr="00E81769" w:rsidRDefault="007D0875" w:rsidP="00245425">
            <w:pPr>
              <w:jc w:val="both"/>
            </w:pPr>
          </w:p>
        </w:tc>
        <w:tc>
          <w:tcPr>
            <w:tcW w:w="1890" w:type="dxa"/>
            <w:shd w:val="clear" w:color="auto" w:fill="D9D9D9" w:themeFill="background1" w:themeFillShade="D9"/>
          </w:tcPr>
          <w:p w14:paraId="2D4BCDDF" w14:textId="77777777" w:rsidR="00932611" w:rsidRDefault="005848E7" w:rsidP="00B57107">
            <w:pPr>
              <w:jc w:val="center"/>
            </w:pPr>
            <w:r>
              <w:t>1-25</w:t>
            </w:r>
          </w:p>
          <w:p w14:paraId="5025AE6A" w14:textId="77777777" w:rsidR="00932611" w:rsidRDefault="00932611" w:rsidP="00B57107">
            <w:pPr>
              <w:jc w:val="center"/>
            </w:pPr>
          </w:p>
          <w:p w14:paraId="50A10082" w14:textId="77777777" w:rsidR="005848E7" w:rsidRPr="00E81769" w:rsidRDefault="00932611" w:rsidP="00932611">
            <w:pPr>
              <w:jc w:val="center"/>
            </w:pPr>
            <w:r>
              <w:t>Skim read:  Section B on pp. 16-17</w:t>
            </w:r>
          </w:p>
        </w:tc>
      </w:tr>
      <w:tr w:rsidR="00AD33CD" w:rsidRPr="00420406" w14:paraId="208C58E5" w14:textId="77777777" w:rsidTr="00B57107">
        <w:tc>
          <w:tcPr>
            <w:tcW w:w="810" w:type="dxa"/>
            <w:shd w:val="clear" w:color="auto" w:fill="D9D9D9" w:themeFill="background1" w:themeFillShade="D9"/>
          </w:tcPr>
          <w:p w14:paraId="6E81B716" w14:textId="77777777" w:rsidR="00AD33CD" w:rsidRPr="00E81769" w:rsidRDefault="00AD33CD" w:rsidP="00B57107">
            <w:pPr>
              <w:jc w:val="center"/>
            </w:pPr>
            <w:r w:rsidRPr="00E81769">
              <w:t>2</w:t>
            </w:r>
          </w:p>
        </w:tc>
        <w:tc>
          <w:tcPr>
            <w:tcW w:w="6660" w:type="dxa"/>
            <w:shd w:val="clear" w:color="auto" w:fill="D9D9D9" w:themeFill="background1" w:themeFillShade="D9"/>
          </w:tcPr>
          <w:p w14:paraId="0159B5AA" w14:textId="77777777" w:rsidR="00AD33CD" w:rsidRDefault="00245425" w:rsidP="00245425">
            <w:pPr>
              <w:jc w:val="both"/>
            </w:pPr>
            <w:r>
              <w:t xml:space="preserve">CHAPTER 2:  BANKRUPTCY ESTATE </w:t>
            </w:r>
          </w:p>
          <w:p w14:paraId="699AF92C" w14:textId="77777777" w:rsidR="00245425" w:rsidRDefault="00245425" w:rsidP="00B15832">
            <w:pPr>
              <w:pStyle w:val="ListParagraph"/>
              <w:numPr>
                <w:ilvl w:val="0"/>
                <w:numId w:val="3"/>
              </w:numPr>
              <w:jc w:val="both"/>
            </w:pPr>
            <w:r>
              <w:t xml:space="preserve">Butner doctrine </w:t>
            </w:r>
          </w:p>
          <w:p w14:paraId="7955F296" w14:textId="77777777" w:rsidR="00245425" w:rsidRDefault="00245425" w:rsidP="00B15832">
            <w:pPr>
              <w:pStyle w:val="ListParagraph"/>
              <w:numPr>
                <w:ilvl w:val="0"/>
                <w:numId w:val="3"/>
              </w:numPr>
              <w:jc w:val="both"/>
            </w:pPr>
            <w:r>
              <w:t xml:space="preserve">Defining property of the estate </w:t>
            </w:r>
          </w:p>
          <w:p w14:paraId="7148557B" w14:textId="77777777" w:rsidR="00E06148" w:rsidRPr="00E96272" w:rsidRDefault="00E06148" w:rsidP="00E06148">
            <w:pPr>
              <w:pStyle w:val="ListParagraph"/>
              <w:numPr>
                <w:ilvl w:val="1"/>
                <w:numId w:val="3"/>
              </w:numPr>
              <w:jc w:val="both"/>
              <w:rPr>
                <w:i/>
              </w:rPr>
            </w:pPr>
            <w:r w:rsidRPr="00E96272">
              <w:rPr>
                <w:i/>
              </w:rPr>
              <w:t xml:space="preserve">United States v. Whiting Pools, Inc. </w:t>
            </w:r>
          </w:p>
          <w:p w14:paraId="7F044C96" w14:textId="77777777" w:rsidR="00245425" w:rsidRDefault="00245425" w:rsidP="00B15832">
            <w:pPr>
              <w:pStyle w:val="ListParagraph"/>
              <w:numPr>
                <w:ilvl w:val="0"/>
                <w:numId w:val="3"/>
              </w:numPr>
              <w:jc w:val="both"/>
            </w:pPr>
            <w:r>
              <w:t xml:space="preserve">Exempt properties </w:t>
            </w:r>
          </w:p>
          <w:p w14:paraId="62FB0EE6" w14:textId="77777777" w:rsidR="00E96272" w:rsidRPr="00E96272" w:rsidRDefault="00E96272" w:rsidP="00E96272">
            <w:pPr>
              <w:pStyle w:val="ListParagraph"/>
              <w:numPr>
                <w:ilvl w:val="1"/>
                <w:numId w:val="3"/>
              </w:numPr>
              <w:jc w:val="both"/>
              <w:rPr>
                <w:i/>
              </w:rPr>
            </w:pPr>
            <w:r w:rsidRPr="00E96272">
              <w:rPr>
                <w:i/>
              </w:rPr>
              <w:t xml:space="preserve">In re Silveira </w:t>
            </w:r>
          </w:p>
          <w:p w14:paraId="547789DC" w14:textId="77777777" w:rsidR="00245425" w:rsidRDefault="00245425" w:rsidP="008C33EF">
            <w:pPr>
              <w:jc w:val="both"/>
            </w:pPr>
          </w:p>
          <w:p w14:paraId="08F0A3E1" w14:textId="77532F8B" w:rsidR="008C33EF" w:rsidRDefault="00681E37" w:rsidP="008C33EF">
            <w:pPr>
              <w:jc w:val="both"/>
            </w:pPr>
            <w:r>
              <w:t>Bankruptcy Code (11 U.S.C.):</w:t>
            </w:r>
            <w:r w:rsidR="008C33EF">
              <w:t xml:space="preserve">  </w:t>
            </w:r>
            <w:r w:rsidR="00386C90">
              <w:t xml:space="preserve">§ </w:t>
            </w:r>
            <w:r w:rsidR="008C33EF">
              <w:t xml:space="preserve">522(b), (f), (p), (q) </w:t>
            </w:r>
          </w:p>
          <w:p w14:paraId="12CB91E2" w14:textId="77777777" w:rsidR="008C33EF" w:rsidRPr="00E81769" w:rsidRDefault="008C33EF" w:rsidP="008C33EF">
            <w:pPr>
              <w:jc w:val="both"/>
            </w:pPr>
          </w:p>
        </w:tc>
        <w:tc>
          <w:tcPr>
            <w:tcW w:w="1890" w:type="dxa"/>
            <w:shd w:val="clear" w:color="auto" w:fill="D9D9D9" w:themeFill="background1" w:themeFillShade="D9"/>
          </w:tcPr>
          <w:p w14:paraId="26A845D9" w14:textId="77777777" w:rsidR="00AD33CD" w:rsidRPr="00E81769" w:rsidRDefault="00245425" w:rsidP="00B57107">
            <w:pPr>
              <w:jc w:val="center"/>
            </w:pPr>
            <w:r>
              <w:t>29-57</w:t>
            </w:r>
          </w:p>
        </w:tc>
      </w:tr>
      <w:tr w:rsidR="00AD33CD" w:rsidRPr="00420406" w14:paraId="39602B23" w14:textId="77777777" w:rsidTr="00B57107">
        <w:tc>
          <w:tcPr>
            <w:tcW w:w="810" w:type="dxa"/>
          </w:tcPr>
          <w:p w14:paraId="433B1279" w14:textId="77777777" w:rsidR="00AD33CD" w:rsidRPr="00E81769" w:rsidRDefault="009B774B" w:rsidP="00B57107">
            <w:pPr>
              <w:jc w:val="center"/>
            </w:pPr>
            <w:r>
              <w:t>3</w:t>
            </w:r>
          </w:p>
        </w:tc>
        <w:tc>
          <w:tcPr>
            <w:tcW w:w="6660" w:type="dxa"/>
          </w:tcPr>
          <w:p w14:paraId="4C407829" w14:textId="77777777" w:rsidR="00AD33CD" w:rsidRDefault="00245425" w:rsidP="00B15832">
            <w:pPr>
              <w:pStyle w:val="ListParagraph"/>
              <w:numPr>
                <w:ilvl w:val="0"/>
                <w:numId w:val="4"/>
              </w:numPr>
              <w:jc w:val="both"/>
            </w:pPr>
            <w:r>
              <w:t xml:space="preserve">Exempt properties </w:t>
            </w:r>
          </w:p>
          <w:p w14:paraId="604E8C51" w14:textId="77777777" w:rsidR="00E96272" w:rsidRPr="00E96272" w:rsidRDefault="00E96272" w:rsidP="00E96272">
            <w:pPr>
              <w:pStyle w:val="ListParagraph"/>
              <w:numPr>
                <w:ilvl w:val="1"/>
                <w:numId w:val="4"/>
              </w:numPr>
              <w:jc w:val="both"/>
              <w:rPr>
                <w:i/>
              </w:rPr>
            </w:pPr>
            <w:r w:rsidRPr="00E96272">
              <w:rPr>
                <w:i/>
              </w:rPr>
              <w:t xml:space="preserve">Norwest Bank Nebraska v. </w:t>
            </w:r>
            <w:proofErr w:type="spellStart"/>
            <w:r w:rsidRPr="00E96272">
              <w:rPr>
                <w:i/>
              </w:rPr>
              <w:t>Tveten</w:t>
            </w:r>
            <w:proofErr w:type="spellEnd"/>
            <w:r w:rsidRPr="00E96272">
              <w:rPr>
                <w:i/>
              </w:rPr>
              <w:t xml:space="preserve"> </w:t>
            </w:r>
          </w:p>
          <w:p w14:paraId="4069EDF2" w14:textId="77777777" w:rsidR="00245425" w:rsidRDefault="00245425" w:rsidP="00DD3428">
            <w:pPr>
              <w:jc w:val="both"/>
            </w:pPr>
          </w:p>
          <w:p w14:paraId="3ADA33AF" w14:textId="77777777" w:rsidR="00245425" w:rsidRDefault="00245425" w:rsidP="00DD3428">
            <w:pPr>
              <w:jc w:val="both"/>
            </w:pPr>
            <w:r>
              <w:t>CHAPTER 3</w:t>
            </w:r>
            <w:r w:rsidR="004562D3">
              <w:t>:  CLAIMS</w:t>
            </w:r>
          </w:p>
          <w:p w14:paraId="5FFD8116" w14:textId="77777777" w:rsidR="00245425" w:rsidRDefault="004562D3" w:rsidP="00B15832">
            <w:pPr>
              <w:pStyle w:val="ListParagraph"/>
              <w:numPr>
                <w:ilvl w:val="0"/>
                <w:numId w:val="4"/>
              </w:numPr>
              <w:jc w:val="both"/>
            </w:pPr>
            <w:r>
              <w:t xml:space="preserve">Rights to payments </w:t>
            </w:r>
          </w:p>
          <w:p w14:paraId="04A6A030" w14:textId="77777777" w:rsidR="00FB03C2" w:rsidRDefault="00FB03C2" w:rsidP="00FB03C2">
            <w:pPr>
              <w:jc w:val="both"/>
            </w:pPr>
          </w:p>
          <w:p w14:paraId="71E1F5FB" w14:textId="27BE6643" w:rsidR="00FB03C2" w:rsidRDefault="00681E37" w:rsidP="00DD3428">
            <w:pPr>
              <w:jc w:val="both"/>
            </w:pPr>
            <w:r>
              <w:t>Bankruptcy Code (11 U.S.C.):</w:t>
            </w:r>
            <w:r w:rsidR="00FB03C2">
              <w:t xml:space="preserve">  § 522(o)</w:t>
            </w:r>
            <w:r w:rsidR="00AB67E8">
              <w:t>, § 101(5), § 726(a), § 727(b)</w:t>
            </w:r>
            <w:r w:rsidR="00943F07">
              <w:t>, §1141(d)</w:t>
            </w:r>
            <w:r w:rsidR="00AB67E8">
              <w:t xml:space="preserve"> </w:t>
            </w:r>
          </w:p>
          <w:p w14:paraId="1B4E11E5" w14:textId="138F0C92" w:rsidR="00FB03C2" w:rsidRPr="00E81769" w:rsidRDefault="00FB03C2" w:rsidP="00DD3428">
            <w:pPr>
              <w:jc w:val="both"/>
            </w:pPr>
          </w:p>
        </w:tc>
        <w:tc>
          <w:tcPr>
            <w:tcW w:w="1890" w:type="dxa"/>
          </w:tcPr>
          <w:p w14:paraId="1D113D0F" w14:textId="547DCDCA" w:rsidR="00AD33CD" w:rsidRPr="00E81769" w:rsidRDefault="00245425" w:rsidP="00B57107">
            <w:pPr>
              <w:jc w:val="center"/>
            </w:pPr>
            <w:r>
              <w:t>58-</w:t>
            </w:r>
            <w:r w:rsidR="00EC0753">
              <w:t>70, 73-</w:t>
            </w:r>
            <w:r w:rsidR="004562D3">
              <w:t>87</w:t>
            </w:r>
          </w:p>
        </w:tc>
      </w:tr>
      <w:tr w:rsidR="00E81769" w:rsidRPr="00420406" w14:paraId="1BDAD3E9" w14:textId="77777777" w:rsidTr="00B57107">
        <w:tc>
          <w:tcPr>
            <w:tcW w:w="810" w:type="dxa"/>
          </w:tcPr>
          <w:p w14:paraId="3963AA84" w14:textId="77777777" w:rsidR="00E81769" w:rsidRPr="00E81769" w:rsidRDefault="009B774B" w:rsidP="00B57107">
            <w:pPr>
              <w:jc w:val="center"/>
            </w:pPr>
            <w:r>
              <w:t>4</w:t>
            </w:r>
          </w:p>
        </w:tc>
        <w:tc>
          <w:tcPr>
            <w:tcW w:w="6660" w:type="dxa"/>
          </w:tcPr>
          <w:p w14:paraId="3F916AC3" w14:textId="1C95E995" w:rsidR="00E81769" w:rsidRDefault="004562D3" w:rsidP="00B15832">
            <w:pPr>
              <w:pStyle w:val="ListParagraph"/>
              <w:numPr>
                <w:ilvl w:val="0"/>
                <w:numId w:val="4"/>
              </w:numPr>
              <w:jc w:val="both"/>
              <w:rPr>
                <w:rFonts w:ascii="Book Antiqua" w:hAnsi="Book Antiqua"/>
              </w:rPr>
            </w:pPr>
            <w:r>
              <w:rPr>
                <w:rFonts w:ascii="Book Antiqua" w:hAnsi="Book Antiqua"/>
              </w:rPr>
              <w:t xml:space="preserve">Rights to payment </w:t>
            </w:r>
          </w:p>
          <w:p w14:paraId="3E2EB73F" w14:textId="5FAB6160" w:rsidR="00EA2850" w:rsidRDefault="00EA2850" w:rsidP="00EA2850">
            <w:pPr>
              <w:pStyle w:val="ListParagraph"/>
              <w:numPr>
                <w:ilvl w:val="1"/>
                <w:numId w:val="4"/>
              </w:numPr>
              <w:jc w:val="both"/>
              <w:rPr>
                <w:rFonts w:ascii="Book Antiqua" w:hAnsi="Book Antiqua"/>
              </w:rPr>
            </w:pPr>
            <w:r w:rsidRPr="00EA2850">
              <w:rPr>
                <w:rFonts w:ascii="Book Antiqua" w:hAnsi="Book Antiqua"/>
                <w:i/>
                <w:iCs/>
              </w:rPr>
              <w:t>United States v. Apex Oil Co</w:t>
            </w:r>
            <w:r>
              <w:rPr>
                <w:rFonts w:ascii="Book Antiqua" w:hAnsi="Book Antiqua"/>
              </w:rPr>
              <w:t>.</w:t>
            </w:r>
          </w:p>
          <w:p w14:paraId="48B98864" w14:textId="77777777" w:rsidR="004562D3" w:rsidRDefault="004562D3" w:rsidP="00B15832">
            <w:pPr>
              <w:pStyle w:val="ListParagraph"/>
              <w:numPr>
                <w:ilvl w:val="0"/>
                <w:numId w:val="4"/>
              </w:numPr>
              <w:jc w:val="both"/>
              <w:rPr>
                <w:rFonts w:ascii="Book Antiqua" w:hAnsi="Book Antiqua"/>
              </w:rPr>
            </w:pPr>
            <w:r>
              <w:rPr>
                <w:rFonts w:ascii="Book Antiqua" w:hAnsi="Book Antiqua"/>
              </w:rPr>
              <w:t xml:space="preserve">Determining the amount of a claim </w:t>
            </w:r>
          </w:p>
          <w:p w14:paraId="10B23E18" w14:textId="3F34F2CF" w:rsidR="004562D3" w:rsidRDefault="004562D3" w:rsidP="00B15832">
            <w:pPr>
              <w:pStyle w:val="ListParagraph"/>
              <w:numPr>
                <w:ilvl w:val="0"/>
                <w:numId w:val="4"/>
              </w:numPr>
              <w:jc w:val="both"/>
              <w:rPr>
                <w:rFonts w:ascii="Book Antiqua" w:hAnsi="Book Antiqua"/>
              </w:rPr>
            </w:pPr>
            <w:r>
              <w:rPr>
                <w:rFonts w:ascii="Book Antiqua" w:hAnsi="Book Antiqua"/>
              </w:rPr>
              <w:t xml:space="preserve">Secured claims </w:t>
            </w:r>
          </w:p>
          <w:p w14:paraId="6D53C776" w14:textId="1FA3BD0A" w:rsidR="00EA2850" w:rsidRPr="00EA2850" w:rsidRDefault="00EA2850" w:rsidP="00EA2850">
            <w:pPr>
              <w:pStyle w:val="ListParagraph"/>
              <w:numPr>
                <w:ilvl w:val="1"/>
                <w:numId w:val="4"/>
              </w:numPr>
              <w:jc w:val="both"/>
              <w:rPr>
                <w:rFonts w:ascii="Book Antiqua" w:hAnsi="Book Antiqua"/>
                <w:i/>
                <w:iCs/>
              </w:rPr>
            </w:pPr>
            <w:r w:rsidRPr="00EA2850">
              <w:rPr>
                <w:rFonts w:ascii="Book Antiqua" w:hAnsi="Book Antiqua"/>
                <w:i/>
                <w:iCs/>
              </w:rPr>
              <w:t xml:space="preserve">Associates Commercial Corp. v. Rash </w:t>
            </w:r>
          </w:p>
          <w:p w14:paraId="2104E96D" w14:textId="77777777" w:rsidR="008C33EF" w:rsidRDefault="008C33EF" w:rsidP="008C33EF">
            <w:pPr>
              <w:jc w:val="both"/>
            </w:pPr>
          </w:p>
          <w:p w14:paraId="547BB1BE" w14:textId="15CE90E2" w:rsidR="008C33EF" w:rsidRDefault="00681E37" w:rsidP="008C33EF">
            <w:pPr>
              <w:jc w:val="both"/>
            </w:pPr>
            <w:r>
              <w:t>Bankruptcy Code (11 U.S.C.):</w:t>
            </w:r>
            <w:r w:rsidR="008C33EF">
              <w:t xml:space="preserve">  </w:t>
            </w:r>
            <w:r w:rsidR="005B3191">
              <w:t>§ 502(a</w:t>
            </w:r>
            <w:proofErr w:type="gramStart"/>
            <w:r w:rsidR="005B3191">
              <w:t>),(</w:t>
            </w:r>
            <w:proofErr w:type="gramEnd"/>
            <w:r w:rsidR="005B3191">
              <w:t xml:space="preserve">b),(c), </w:t>
            </w:r>
            <w:r w:rsidR="00386C90">
              <w:t xml:space="preserve">§ </w:t>
            </w:r>
            <w:r w:rsidR="008C33EF">
              <w:t>506</w:t>
            </w:r>
            <w:r w:rsidR="00EA2850">
              <w:t>(a)(1),</w:t>
            </w:r>
            <w:r w:rsidR="00BA3CC4">
              <w:t xml:space="preserve">(b), </w:t>
            </w:r>
            <w:r w:rsidR="008C33EF">
              <w:t>(d)</w:t>
            </w:r>
            <w:r>
              <w:t xml:space="preserve">, § 1325(a)(5) </w:t>
            </w:r>
          </w:p>
          <w:p w14:paraId="285EBA3D" w14:textId="77777777" w:rsidR="004562D3" w:rsidRPr="008C33EF" w:rsidRDefault="004562D3" w:rsidP="008C33EF">
            <w:pPr>
              <w:jc w:val="both"/>
              <w:rPr>
                <w:rFonts w:ascii="Book Antiqua" w:hAnsi="Book Antiqua"/>
              </w:rPr>
            </w:pPr>
          </w:p>
        </w:tc>
        <w:tc>
          <w:tcPr>
            <w:tcW w:w="1890" w:type="dxa"/>
          </w:tcPr>
          <w:p w14:paraId="551B856F" w14:textId="77777777" w:rsidR="00E81769" w:rsidRPr="00E81769" w:rsidRDefault="004562D3" w:rsidP="00B57107">
            <w:pPr>
              <w:jc w:val="center"/>
            </w:pPr>
            <w:r>
              <w:t>87-110</w:t>
            </w:r>
          </w:p>
        </w:tc>
      </w:tr>
      <w:tr w:rsidR="00AD33CD" w:rsidRPr="00420406" w14:paraId="2633AF62" w14:textId="77777777" w:rsidTr="00B57107">
        <w:tc>
          <w:tcPr>
            <w:tcW w:w="810" w:type="dxa"/>
            <w:shd w:val="clear" w:color="auto" w:fill="D9D9D9" w:themeFill="background1" w:themeFillShade="D9"/>
          </w:tcPr>
          <w:p w14:paraId="35004A4B" w14:textId="77777777" w:rsidR="00AD33CD" w:rsidRPr="00E81769" w:rsidRDefault="009B774B" w:rsidP="00B57107">
            <w:pPr>
              <w:jc w:val="center"/>
            </w:pPr>
            <w:r>
              <w:t>5</w:t>
            </w:r>
          </w:p>
        </w:tc>
        <w:tc>
          <w:tcPr>
            <w:tcW w:w="6660" w:type="dxa"/>
            <w:shd w:val="clear" w:color="auto" w:fill="D9D9D9" w:themeFill="background1" w:themeFillShade="D9"/>
          </w:tcPr>
          <w:p w14:paraId="672EDF02" w14:textId="13E49581" w:rsidR="0093203E" w:rsidRDefault="004562D3" w:rsidP="00B15832">
            <w:pPr>
              <w:pStyle w:val="ListParagraph"/>
              <w:numPr>
                <w:ilvl w:val="0"/>
                <w:numId w:val="5"/>
              </w:numPr>
              <w:jc w:val="both"/>
            </w:pPr>
            <w:r>
              <w:t xml:space="preserve">Priority claims </w:t>
            </w:r>
          </w:p>
          <w:p w14:paraId="43483627" w14:textId="1DCB0367" w:rsidR="00EA2850" w:rsidRPr="00EA2850" w:rsidRDefault="00EA2850" w:rsidP="00EA2850">
            <w:pPr>
              <w:pStyle w:val="ListParagraph"/>
              <w:numPr>
                <w:ilvl w:val="1"/>
                <w:numId w:val="5"/>
              </w:numPr>
              <w:jc w:val="both"/>
              <w:rPr>
                <w:i/>
                <w:iCs/>
              </w:rPr>
            </w:pPr>
            <w:r w:rsidRPr="00EA2850">
              <w:rPr>
                <w:i/>
                <w:iCs/>
              </w:rPr>
              <w:t xml:space="preserve">In re </w:t>
            </w:r>
            <w:proofErr w:type="spellStart"/>
            <w:r w:rsidRPr="00EA2850">
              <w:rPr>
                <w:i/>
                <w:iCs/>
              </w:rPr>
              <w:t>Jartran</w:t>
            </w:r>
            <w:proofErr w:type="spellEnd"/>
            <w:r w:rsidRPr="00EA2850">
              <w:rPr>
                <w:i/>
                <w:iCs/>
              </w:rPr>
              <w:t xml:space="preserve"> </w:t>
            </w:r>
          </w:p>
          <w:p w14:paraId="0C2E3FAC" w14:textId="77777777" w:rsidR="004562D3" w:rsidRDefault="004562D3" w:rsidP="004562D3">
            <w:pPr>
              <w:jc w:val="both"/>
            </w:pPr>
          </w:p>
          <w:p w14:paraId="654D6B32" w14:textId="77777777" w:rsidR="004562D3" w:rsidRDefault="004562D3" w:rsidP="004562D3">
            <w:pPr>
              <w:jc w:val="both"/>
            </w:pPr>
            <w:r>
              <w:t xml:space="preserve">CHAPTER 4:  DISCHARGE </w:t>
            </w:r>
          </w:p>
          <w:p w14:paraId="66164277" w14:textId="77777777" w:rsidR="004562D3" w:rsidRDefault="004562D3" w:rsidP="00B15832">
            <w:pPr>
              <w:pStyle w:val="ListParagraph"/>
              <w:numPr>
                <w:ilvl w:val="0"/>
                <w:numId w:val="5"/>
              </w:numPr>
              <w:jc w:val="both"/>
            </w:pPr>
            <w:r>
              <w:t xml:space="preserve">Denial of discharge because of debtor’s misconduct </w:t>
            </w:r>
          </w:p>
          <w:p w14:paraId="7F00BF3F" w14:textId="104E4FC7" w:rsidR="004562D3" w:rsidRDefault="004562D3" w:rsidP="00B15832">
            <w:pPr>
              <w:pStyle w:val="ListParagraph"/>
              <w:numPr>
                <w:ilvl w:val="0"/>
                <w:numId w:val="5"/>
              </w:numPr>
              <w:jc w:val="both"/>
            </w:pPr>
            <w:r>
              <w:t xml:space="preserve">Nondischargeable debts </w:t>
            </w:r>
          </w:p>
          <w:p w14:paraId="2757321A" w14:textId="307F792B" w:rsidR="00EA2850" w:rsidRPr="00EA2850" w:rsidRDefault="00EA2850" w:rsidP="00EA2850">
            <w:pPr>
              <w:pStyle w:val="ListParagraph"/>
              <w:numPr>
                <w:ilvl w:val="1"/>
                <w:numId w:val="5"/>
              </w:numPr>
              <w:jc w:val="both"/>
              <w:rPr>
                <w:i/>
                <w:iCs/>
              </w:rPr>
            </w:pPr>
            <w:r w:rsidRPr="00EA2850">
              <w:rPr>
                <w:i/>
                <w:iCs/>
              </w:rPr>
              <w:t xml:space="preserve">In re </w:t>
            </w:r>
            <w:proofErr w:type="spellStart"/>
            <w:r w:rsidRPr="00EA2850">
              <w:rPr>
                <w:i/>
                <w:iCs/>
              </w:rPr>
              <w:t>Madaj</w:t>
            </w:r>
            <w:proofErr w:type="spellEnd"/>
            <w:r>
              <w:t xml:space="preserve"> </w:t>
            </w:r>
          </w:p>
          <w:p w14:paraId="25583094" w14:textId="0B78D904" w:rsidR="00EA2850" w:rsidRPr="00EA2850" w:rsidRDefault="00EA2850" w:rsidP="00EA2850">
            <w:pPr>
              <w:pStyle w:val="ListParagraph"/>
              <w:numPr>
                <w:ilvl w:val="1"/>
                <w:numId w:val="5"/>
              </w:numPr>
              <w:jc w:val="both"/>
              <w:rPr>
                <w:i/>
                <w:iCs/>
              </w:rPr>
            </w:pPr>
            <w:r>
              <w:rPr>
                <w:i/>
                <w:iCs/>
              </w:rPr>
              <w:lastRenderedPageBreak/>
              <w:t xml:space="preserve">In re </w:t>
            </w:r>
            <w:proofErr w:type="spellStart"/>
            <w:r>
              <w:rPr>
                <w:i/>
                <w:iCs/>
              </w:rPr>
              <w:t>Werthen</w:t>
            </w:r>
            <w:proofErr w:type="spellEnd"/>
            <w:r>
              <w:rPr>
                <w:i/>
                <w:iCs/>
              </w:rPr>
              <w:t xml:space="preserve"> </w:t>
            </w:r>
          </w:p>
          <w:p w14:paraId="362A2B5F" w14:textId="5C38D789" w:rsidR="00EA2850" w:rsidRPr="00EA2850" w:rsidRDefault="00EA2850" w:rsidP="00EA2850">
            <w:pPr>
              <w:pStyle w:val="ListParagraph"/>
              <w:numPr>
                <w:ilvl w:val="1"/>
                <w:numId w:val="5"/>
              </w:numPr>
              <w:jc w:val="both"/>
              <w:rPr>
                <w:i/>
                <w:iCs/>
              </w:rPr>
            </w:pPr>
            <w:proofErr w:type="spellStart"/>
            <w:r>
              <w:rPr>
                <w:i/>
                <w:iCs/>
              </w:rPr>
              <w:t>Kawaauhau</w:t>
            </w:r>
            <w:proofErr w:type="spellEnd"/>
            <w:r>
              <w:rPr>
                <w:i/>
                <w:iCs/>
              </w:rPr>
              <w:t xml:space="preserve"> v. Geiger</w:t>
            </w:r>
            <w:r>
              <w:t xml:space="preserve"> </w:t>
            </w:r>
          </w:p>
          <w:p w14:paraId="5AB5C2EE" w14:textId="77777777" w:rsidR="00386C90" w:rsidRDefault="00386C90" w:rsidP="00386C90">
            <w:pPr>
              <w:jc w:val="both"/>
            </w:pPr>
          </w:p>
          <w:p w14:paraId="0A0405CC" w14:textId="3C3AEC9C" w:rsidR="00386C90" w:rsidRDefault="00681E37" w:rsidP="00386C90">
            <w:pPr>
              <w:jc w:val="both"/>
            </w:pPr>
            <w:r>
              <w:t>Bankruptcy Code (11 U.S.C.):</w:t>
            </w:r>
            <w:r w:rsidR="00386C90">
              <w:t xml:space="preserve">  § 523(a)</w:t>
            </w:r>
            <w:r w:rsidR="00591D9E">
              <w:t xml:space="preserve">, § 727(a)-(c) </w:t>
            </w:r>
          </w:p>
          <w:p w14:paraId="575F14B6" w14:textId="77777777" w:rsidR="004562D3" w:rsidRPr="00E81769" w:rsidRDefault="004562D3" w:rsidP="004562D3">
            <w:pPr>
              <w:jc w:val="both"/>
            </w:pPr>
          </w:p>
        </w:tc>
        <w:tc>
          <w:tcPr>
            <w:tcW w:w="1890" w:type="dxa"/>
            <w:shd w:val="clear" w:color="auto" w:fill="D9D9D9" w:themeFill="background1" w:themeFillShade="D9"/>
          </w:tcPr>
          <w:p w14:paraId="75AA6D65" w14:textId="77777777" w:rsidR="00AD33CD" w:rsidRPr="00E81769" w:rsidRDefault="004562D3" w:rsidP="00B57107">
            <w:pPr>
              <w:jc w:val="center"/>
            </w:pPr>
            <w:r>
              <w:lastRenderedPageBreak/>
              <w:t>110-139</w:t>
            </w:r>
          </w:p>
        </w:tc>
      </w:tr>
      <w:tr w:rsidR="000277D7" w:rsidRPr="00420406" w14:paraId="48DFCAC6" w14:textId="77777777" w:rsidTr="00B57107">
        <w:tc>
          <w:tcPr>
            <w:tcW w:w="810" w:type="dxa"/>
            <w:shd w:val="clear" w:color="auto" w:fill="D9D9D9" w:themeFill="background1" w:themeFillShade="D9"/>
          </w:tcPr>
          <w:p w14:paraId="27DC0776" w14:textId="77777777" w:rsidR="000277D7" w:rsidRDefault="000277D7" w:rsidP="00B57107">
            <w:pPr>
              <w:jc w:val="center"/>
            </w:pPr>
            <w:r>
              <w:t>6</w:t>
            </w:r>
          </w:p>
        </w:tc>
        <w:tc>
          <w:tcPr>
            <w:tcW w:w="6660" w:type="dxa"/>
            <w:shd w:val="clear" w:color="auto" w:fill="D9D9D9" w:themeFill="background1" w:themeFillShade="D9"/>
          </w:tcPr>
          <w:p w14:paraId="3F1710EF" w14:textId="3098EDCB" w:rsidR="000277D7" w:rsidRDefault="004562D3" w:rsidP="00B15832">
            <w:pPr>
              <w:pStyle w:val="ListParagraph"/>
              <w:numPr>
                <w:ilvl w:val="0"/>
                <w:numId w:val="6"/>
              </w:numPr>
              <w:jc w:val="both"/>
            </w:pPr>
            <w:r>
              <w:t xml:space="preserve">Nondischargeable debts </w:t>
            </w:r>
          </w:p>
          <w:p w14:paraId="75E7475B" w14:textId="0D9B92BC" w:rsidR="00BA3CC4" w:rsidRPr="00BA3CC4" w:rsidRDefault="00BA3CC4" w:rsidP="00BA3CC4">
            <w:pPr>
              <w:pStyle w:val="ListParagraph"/>
              <w:numPr>
                <w:ilvl w:val="1"/>
                <w:numId w:val="6"/>
              </w:numPr>
              <w:jc w:val="both"/>
              <w:rPr>
                <w:i/>
                <w:iCs/>
              </w:rPr>
            </w:pPr>
            <w:r w:rsidRPr="00BA3CC4">
              <w:rPr>
                <w:i/>
                <w:iCs/>
              </w:rPr>
              <w:t xml:space="preserve">American Express Travel V. Hashemi </w:t>
            </w:r>
          </w:p>
          <w:p w14:paraId="72F17D35" w14:textId="77777777" w:rsidR="004562D3" w:rsidRDefault="004562D3" w:rsidP="00B15832">
            <w:pPr>
              <w:pStyle w:val="ListParagraph"/>
              <w:numPr>
                <w:ilvl w:val="0"/>
                <w:numId w:val="6"/>
              </w:numPr>
              <w:jc w:val="both"/>
            </w:pPr>
            <w:r>
              <w:t xml:space="preserve">Protection of the discharge </w:t>
            </w:r>
          </w:p>
          <w:p w14:paraId="355D5909" w14:textId="2458EE32" w:rsidR="004562D3" w:rsidRDefault="004562D3" w:rsidP="00B15832">
            <w:pPr>
              <w:pStyle w:val="ListParagraph"/>
              <w:numPr>
                <w:ilvl w:val="0"/>
                <w:numId w:val="6"/>
              </w:numPr>
              <w:jc w:val="both"/>
            </w:pPr>
            <w:r>
              <w:t xml:space="preserve">Discrimination against debtors </w:t>
            </w:r>
          </w:p>
          <w:p w14:paraId="02B6BAFA" w14:textId="3FF7866C" w:rsidR="00BA3CC4" w:rsidRDefault="00BA3CC4" w:rsidP="00BA3CC4">
            <w:pPr>
              <w:pStyle w:val="ListParagraph"/>
              <w:numPr>
                <w:ilvl w:val="1"/>
                <w:numId w:val="6"/>
              </w:numPr>
              <w:jc w:val="both"/>
              <w:rPr>
                <w:i/>
                <w:iCs/>
              </w:rPr>
            </w:pPr>
            <w:r w:rsidRPr="00BA3CC4">
              <w:rPr>
                <w:i/>
                <w:iCs/>
              </w:rPr>
              <w:t xml:space="preserve">In re Majewski </w:t>
            </w:r>
          </w:p>
          <w:p w14:paraId="15ECBA39" w14:textId="423DD7C2" w:rsidR="00BA3CC4" w:rsidRPr="00BA3CC4" w:rsidRDefault="00BA3CC4" w:rsidP="00BA3CC4">
            <w:pPr>
              <w:pStyle w:val="ListParagraph"/>
              <w:numPr>
                <w:ilvl w:val="1"/>
                <w:numId w:val="6"/>
              </w:numPr>
              <w:jc w:val="both"/>
              <w:rPr>
                <w:i/>
                <w:iCs/>
              </w:rPr>
            </w:pPr>
            <w:r>
              <w:rPr>
                <w:i/>
                <w:iCs/>
              </w:rPr>
              <w:t xml:space="preserve">Toth v. Michigan State Housing Dev. Auth. </w:t>
            </w:r>
          </w:p>
          <w:p w14:paraId="592D6EA2" w14:textId="77777777" w:rsidR="004562D3" w:rsidRDefault="004562D3" w:rsidP="004562D3">
            <w:pPr>
              <w:jc w:val="both"/>
            </w:pPr>
          </w:p>
          <w:p w14:paraId="3EFA17D1" w14:textId="77777777" w:rsidR="004562D3" w:rsidRDefault="00FD1F2B" w:rsidP="004562D3">
            <w:pPr>
              <w:jc w:val="both"/>
            </w:pPr>
            <w:r>
              <w:t xml:space="preserve">CHAPTER 5:  STAYS AND INJUNCTIONS </w:t>
            </w:r>
          </w:p>
          <w:p w14:paraId="1B707409" w14:textId="77777777" w:rsidR="004562D3" w:rsidRDefault="004562D3" w:rsidP="00B15832">
            <w:pPr>
              <w:pStyle w:val="ListParagraph"/>
              <w:numPr>
                <w:ilvl w:val="0"/>
                <w:numId w:val="7"/>
              </w:numPr>
              <w:jc w:val="both"/>
            </w:pPr>
            <w:r>
              <w:t xml:space="preserve">Applicability of the stay </w:t>
            </w:r>
          </w:p>
          <w:p w14:paraId="44203F35" w14:textId="77777777" w:rsidR="00903288" w:rsidRDefault="00903288" w:rsidP="00B15832">
            <w:pPr>
              <w:pStyle w:val="ListParagraph"/>
              <w:numPr>
                <w:ilvl w:val="0"/>
                <w:numId w:val="7"/>
              </w:numPr>
              <w:jc w:val="both"/>
            </w:pPr>
            <w:r>
              <w:t>Effect of violation of stay</w:t>
            </w:r>
          </w:p>
          <w:p w14:paraId="2425A81A" w14:textId="77777777" w:rsidR="00B15832" w:rsidRDefault="00B15832" w:rsidP="00B15832">
            <w:pPr>
              <w:jc w:val="both"/>
            </w:pPr>
          </w:p>
          <w:p w14:paraId="53AEAABC" w14:textId="024D9B5A" w:rsidR="00B15832" w:rsidRDefault="00681E37" w:rsidP="00B15832">
            <w:pPr>
              <w:jc w:val="both"/>
            </w:pPr>
            <w:r>
              <w:t>Bankruptcy Code (11 U.S.C.):</w:t>
            </w:r>
            <w:r w:rsidR="00B15832">
              <w:t xml:space="preserve">  § 362(b) </w:t>
            </w:r>
          </w:p>
          <w:p w14:paraId="6ED8DE76" w14:textId="77777777" w:rsidR="004562D3" w:rsidRPr="00E81769" w:rsidRDefault="004562D3" w:rsidP="004562D3">
            <w:pPr>
              <w:jc w:val="both"/>
            </w:pPr>
          </w:p>
        </w:tc>
        <w:tc>
          <w:tcPr>
            <w:tcW w:w="1890" w:type="dxa"/>
            <w:shd w:val="clear" w:color="auto" w:fill="D9D9D9" w:themeFill="background1" w:themeFillShade="D9"/>
          </w:tcPr>
          <w:p w14:paraId="10DB51DA" w14:textId="77777777" w:rsidR="000277D7" w:rsidRPr="00E81769" w:rsidRDefault="004562D3" w:rsidP="00B57107">
            <w:pPr>
              <w:jc w:val="center"/>
            </w:pPr>
            <w:r>
              <w:t>140-</w:t>
            </w:r>
            <w:r w:rsidR="00903288">
              <w:t>168</w:t>
            </w:r>
          </w:p>
        </w:tc>
      </w:tr>
      <w:tr w:rsidR="00AD33CD" w:rsidRPr="00420406" w14:paraId="15143606" w14:textId="77777777" w:rsidTr="00B57107">
        <w:tc>
          <w:tcPr>
            <w:tcW w:w="810" w:type="dxa"/>
            <w:shd w:val="clear" w:color="auto" w:fill="FFFFFF" w:themeFill="background1"/>
          </w:tcPr>
          <w:p w14:paraId="4C72D8B5" w14:textId="77777777" w:rsidR="00AD33CD" w:rsidRPr="00E81769" w:rsidRDefault="000277D7" w:rsidP="00B57107">
            <w:pPr>
              <w:jc w:val="center"/>
            </w:pPr>
            <w:r>
              <w:t>7</w:t>
            </w:r>
          </w:p>
        </w:tc>
        <w:tc>
          <w:tcPr>
            <w:tcW w:w="6660" w:type="dxa"/>
            <w:shd w:val="clear" w:color="auto" w:fill="FFFFFF" w:themeFill="background1"/>
          </w:tcPr>
          <w:p w14:paraId="6CF07C3B" w14:textId="598B04B1" w:rsidR="0052773E" w:rsidRDefault="00903288" w:rsidP="00B15832">
            <w:pPr>
              <w:pStyle w:val="ListParagraph"/>
              <w:numPr>
                <w:ilvl w:val="0"/>
                <w:numId w:val="8"/>
              </w:numPr>
              <w:jc w:val="both"/>
            </w:pPr>
            <w:r>
              <w:t>Effect of violation of stay</w:t>
            </w:r>
          </w:p>
          <w:p w14:paraId="453FE4A0" w14:textId="5F4F85E3" w:rsidR="00BA3CC4" w:rsidRPr="00BA3CC4" w:rsidRDefault="00BA3CC4" w:rsidP="00BA3CC4">
            <w:pPr>
              <w:pStyle w:val="ListParagraph"/>
              <w:numPr>
                <w:ilvl w:val="1"/>
                <w:numId w:val="8"/>
              </w:numPr>
              <w:jc w:val="both"/>
              <w:rPr>
                <w:i/>
                <w:iCs/>
              </w:rPr>
            </w:pPr>
            <w:r w:rsidRPr="00BA3CC4">
              <w:rPr>
                <w:i/>
                <w:iCs/>
              </w:rPr>
              <w:t xml:space="preserve">In re Soares </w:t>
            </w:r>
          </w:p>
          <w:p w14:paraId="4304EEA0" w14:textId="77777777" w:rsidR="00BA3CC4" w:rsidRDefault="00903288" w:rsidP="00BA3CC4">
            <w:pPr>
              <w:pStyle w:val="ListParagraph"/>
              <w:numPr>
                <w:ilvl w:val="0"/>
                <w:numId w:val="8"/>
              </w:numPr>
              <w:jc w:val="both"/>
            </w:pPr>
            <w:r>
              <w:t xml:space="preserve">Secured claims </w:t>
            </w:r>
          </w:p>
          <w:p w14:paraId="60DAD386" w14:textId="041657E0" w:rsidR="00903288" w:rsidRPr="00BA3CC4" w:rsidRDefault="00BA3CC4" w:rsidP="00BA3CC4">
            <w:pPr>
              <w:pStyle w:val="ListParagraph"/>
              <w:numPr>
                <w:ilvl w:val="1"/>
                <w:numId w:val="8"/>
              </w:numPr>
              <w:jc w:val="both"/>
              <w:rPr>
                <w:i/>
                <w:iCs/>
              </w:rPr>
            </w:pPr>
            <w:r>
              <w:rPr>
                <w:i/>
                <w:iCs/>
              </w:rPr>
              <w:t xml:space="preserve">Johnson v. First National Bank </w:t>
            </w:r>
          </w:p>
          <w:p w14:paraId="6835CDDE" w14:textId="77777777" w:rsidR="00BA3CC4" w:rsidRDefault="00903288" w:rsidP="00BA3CC4">
            <w:pPr>
              <w:pStyle w:val="ListParagraph"/>
              <w:numPr>
                <w:ilvl w:val="0"/>
                <w:numId w:val="8"/>
              </w:numPr>
              <w:jc w:val="both"/>
            </w:pPr>
            <w:r>
              <w:t xml:space="preserve">Actions against nondebtors </w:t>
            </w:r>
          </w:p>
          <w:p w14:paraId="45F1B1B1" w14:textId="66D8098A" w:rsidR="00903288" w:rsidRDefault="001A2D11" w:rsidP="00BA3CC4">
            <w:pPr>
              <w:pStyle w:val="ListParagraph"/>
              <w:numPr>
                <w:ilvl w:val="1"/>
                <w:numId w:val="8"/>
              </w:numPr>
              <w:jc w:val="both"/>
              <w:rPr>
                <w:i/>
                <w:iCs/>
              </w:rPr>
            </w:pPr>
            <w:r>
              <w:rPr>
                <w:i/>
                <w:iCs/>
              </w:rPr>
              <w:t xml:space="preserve">A.H. Robins v. </w:t>
            </w:r>
            <w:proofErr w:type="spellStart"/>
            <w:r>
              <w:rPr>
                <w:i/>
                <w:iCs/>
              </w:rPr>
              <w:t>Piccinin</w:t>
            </w:r>
            <w:proofErr w:type="spellEnd"/>
            <w:r>
              <w:rPr>
                <w:i/>
                <w:iCs/>
              </w:rPr>
              <w:t xml:space="preserve"> </w:t>
            </w:r>
          </w:p>
          <w:p w14:paraId="08F2DAB1" w14:textId="2D30D85C" w:rsidR="001A2D11" w:rsidRPr="00BA3CC4" w:rsidRDefault="001A2D11" w:rsidP="00BA3CC4">
            <w:pPr>
              <w:pStyle w:val="ListParagraph"/>
              <w:numPr>
                <w:ilvl w:val="1"/>
                <w:numId w:val="8"/>
              </w:numPr>
              <w:jc w:val="both"/>
              <w:rPr>
                <w:i/>
                <w:iCs/>
              </w:rPr>
            </w:pPr>
            <w:r>
              <w:rPr>
                <w:i/>
                <w:iCs/>
              </w:rPr>
              <w:t xml:space="preserve">Credit Alliance Corp. v. Williams </w:t>
            </w:r>
          </w:p>
          <w:p w14:paraId="45E908FA" w14:textId="77777777" w:rsidR="001A2D11" w:rsidRDefault="00903288" w:rsidP="001A2D11">
            <w:pPr>
              <w:pStyle w:val="ListParagraph"/>
              <w:numPr>
                <w:ilvl w:val="0"/>
                <w:numId w:val="8"/>
              </w:numPr>
              <w:jc w:val="both"/>
            </w:pPr>
            <w:r>
              <w:t xml:space="preserve">Relief from automatic stay for cause </w:t>
            </w:r>
          </w:p>
          <w:p w14:paraId="643AB05C" w14:textId="36DBE6BB" w:rsidR="00903288" w:rsidRPr="001A2D11" w:rsidRDefault="001A2D11" w:rsidP="001A2D11">
            <w:pPr>
              <w:pStyle w:val="ListParagraph"/>
              <w:numPr>
                <w:ilvl w:val="1"/>
                <w:numId w:val="8"/>
              </w:numPr>
              <w:jc w:val="both"/>
              <w:rPr>
                <w:i/>
                <w:iCs/>
              </w:rPr>
            </w:pPr>
            <w:r>
              <w:rPr>
                <w:i/>
                <w:iCs/>
              </w:rPr>
              <w:t xml:space="preserve">In re Holtkamp </w:t>
            </w:r>
          </w:p>
          <w:p w14:paraId="2F663244" w14:textId="7EA32853" w:rsidR="00903288" w:rsidRDefault="00903288" w:rsidP="00903288">
            <w:pPr>
              <w:jc w:val="both"/>
            </w:pPr>
          </w:p>
          <w:p w14:paraId="544EFF3F" w14:textId="75A300E8" w:rsidR="002B14E2" w:rsidRDefault="002B14E2" w:rsidP="00903288">
            <w:pPr>
              <w:jc w:val="both"/>
            </w:pPr>
            <w:r>
              <w:t xml:space="preserve">Bankruptcy Code (11 U.S.C.):  </w:t>
            </w:r>
          </w:p>
          <w:p w14:paraId="3A8CAA31" w14:textId="3ECBE6E8" w:rsidR="002B14E2" w:rsidRPr="00E81769" w:rsidRDefault="002B14E2" w:rsidP="00903288">
            <w:pPr>
              <w:jc w:val="both"/>
            </w:pPr>
          </w:p>
        </w:tc>
        <w:tc>
          <w:tcPr>
            <w:tcW w:w="1890" w:type="dxa"/>
            <w:shd w:val="clear" w:color="auto" w:fill="FFFFFF" w:themeFill="background1"/>
          </w:tcPr>
          <w:p w14:paraId="4169DB70" w14:textId="77777777" w:rsidR="00AD33CD" w:rsidRPr="00E81769" w:rsidRDefault="00903288" w:rsidP="00B57107">
            <w:pPr>
              <w:jc w:val="center"/>
            </w:pPr>
            <w:r>
              <w:t>168-199</w:t>
            </w:r>
          </w:p>
        </w:tc>
      </w:tr>
      <w:tr w:rsidR="00AD33CD" w:rsidRPr="00420406" w14:paraId="39946F7D" w14:textId="77777777" w:rsidTr="00B57107">
        <w:tc>
          <w:tcPr>
            <w:tcW w:w="810" w:type="dxa"/>
            <w:shd w:val="clear" w:color="auto" w:fill="FFFFFF" w:themeFill="background1"/>
          </w:tcPr>
          <w:p w14:paraId="436951F5" w14:textId="77777777" w:rsidR="00AD33CD" w:rsidRPr="00E81769" w:rsidRDefault="000277D7" w:rsidP="00B57107">
            <w:pPr>
              <w:jc w:val="center"/>
            </w:pPr>
            <w:r>
              <w:t>8</w:t>
            </w:r>
          </w:p>
        </w:tc>
        <w:tc>
          <w:tcPr>
            <w:tcW w:w="6660" w:type="dxa"/>
            <w:shd w:val="clear" w:color="auto" w:fill="FFFFFF" w:themeFill="background1"/>
          </w:tcPr>
          <w:p w14:paraId="2D2F52A6" w14:textId="77777777" w:rsidR="001A2D11" w:rsidRDefault="00FD1F2B" w:rsidP="001A2D11">
            <w:pPr>
              <w:pStyle w:val="ListParagraph"/>
              <w:numPr>
                <w:ilvl w:val="0"/>
                <w:numId w:val="8"/>
              </w:numPr>
              <w:jc w:val="both"/>
            </w:pPr>
            <w:r>
              <w:t xml:space="preserve">Relief from stay and adequate protection rights for undersecured creditors </w:t>
            </w:r>
          </w:p>
          <w:p w14:paraId="3A79EC4F" w14:textId="27E3B3CC" w:rsidR="00AD33CD" w:rsidRPr="001A2D11" w:rsidRDefault="001A2D11" w:rsidP="001A2D11">
            <w:pPr>
              <w:pStyle w:val="ListParagraph"/>
              <w:numPr>
                <w:ilvl w:val="1"/>
                <w:numId w:val="8"/>
              </w:numPr>
              <w:jc w:val="both"/>
              <w:rPr>
                <w:i/>
                <w:iCs/>
              </w:rPr>
            </w:pPr>
            <w:r>
              <w:rPr>
                <w:i/>
                <w:iCs/>
              </w:rPr>
              <w:t xml:space="preserve">United States Savings Assoc. of Tex. V. Timbers of Inwood Forest Assoc. </w:t>
            </w:r>
          </w:p>
          <w:p w14:paraId="726B7766" w14:textId="77777777" w:rsidR="00FD1F2B" w:rsidRDefault="00FD1F2B" w:rsidP="00B15832">
            <w:pPr>
              <w:pStyle w:val="ListParagraph"/>
              <w:numPr>
                <w:ilvl w:val="0"/>
                <w:numId w:val="9"/>
              </w:numPr>
              <w:jc w:val="both"/>
            </w:pPr>
            <w:r>
              <w:t xml:space="preserve">Prepetition waiver of stay </w:t>
            </w:r>
          </w:p>
          <w:p w14:paraId="1FD0890E" w14:textId="77777777" w:rsidR="00FD1F2B" w:rsidRDefault="00FD1F2B" w:rsidP="00FD1F2B">
            <w:pPr>
              <w:jc w:val="both"/>
            </w:pPr>
          </w:p>
          <w:p w14:paraId="1E26A173" w14:textId="77777777" w:rsidR="00FD1F2B" w:rsidRDefault="00FD1F2B" w:rsidP="00FD1F2B">
            <w:pPr>
              <w:jc w:val="both"/>
            </w:pPr>
            <w:r>
              <w:t xml:space="preserve">CHAPTER 6:  EXECUTORY CONTRACTS AND LEASES </w:t>
            </w:r>
          </w:p>
          <w:p w14:paraId="246D4770" w14:textId="77777777" w:rsidR="001A2D11" w:rsidRDefault="00FD1F2B" w:rsidP="001A2D11">
            <w:pPr>
              <w:pStyle w:val="ListParagraph"/>
              <w:numPr>
                <w:ilvl w:val="0"/>
                <w:numId w:val="8"/>
              </w:numPr>
              <w:jc w:val="both"/>
            </w:pPr>
            <w:r>
              <w:t xml:space="preserve">Executory contracts </w:t>
            </w:r>
          </w:p>
          <w:p w14:paraId="4B0C7791" w14:textId="46C07185" w:rsidR="00FD1F2B" w:rsidRDefault="001A2D11" w:rsidP="001A2D11">
            <w:pPr>
              <w:pStyle w:val="ListParagraph"/>
              <w:numPr>
                <w:ilvl w:val="1"/>
                <w:numId w:val="8"/>
              </w:numPr>
              <w:jc w:val="both"/>
              <w:rPr>
                <w:i/>
                <w:iCs/>
              </w:rPr>
            </w:pPr>
            <w:r>
              <w:rPr>
                <w:i/>
                <w:iCs/>
              </w:rPr>
              <w:t xml:space="preserve">Lubrizol Enterprises v. Richmond Metal Finishers </w:t>
            </w:r>
          </w:p>
          <w:p w14:paraId="5FCFDA65" w14:textId="372CCAA1" w:rsidR="001A2D11" w:rsidRPr="001A2D11" w:rsidRDefault="001A2D11" w:rsidP="001A2D11">
            <w:pPr>
              <w:pStyle w:val="ListParagraph"/>
              <w:numPr>
                <w:ilvl w:val="1"/>
                <w:numId w:val="8"/>
              </w:numPr>
              <w:jc w:val="both"/>
              <w:rPr>
                <w:i/>
                <w:iCs/>
              </w:rPr>
            </w:pPr>
            <w:r>
              <w:rPr>
                <w:i/>
                <w:iCs/>
              </w:rPr>
              <w:t xml:space="preserve">In re Catapult Entertainment </w:t>
            </w:r>
          </w:p>
          <w:p w14:paraId="42736A13" w14:textId="77777777" w:rsidR="00FD1F2B" w:rsidRDefault="00FD1F2B" w:rsidP="00FD1F2B">
            <w:pPr>
              <w:jc w:val="both"/>
            </w:pPr>
          </w:p>
          <w:p w14:paraId="39A26BCB" w14:textId="270E2AA8" w:rsidR="002B14E2" w:rsidRDefault="002B14E2" w:rsidP="00FD1F2B">
            <w:pPr>
              <w:jc w:val="both"/>
            </w:pPr>
            <w:r>
              <w:t xml:space="preserve">Bankruptcy Code (11 U.S.C.):  </w:t>
            </w:r>
          </w:p>
          <w:p w14:paraId="3853D7C2" w14:textId="60B923E1" w:rsidR="002B14E2" w:rsidRPr="00E81769" w:rsidRDefault="002B14E2" w:rsidP="00FD1F2B">
            <w:pPr>
              <w:jc w:val="both"/>
            </w:pPr>
          </w:p>
        </w:tc>
        <w:tc>
          <w:tcPr>
            <w:tcW w:w="1890" w:type="dxa"/>
            <w:shd w:val="clear" w:color="auto" w:fill="FFFFFF" w:themeFill="background1"/>
          </w:tcPr>
          <w:p w14:paraId="0388FE67" w14:textId="77777777" w:rsidR="00AD33CD" w:rsidRPr="00E81769" w:rsidRDefault="00FD1F2B" w:rsidP="00B57107">
            <w:pPr>
              <w:jc w:val="center"/>
            </w:pPr>
            <w:r>
              <w:t>199-</w:t>
            </w:r>
            <w:r w:rsidR="002B7B27">
              <w:t>238</w:t>
            </w:r>
          </w:p>
        </w:tc>
      </w:tr>
      <w:tr w:rsidR="00AD33CD" w:rsidRPr="00420406" w14:paraId="2AA66434" w14:textId="77777777" w:rsidTr="00B57107">
        <w:tc>
          <w:tcPr>
            <w:tcW w:w="810" w:type="dxa"/>
            <w:shd w:val="clear" w:color="auto" w:fill="D9D9D9" w:themeFill="background1" w:themeFillShade="D9"/>
          </w:tcPr>
          <w:p w14:paraId="0E85DF7C" w14:textId="77777777" w:rsidR="00AD33CD" w:rsidRPr="00E81769" w:rsidRDefault="000277D7" w:rsidP="00B57107">
            <w:pPr>
              <w:jc w:val="center"/>
            </w:pPr>
            <w:r>
              <w:t>9</w:t>
            </w:r>
          </w:p>
        </w:tc>
        <w:tc>
          <w:tcPr>
            <w:tcW w:w="6660" w:type="dxa"/>
            <w:shd w:val="clear" w:color="auto" w:fill="D9D9D9" w:themeFill="background1" w:themeFillShade="D9"/>
          </w:tcPr>
          <w:p w14:paraId="4C664DF1" w14:textId="77777777" w:rsidR="001A2D11" w:rsidRDefault="002B7B27" w:rsidP="001A2D11">
            <w:pPr>
              <w:pStyle w:val="ListParagraph"/>
              <w:numPr>
                <w:ilvl w:val="0"/>
                <w:numId w:val="8"/>
              </w:numPr>
              <w:jc w:val="both"/>
            </w:pPr>
            <w:r>
              <w:t xml:space="preserve">Executory contracts </w:t>
            </w:r>
          </w:p>
          <w:p w14:paraId="40DB600E" w14:textId="2642C6CF" w:rsidR="00AD33CD" w:rsidRDefault="001A2D11" w:rsidP="001A2D11">
            <w:pPr>
              <w:pStyle w:val="ListParagraph"/>
              <w:numPr>
                <w:ilvl w:val="1"/>
                <w:numId w:val="8"/>
              </w:numPr>
              <w:jc w:val="both"/>
              <w:rPr>
                <w:i/>
                <w:iCs/>
              </w:rPr>
            </w:pPr>
            <w:r>
              <w:rPr>
                <w:i/>
                <w:iCs/>
              </w:rPr>
              <w:t xml:space="preserve">In re Pioneer Ford Sales </w:t>
            </w:r>
          </w:p>
          <w:p w14:paraId="6AD1AA7E" w14:textId="4A3BA5AB" w:rsidR="001A2D11" w:rsidRPr="001A2D11" w:rsidRDefault="001A2D11" w:rsidP="001A2D11">
            <w:pPr>
              <w:pStyle w:val="ListParagraph"/>
              <w:numPr>
                <w:ilvl w:val="1"/>
                <w:numId w:val="8"/>
              </w:numPr>
              <w:jc w:val="both"/>
              <w:rPr>
                <w:i/>
                <w:iCs/>
              </w:rPr>
            </w:pPr>
            <w:r>
              <w:rPr>
                <w:i/>
                <w:iCs/>
              </w:rPr>
              <w:t xml:space="preserve">Matter of Whitcomb &amp; Keller Mortgage Co. </w:t>
            </w:r>
          </w:p>
          <w:p w14:paraId="6D4F6869" w14:textId="77777777" w:rsidR="001A2D11" w:rsidRDefault="002B7B27" w:rsidP="001A2D11">
            <w:pPr>
              <w:pStyle w:val="ListParagraph"/>
              <w:numPr>
                <w:ilvl w:val="0"/>
                <w:numId w:val="8"/>
              </w:numPr>
              <w:jc w:val="both"/>
            </w:pPr>
            <w:r>
              <w:t xml:space="preserve">Leases </w:t>
            </w:r>
          </w:p>
          <w:p w14:paraId="3B00C1EB" w14:textId="77F022C3" w:rsidR="002B7B27" w:rsidRPr="001A2D11" w:rsidRDefault="001A2D11" w:rsidP="001A2D11">
            <w:pPr>
              <w:pStyle w:val="ListParagraph"/>
              <w:numPr>
                <w:ilvl w:val="1"/>
                <w:numId w:val="8"/>
              </w:numPr>
              <w:jc w:val="both"/>
              <w:rPr>
                <w:i/>
                <w:iCs/>
              </w:rPr>
            </w:pPr>
            <w:r>
              <w:rPr>
                <w:i/>
                <w:iCs/>
              </w:rPr>
              <w:t xml:space="preserve">Precision Industries v. </w:t>
            </w:r>
            <w:proofErr w:type="spellStart"/>
            <w:r>
              <w:rPr>
                <w:i/>
                <w:iCs/>
              </w:rPr>
              <w:t>Qualitech</w:t>
            </w:r>
            <w:proofErr w:type="spellEnd"/>
            <w:r>
              <w:rPr>
                <w:i/>
                <w:iCs/>
              </w:rPr>
              <w:t xml:space="preserve"> Steel SBQ</w:t>
            </w:r>
          </w:p>
          <w:p w14:paraId="271C1D21" w14:textId="77777777" w:rsidR="002B7B27" w:rsidRPr="00E81769" w:rsidRDefault="002B7B27" w:rsidP="002B7B27">
            <w:pPr>
              <w:pStyle w:val="ListParagraph"/>
              <w:ind w:left="360"/>
              <w:jc w:val="both"/>
            </w:pPr>
          </w:p>
        </w:tc>
        <w:tc>
          <w:tcPr>
            <w:tcW w:w="1890" w:type="dxa"/>
            <w:shd w:val="clear" w:color="auto" w:fill="D9D9D9" w:themeFill="background1" w:themeFillShade="D9"/>
          </w:tcPr>
          <w:p w14:paraId="7C963CC6" w14:textId="77777777" w:rsidR="00AD33CD" w:rsidRPr="00E81769" w:rsidRDefault="002B7B27" w:rsidP="001E7403">
            <w:pPr>
              <w:jc w:val="center"/>
            </w:pPr>
            <w:r>
              <w:lastRenderedPageBreak/>
              <w:t>238-267</w:t>
            </w:r>
          </w:p>
        </w:tc>
      </w:tr>
      <w:tr w:rsidR="00AD33CD" w:rsidRPr="00420406" w14:paraId="64B8E7C7" w14:textId="77777777" w:rsidTr="00B57107">
        <w:tc>
          <w:tcPr>
            <w:tcW w:w="810" w:type="dxa"/>
            <w:shd w:val="clear" w:color="auto" w:fill="D9D9D9" w:themeFill="background1" w:themeFillShade="D9"/>
          </w:tcPr>
          <w:p w14:paraId="4C5EE480" w14:textId="77777777" w:rsidR="00AD33CD" w:rsidRPr="00E81769" w:rsidRDefault="000277D7" w:rsidP="00B57107">
            <w:pPr>
              <w:jc w:val="center"/>
            </w:pPr>
            <w:r>
              <w:t>10</w:t>
            </w:r>
          </w:p>
        </w:tc>
        <w:tc>
          <w:tcPr>
            <w:tcW w:w="6660" w:type="dxa"/>
            <w:shd w:val="clear" w:color="auto" w:fill="D9D9D9" w:themeFill="background1" w:themeFillShade="D9"/>
          </w:tcPr>
          <w:p w14:paraId="5272954A" w14:textId="77777777" w:rsidR="001A2D11" w:rsidRDefault="002B7B27" w:rsidP="001A2D11">
            <w:pPr>
              <w:pStyle w:val="ListParagraph"/>
              <w:numPr>
                <w:ilvl w:val="0"/>
                <w:numId w:val="8"/>
              </w:numPr>
              <w:jc w:val="both"/>
            </w:pPr>
            <w:r>
              <w:t xml:space="preserve">Leases </w:t>
            </w:r>
          </w:p>
          <w:p w14:paraId="6F70D285" w14:textId="44989ED9" w:rsidR="00AD33CD" w:rsidRDefault="001A2D11" w:rsidP="001A2D11">
            <w:pPr>
              <w:pStyle w:val="ListParagraph"/>
              <w:numPr>
                <w:ilvl w:val="1"/>
                <w:numId w:val="8"/>
              </w:numPr>
              <w:jc w:val="both"/>
              <w:rPr>
                <w:i/>
                <w:iCs/>
              </w:rPr>
            </w:pPr>
            <w:r>
              <w:rPr>
                <w:i/>
                <w:iCs/>
              </w:rPr>
              <w:t xml:space="preserve">In re Trak Auto Corp. </w:t>
            </w:r>
          </w:p>
          <w:p w14:paraId="2E12B277" w14:textId="76E533ED" w:rsidR="001A2D11" w:rsidRDefault="001A2D11" w:rsidP="001A2D11">
            <w:pPr>
              <w:pStyle w:val="ListParagraph"/>
              <w:numPr>
                <w:ilvl w:val="1"/>
                <w:numId w:val="8"/>
              </w:numPr>
              <w:jc w:val="both"/>
              <w:rPr>
                <w:i/>
                <w:iCs/>
              </w:rPr>
            </w:pPr>
            <w:r>
              <w:rPr>
                <w:i/>
                <w:iCs/>
              </w:rPr>
              <w:t xml:space="preserve">Matter of U.L. Radio Corp. </w:t>
            </w:r>
          </w:p>
          <w:p w14:paraId="520608C0" w14:textId="66330FB7" w:rsidR="001A2D11" w:rsidRPr="001A2D11" w:rsidRDefault="001A2D11" w:rsidP="001A2D11">
            <w:pPr>
              <w:pStyle w:val="ListParagraph"/>
              <w:numPr>
                <w:ilvl w:val="1"/>
                <w:numId w:val="8"/>
              </w:numPr>
              <w:jc w:val="both"/>
              <w:rPr>
                <w:i/>
                <w:iCs/>
              </w:rPr>
            </w:pPr>
            <w:r>
              <w:rPr>
                <w:i/>
                <w:iCs/>
              </w:rPr>
              <w:t xml:space="preserve">In re </w:t>
            </w:r>
            <w:proofErr w:type="spellStart"/>
            <w:r>
              <w:rPr>
                <w:i/>
                <w:iCs/>
              </w:rPr>
              <w:t>Standor</w:t>
            </w:r>
            <w:proofErr w:type="spellEnd"/>
            <w:r>
              <w:rPr>
                <w:i/>
                <w:iCs/>
              </w:rPr>
              <w:t xml:space="preserve"> Jewelers West </w:t>
            </w:r>
          </w:p>
          <w:p w14:paraId="56493838" w14:textId="77777777" w:rsidR="002B7B27" w:rsidRDefault="002B7B27" w:rsidP="002B7B27"/>
          <w:p w14:paraId="51FE9894" w14:textId="77777777" w:rsidR="002B7B27" w:rsidRDefault="002B7B27" w:rsidP="002B7B27">
            <w:r>
              <w:t xml:space="preserve">CHAPTER 7:  AVOIDING POWERS </w:t>
            </w:r>
          </w:p>
          <w:p w14:paraId="4FEEDE8F" w14:textId="77777777" w:rsidR="001A2D11" w:rsidRDefault="002B7B27" w:rsidP="001A2D11">
            <w:pPr>
              <w:pStyle w:val="ListParagraph"/>
              <w:numPr>
                <w:ilvl w:val="0"/>
                <w:numId w:val="8"/>
              </w:numPr>
              <w:jc w:val="both"/>
            </w:pPr>
            <w:r>
              <w:t xml:space="preserve">Preferences </w:t>
            </w:r>
          </w:p>
          <w:p w14:paraId="2F30569C" w14:textId="717B00CD" w:rsidR="002B7B27" w:rsidRPr="001A2D11" w:rsidRDefault="001A2D11" w:rsidP="001A2D11">
            <w:pPr>
              <w:pStyle w:val="ListParagraph"/>
              <w:numPr>
                <w:ilvl w:val="1"/>
                <w:numId w:val="8"/>
              </w:numPr>
              <w:jc w:val="both"/>
              <w:rPr>
                <w:i/>
                <w:iCs/>
              </w:rPr>
            </w:pPr>
            <w:r>
              <w:rPr>
                <w:i/>
                <w:iCs/>
              </w:rPr>
              <w:t xml:space="preserve">Union Bank v. </w:t>
            </w:r>
            <w:proofErr w:type="spellStart"/>
            <w:r>
              <w:rPr>
                <w:i/>
                <w:iCs/>
              </w:rPr>
              <w:t>Wolas</w:t>
            </w:r>
            <w:proofErr w:type="spellEnd"/>
            <w:r>
              <w:rPr>
                <w:i/>
                <w:iCs/>
              </w:rPr>
              <w:t xml:space="preserve"> </w:t>
            </w:r>
          </w:p>
          <w:p w14:paraId="6C776746" w14:textId="77777777" w:rsidR="00B15832" w:rsidRDefault="00B15832" w:rsidP="00B15832">
            <w:pPr>
              <w:jc w:val="both"/>
            </w:pPr>
          </w:p>
          <w:p w14:paraId="3BC1E902" w14:textId="149374FD" w:rsidR="00B15832" w:rsidRDefault="00681E37" w:rsidP="00B15832">
            <w:pPr>
              <w:jc w:val="both"/>
            </w:pPr>
            <w:r>
              <w:t>Bankruptcy Code (11 U.S.C.):</w:t>
            </w:r>
            <w:r w:rsidR="00B15832">
              <w:t xml:space="preserve">  § 547(c) </w:t>
            </w:r>
          </w:p>
          <w:p w14:paraId="1914BFE1" w14:textId="77777777" w:rsidR="00B15832" w:rsidRPr="00E81769" w:rsidRDefault="00B15832" w:rsidP="002B7B27"/>
        </w:tc>
        <w:tc>
          <w:tcPr>
            <w:tcW w:w="1890" w:type="dxa"/>
            <w:shd w:val="clear" w:color="auto" w:fill="D9D9D9" w:themeFill="background1" w:themeFillShade="D9"/>
          </w:tcPr>
          <w:p w14:paraId="4C11DF86" w14:textId="77777777" w:rsidR="00AD33CD" w:rsidRPr="00E81769" w:rsidRDefault="002B7B27" w:rsidP="00B57107">
            <w:pPr>
              <w:jc w:val="center"/>
            </w:pPr>
            <w:r>
              <w:t>267-300</w:t>
            </w:r>
          </w:p>
        </w:tc>
      </w:tr>
      <w:tr w:rsidR="00AD33CD" w:rsidRPr="00420406" w14:paraId="3BAE1A28" w14:textId="77777777" w:rsidTr="00B57107">
        <w:tc>
          <w:tcPr>
            <w:tcW w:w="810" w:type="dxa"/>
            <w:shd w:val="clear" w:color="auto" w:fill="FFFFFF" w:themeFill="background1"/>
          </w:tcPr>
          <w:p w14:paraId="24A09DCD" w14:textId="77777777" w:rsidR="00AD33CD" w:rsidRPr="00E81769" w:rsidRDefault="000277D7" w:rsidP="009B774B">
            <w:pPr>
              <w:jc w:val="center"/>
            </w:pPr>
            <w:r>
              <w:t>11</w:t>
            </w:r>
          </w:p>
        </w:tc>
        <w:tc>
          <w:tcPr>
            <w:tcW w:w="6660" w:type="dxa"/>
            <w:shd w:val="clear" w:color="auto" w:fill="FFFFFF" w:themeFill="background1"/>
          </w:tcPr>
          <w:p w14:paraId="16DAA067" w14:textId="77777777" w:rsidR="001A2D11" w:rsidRDefault="002B7B27" w:rsidP="001A2D11">
            <w:pPr>
              <w:pStyle w:val="ListParagraph"/>
              <w:numPr>
                <w:ilvl w:val="0"/>
                <w:numId w:val="8"/>
              </w:numPr>
              <w:jc w:val="both"/>
            </w:pPr>
            <w:r>
              <w:t xml:space="preserve">Preferences </w:t>
            </w:r>
          </w:p>
          <w:p w14:paraId="40D29984" w14:textId="222C273A" w:rsidR="002E128E" w:rsidRDefault="001A2D11" w:rsidP="001A2D11">
            <w:pPr>
              <w:pStyle w:val="ListParagraph"/>
              <w:numPr>
                <w:ilvl w:val="1"/>
                <w:numId w:val="8"/>
              </w:numPr>
              <w:jc w:val="both"/>
              <w:rPr>
                <w:i/>
                <w:iCs/>
              </w:rPr>
            </w:pPr>
            <w:r>
              <w:rPr>
                <w:i/>
                <w:iCs/>
              </w:rPr>
              <w:t xml:space="preserve">In re National Gas Distributors </w:t>
            </w:r>
          </w:p>
          <w:p w14:paraId="12E99FBC" w14:textId="72F0AAE9" w:rsidR="001A2D11" w:rsidRPr="001A2D11" w:rsidRDefault="001A2D11" w:rsidP="001A2D11">
            <w:pPr>
              <w:pStyle w:val="ListParagraph"/>
              <w:numPr>
                <w:ilvl w:val="1"/>
                <w:numId w:val="8"/>
              </w:numPr>
              <w:jc w:val="both"/>
              <w:rPr>
                <w:i/>
                <w:iCs/>
              </w:rPr>
            </w:pPr>
            <w:r>
              <w:rPr>
                <w:i/>
                <w:iCs/>
              </w:rPr>
              <w:t xml:space="preserve">In re </w:t>
            </w:r>
            <w:proofErr w:type="spellStart"/>
            <w:r>
              <w:rPr>
                <w:i/>
                <w:iCs/>
              </w:rPr>
              <w:t>Powerine</w:t>
            </w:r>
            <w:proofErr w:type="spellEnd"/>
            <w:r>
              <w:rPr>
                <w:i/>
                <w:iCs/>
              </w:rPr>
              <w:t xml:space="preserve"> Oil Co. </w:t>
            </w:r>
          </w:p>
          <w:p w14:paraId="15D99CF7" w14:textId="77777777" w:rsidR="001A2D11" w:rsidRDefault="002B7B27" w:rsidP="001A2D11">
            <w:pPr>
              <w:pStyle w:val="ListParagraph"/>
              <w:numPr>
                <w:ilvl w:val="0"/>
                <w:numId w:val="8"/>
              </w:numPr>
              <w:jc w:val="both"/>
            </w:pPr>
            <w:r>
              <w:t xml:space="preserve">Setoffs </w:t>
            </w:r>
          </w:p>
          <w:p w14:paraId="6A5820D6" w14:textId="23870D1F" w:rsidR="002B7B27" w:rsidRPr="001A2D11" w:rsidRDefault="001A2D11" w:rsidP="001A2D11">
            <w:pPr>
              <w:pStyle w:val="ListParagraph"/>
              <w:numPr>
                <w:ilvl w:val="1"/>
                <w:numId w:val="8"/>
              </w:numPr>
              <w:jc w:val="both"/>
              <w:rPr>
                <w:i/>
                <w:iCs/>
              </w:rPr>
            </w:pPr>
            <w:r>
              <w:rPr>
                <w:i/>
                <w:iCs/>
              </w:rPr>
              <w:t xml:space="preserve">Citizens Bank of Maryland v. </w:t>
            </w:r>
            <w:proofErr w:type="spellStart"/>
            <w:r>
              <w:rPr>
                <w:i/>
                <w:iCs/>
              </w:rPr>
              <w:t>Strumpf</w:t>
            </w:r>
            <w:proofErr w:type="spellEnd"/>
            <w:r>
              <w:rPr>
                <w:i/>
                <w:iCs/>
              </w:rPr>
              <w:t xml:space="preserve"> </w:t>
            </w:r>
          </w:p>
          <w:p w14:paraId="0F2385CB" w14:textId="77777777" w:rsidR="002B7B27" w:rsidRDefault="002B7B27" w:rsidP="002B7B27"/>
          <w:p w14:paraId="3A3CAC0C" w14:textId="44A1274B" w:rsidR="002B14E2" w:rsidRDefault="002B14E2" w:rsidP="002B7B27">
            <w:r>
              <w:t xml:space="preserve">Bankruptcy Code (11 U.S.C.):  </w:t>
            </w:r>
          </w:p>
          <w:p w14:paraId="51F0A14F" w14:textId="60D082F4" w:rsidR="002B14E2" w:rsidRPr="00E81769" w:rsidRDefault="002B14E2" w:rsidP="002B7B27"/>
        </w:tc>
        <w:tc>
          <w:tcPr>
            <w:tcW w:w="1890" w:type="dxa"/>
            <w:shd w:val="clear" w:color="auto" w:fill="FFFFFF" w:themeFill="background1"/>
          </w:tcPr>
          <w:p w14:paraId="17693F4D" w14:textId="77777777" w:rsidR="00AD33CD" w:rsidRPr="00E81769" w:rsidRDefault="002B7B27" w:rsidP="00B57107">
            <w:pPr>
              <w:jc w:val="center"/>
            </w:pPr>
            <w:r>
              <w:t>300-327</w:t>
            </w:r>
          </w:p>
        </w:tc>
      </w:tr>
      <w:tr w:rsidR="00AD33CD" w:rsidRPr="00420406" w14:paraId="7D007F53" w14:textId="77777777" w:rsidTr="00B57107">
        <w:tc>
          <w:tcPr>
            <w:tcW w:w="810" w:type="dxa"/>
          </w:tcPr>
          <w:p w14:paraId="212E3851" w14:textId="77777777" w:rsidR="00AD33CD" w:rsidRPr="00E81769" w:rsidRDefault="000277D7" w:rsidP="00B57107">
            <w:pPr>
              <w:jc w:val="center"/>
            </w:pPr>
            <w:r>
              <w:t>12</w:t>
            </w:r>
          </w:p>
        </w:tc>
        <w:tc>
          <w:tcPr>
            <w:tcW w:w="6660" w:type="dxa"/>
          </w:tcPr>
          <w:p w14:paraId="0F0F1A6F" w14:textId="77777777" w:rsidR="001A2D11" w:rsidRDefault="00FE4462" w:rsidP="001A2D11">
            <w:pPr>
              <w:pStyle w:val="ListParagraph"/>
              <w:numPr>
                <w:ilvl w:val="0"/>
                <w:numId w:val="8"/>
              </w:numPr>
              <w:jc w:val="both"/>
            </w:pPr>
            <w:r>
              <w:t xml:space="preserve">Fraudulent transfer </w:t>
            </w:r>
            <w:r w:rsidR="002B7B27">
              <w:t xml:space="preserve"> </w:t>
            </w:r>
          </w:p>
          <w:p w14:paraId="05332F5B" w14:textId="7645B75C" w:rsidR="002B7B27" w:rsidRDefault="0066201B" w:rsidP="001A2D11">
            <w:pPr>
              <w:pStyle w:val="ListParagraph"/>
              <w:numPr>
                <w:ilvl w:val="1"/>
                <w:numId w:val="8"/>
              </w:numPr>
              <w:jc w:val="both"/>
              <w:rPr>
                <w:i/>
                <w:iCs/>
              </w:rPr>
            </w:pPr>
            <w:r>
              <w:rPr>
                <w:i/>
                <w:iCs/>
              </w:rPr>
              <w:t xml:space="preserve">BFP v. Resolution Trust Co. </w:t>
            </w:r>
          </w:p>
          <w:p w14:paraId="6B982F31" w14:textId="47F71C79" w:rsidR="0066201B" w:rsidRDefault="0066201B" w:rsidP="001A2D11">
            <w:pPr>
              <w:pStyle w:val="ListParagraph"/>
              <w:numPr>
                <w:ilvl w:val="1"/>
                <w:numId w:val="8"/>
              </w:numPr>
              <w:jc w:val="both"/>
              <w:rPr>
                <w:i/>
                <w:iCs/>
              </w:rPr>
            </w:pPr>
            <w:r>
              <w:rPr>
                <w:i/>
                <w:iCs/>
              </w:rPr>
              <w:t xml:space="preserve">Robinson v. </w:t>
            </w:r>
            <w:proofErr w:type="spellStart"/>
            <w:r>
              <w:rPr>
                <w:i/>
                <w:iCs/>
              </w:rPr>
              <w:t>Wangemann</w:t>
            </w:r>
            <w:proofErr w:type="spellEnd"/>
            <w:r>
              <w:rPr>
                <w:i/>
                <w:iCs/>
              </w:rPr>
              <w:t xml:space="preserve"> </w:t>
            </w:r>
          </w:p>
          <w:p w14:paraId="6E0C33EF" w14:textId="5FA5894E" w:rsidR="0066201B" w:rsidRPr="001A2D11" w:rsidRDefault="0066201B" w:rsidP="001A2D11">
            <w:pPr>
              <w:pStyle w:val="ListParagraph"/>
              <w:numPr>
                <w:ilvl w:val="1"/>
                <w:numId w:val="8"/>
              </w:numPr>
              <w:jc w:val="both"/>
              <w:rPr>
                <w:i/>
                <w:iCs/>
              </w:rPr>
            </w:pPr>
            <w:r>
              <w:rPr>
                <w:i/>
                <w:iCs/>
              </w:rPr>
              <w:t xml:space="preserve">In re Northern Merchandise </w:t>
            </w:r>
          </w:p>
          <w:p w14:paraId="7C592E7B" w14:textId="77777777" w:rsidR="002B7B27" w:rsidRDefault="002B7B27" w:rsidP="002B7B27"/>
          <w:p w14:paraId="673FD45F" w14:textId="16C3219F" w:rsidR="002B14E2" w:rsidRDefault="002B14E2" w:rsidP="002B7B27">
            <w:r>
              <w:t xml:space="preserve">Bankruptcy Code (11 U.S.C.):  </w:t>
            </w:r>
          </w:p>
          <w:p w14:paraId="17AC64D1" w14:textId="04590C77" w:rsidR="002B14E2" w:rsidRPr="00E81769" w:rsidRDefault="002B14E2" w:rsidP="002B7B27"/>
        </w:tc>
        <w:tc>
          <w:tcPr>
            <w:tcW w:w="1890" w:type="dxa"/>
          </w:tcPr>
          <w:p w14:paraId="4BA46697" w14:textId="77777777" w:rsidR="00AD33CD" w:rsidRPr="00E81769" w:rsidRDefault="00FE4462" w:rsidP="00B57107">
            <w:pPr>
              <w:jc w:val="center"/>
            </w:pPr>
            <w:r>
              <w:t>327-354</w:t>
            </w:r>
          </w:p>
        </w:tc>
      </w:tr>
      <w:tr w:rsidR="00AD33CD" w:rsidRPr="00420406" w14:paraId="285177CC" w14:textId="77777777" w:rsidTr="00B57107">
        <w:tc>
          <w:tcPr>
            <w:tcW w:w="810" w:type="dxa"/>
            <w:shd w:val="clear" w:color="auto" w:fill="D9D9D9" w:themeFill="background1" w:themeFillShade="D9"/>
          </w:tcPr>
          <w:p w14:paraId="17219681" w14:textId="77777777" w:rsidR="00AD33CD" w:rsidRPr="00E81769" w:rsidRDefault="000277D7" w:rsidP="00B57107">
            <w:pPr>
              <w:jc w:val="center"/>
            </w:pPr>
            <w:r>
              <w:t>13</w:t>
            </w:r>
          </w:p>
        </w:tc>
        <w:tc>
          <w:tcPr>
            <w:tcW w:w="6660" w:type="dxa"/>
            <w:shd w:val="clear" w:color="auto" w:fill="D9D9D9" w:themeFill="background1" w:themeFillShade="D9"/>
          </w:tcPr>
          <w:p w14:paraId="6C916414" w14:textId="77777777" w:rsidR="0066201B" w:rsidRDefault="00FE4462" w:rsidP="0066201B">
            <w:pPr>
              <w:pStyle w:val="ListParagraph"/>
              <w:numPr>
                <w:ilvl w:val="0"/>
                <w:numId w:val="8"/>
              </w:numPr>
              <w:jc w:val="both"/>
            </w:pPr>
            <w:r>
              <w:rPr>
                <w:rFonts w:ascii="Book Antiqua" w:hAnsi="Book Antiqua"/>
              </w:rPr>
              <w:t xml:space="preserve">Fraudulent transfer </w:t>
            </w:r>
          </w:p>
          <w:p w14:paraId="7E97965F" w14:textId="4B909CBC" w:rsidR="0067297B" w:rsidRPr="0066201B" w:rsidRDefault="0066201B" w:rsidP="0066201B">
            <w:pPr>
              <w:pStyle w:val="ListParagraph"/>
              <w:numPr>
                <w:ilvl w:val="1"/>
                <w:numId w:val="8"/>
              </w:numPr>
              <w:jc w:val="both"/>
              <w:rPr>
                <w:i/>
                <w:iCs/>
              </w:rPr>
            </w:pPr>
            <w:r>
              <w:rPr>
                <w:i/>
                <w:iCs/>
              </w:rPr>
              <w:t xml:space="preserve">Bay Plastics v. BT Commercial Corp. </w:t>
            </w:r>
          </w:p>
          <w:p w14:paraId="05D9A7CD" w14:textId="77777777" w:rsidR="0066201B" w:rsidRDefault="00FE4462" w:rsidP="0066201B">
            <w:pPr>
              <w:pStyle w:val="ListParagraph"/>
              <w:numPr>
                <w:ilvl w:val="0"/>
                <w:numId w:val="8"/>
              </w:numPr>
              <w:jc w:val="both"/>
            </w:pPr>
            <w:r>
              <w:rPr>
                <w:rFonts w:ascii="Book Antiqua" w:hAnsi="Book Antiqua"/>
              </w:rPr>
              <w:t xml:space="preserve">Strong-arm clause </w:t>
            </w:r>
          </w:p>
          <w:p w14:paraId="1870AD9B" w14:textId="10A07165" w:rsidR="00FE4462" w:rsidRPr="0066201B" w:rsidRDefault="0066201B" w:rsidP="0066201B">
            <w:pPr>
              <w:pStyle w:val="ListParagraph"/>
              <w:numPr>
                <w:ilvl w:val="1"/>
                <w:numId w:val="8"/>
              </w:numPr>
              <w:jc w:val="both"/>
              <w:rPr>
                <w:i/>
                <w:iCs/>
              </w:rPr>
            </w:pPr>
            <w:proofErr w:type="spellStart"/>
            <w:r>
              <w:rPr>
                <w:i/>
                <w:iCs/>
              </w:rPr>
              <w:t>McCannon</w:t>
            </w:r>
            <w:proofErr w:type="spellEnd"/>
            <w:r>
              <w:rPr>
                <w:i/>
                <w:iCs/>
              </w:rPr>
              <w:t xml:space="preserve"> v. Marston </w:t>
            </w:r>
          </w:p>
          <w:p w14:paraId="35C0C6C9" w14:textId="77777777" w:rsidR="00B15832" w:rsidRDefault="00B15832" w:rsidP="00B15832">
            <w:pPr>
              <w:jc w:val="both"/>
            </w:pPr>
          </w:p>
          <w:p w14:paraId="3F96DEB1" w14:textId="0FEC0801" w:rsidR="00B15832" w:rsidRDefault="00681E37" w:rsidP="00B15832">
            <w:pPr>
              <w:jc w:val="both"/>
            </w:pPr>
            <w:r>
              <w:t>Bankruptcy Code (11 U.S.C.):</w:t>
            </w:r>
            <w:r w:rsidR="00B15832">
              <w:t xml:space="preserve">  § 544(a)  </w:t>
            </w:r>
          </w:p>
          <w:p w14:paraId="19EA05B1" w14:textId="77777777" w:rsidR="00B15832" w:rsidRPr="00B15832" w:rsidRDefault="00B15832" w:rsidP="00B15832">
            <w:pPr>
              <w:jc w:val="both"/>
              <w:rPr>
                <w:rFonts w:ascii="Book Antiqua" w:hAnsi="Book Antiqua"/>
              </w:rPr>
            </w:pPr>
          </w:p>
        </w:tc>
        <w:tc>
          <w:tcPr>
            <w:tcW w:w="1890" w:type="dxa"/>
            <w:shd w:val="clear" w:color="auto" w:fill="D9D9D9" w:themeFill="background1" w:themeFillShade="D9"/>
          </w:tcPr>
          <w:p w14:paraId="41E92587" w14:textId="77777777" w:rsidR="00AD33CD" w:rsidRPr="00E81769" w:rsidRDefault="00FE4462" w:rsidP="00B57107">
            <w:pPr>
              <w:jc w:val="center"/>
            </w:pPr>
            <w:r>
              <w:t>354-382</w:t>
            </w:r>
          </w:p>
        </w:tc>
      </w:tr>
      <w:tr w:rsidR="00AD33CD" w:rsidRPr="00420406" w14:paraId="546DE967" w14:textId="77777777" w:rsidTr="00B57107">
        <w:tc>
          <w:tcPr>
            <w:tcW w:w="810" w:type="dxa"/>
            <w:shd w:val="clear" w:color="auto" w:fill="D9D9D9" w:themeFill="background1" w:themeFillShade="D9"/>
          </w:tcPr>
          <w:p w14:paraId="586D9916" w14:textId="77777777" w:rsidR="00AD33CD" w:rsidRPr="00E81769" w:rsidRDefault="000277D7" w:rsidP="00B57107">
            <w:pPr>
              <w:jc w:val="center"/>
            </w:pPr>
            <w:r>
              <w:t>14</w:t>
            </w:r>
          </w:p>
        </w:tc>
        <w:tc>
          <w:tcPr>
            <w:tcW w:w="6660" w:type="dxa"/>
            <w:shd w:val="clear" w:color="auto" w:fill="D9D9D9" w:themeFill="background1" w:themeFillShade="D9"/>
          </w:tcPr>
          <w:p w14:paraId="7F96C1DF" w14:textId="77777777" w:rsidR="00AD33CD" w:rsidRDefault="00FE4462" w:rsidP="00B57107">
            <w:r>
              <w:t xml:space="preserve">CHAPTER 8:  EQUITABLE SUBORDINATION AND SUBSTANTIVE CONSOLIDATION </w:t>
            </w:r>
          </w:p>
          <w:p w14:paraId="762AF898" w14:textId="77777777" w:rsidR="0066201B" w:rsidRDefault="00FE4462" w:rsidP="0066201B">
            <w:pPr>
              <w:pStyle w:val="ListParagraph"/>
              <w:numPr>
                <w:ilvl w:val="0"/>
                <w:numId w:val="8"/>
              </w:numPr>
              <w:jc w:val="both"/>
            </w:pPr>
            <w:r>
              <w:t xml:space="preserve">Equitable subordination </w:t>
            </w:r>
          </w:p>
          <w:p w14:paraId="559882E5" w14:textId="67D64E4D" w:rsidR="00FE4462" w:rsidRDefault="0066201B" w:rsidP="0066201B">
            <w:pPr>
              <w:pStyle w:val="ListParagraph"/>
              <w:numPr>
                <w:ilvl w:val="1"/>
                <w:numId w:val="8"/>
              </w:numPr>
              <w:jc w:val="both"/>
              <w:rPr>
                <w:i/>
                <w:iCs/>
              </w:rPr>
            </w:pPr>
            <w:r>
              <w:rPr>
                <w:i/>
                <w:iCs/>
              </w:rPr>
              <w:t xml:space="preserve">Matter of SI Restructuring </w:t>
            </w:r>
          </w:p>
          <w:p w14:paraId="2386C2A8" w14:textId="76739DBA" w:rsidR="0066201B" w:rsidRPr="0066201B" w:rsidRDefault="0066201B" w:rsidP="0066201B">
            <w:pPr>
              <w:pStyle w:val="ListParagraph"/>
              <w:numPr>
                <w:ilvl w:val="1"/>
                <w:numId w:val="8"/>
              </w:numPr>
              <w:jc w:val="both"/>
              <w:rPr>
                <w:i/>
                <w:iCs/>
              </w:rPr>
            </w:pPr>
            <w:r>
              <w:rPr>
                <w:i/>
                <w:iCs/>
              </w:rPr>
              <w:t>Matter of Clark Pipe &amp; Supply Co.</w:t>
            </w:r>
          </w:p>
          <w:p w14:paraId="4C76E314" w14:textId="77777777" w:rsidR="0066201B" w:rsidRDefault="00FE4462" w:rsidP="0066201B">
            <w:pPr>
              <w:pStyle w:val="ListParagraph"/>
              <w:numPr>
                <w:ilvl w:val="0"/>
                <w:numId w:val="8"/>
              </w:numPr>
              <w:jc w:val="both"/>
            </w:pPr>
            <w:r>
              <w:t xml:space="preserve">Substantive consolidation </w:t>
            </w:r>
          </w:p>
          <w:p w14:paraId="56E260D5" w14:textId="39199464" w:rsidR="00FE4462" w:rsidRDefault="0066201B" w:rsidP="0066201B">
            <w:pPr>
              <w:pStyle w:val="ListParagraph"/>
              <w:numPr>
                <w:ilvl w:val="1"/>
                <w:numId w:val="8"/>
              </w:numPr>
              <w:jc w:val="both"/>
              <w:rPr>
                <w:i/>
                <w:iCs/>
              </w:rPr>
            </w:pPr>
            <w:r>
              <w:rPr>
                <w:i/>
                <w:iCs/>
              </w:rPr>
              <w:t xml:space="preserve">In re Owens Corning </w:t>
            </w:r>
          </w:p>
          <w:p w14:paraId="255E8869" w14:textId="63AF337B" w:rsidR="0066201B" w:rsidRPr="0066201B" w:rsidRDefault="0066201B" w:rsidP="0066201B">
            <w:pPr>
              <w:pStyle w:val="ListParagraph"/>
              <w:numPr>
                <w:ilvl w:val="1"/>
                <w:numId w:val="8"/>
              </w:numPr>
              <w:jc w:val="both"/>
              <w:rPr>
                <w:i/>
                <w:iCs/>
              </w:rPr>
            </w:pPr>
            <w:r>
              <w:rPr>
                <w:i/>
                <w:iCs/>
              </w:rPr>
              <w:t xml:space="preserve">In re LTV Steel Co. </w:t>
            </w:r>
          </w:p>
          <w:p w14:paraId="734CCEEE" w14:textId="77777777" w:rsidR="00FE4462" w:rsidRDefault="00FE4462" w:rsidP="00FE4462"/>
          <w:p w14:paraId="2068A30B" w14:textId="6943AC1E" w:rsidR="002B14E2" w:rsidRDefault="002B14E2" w:rsidP="00FE4462">
            <w:r>
              <w:t xml:space="preserve">Bankruptcy Code (11 U.S.C.):  </w:t>
            </w:r>
          </w:p>
          <w:p w14:paraId="45A9BCD2" w14:textId="64AB7306" w:rsidR="002B14E2" w:rsidRPr="00E81769" w:rsidRDefault="002B14E2" w:rsidP="00FE4462"/>
        </w:tc>
        <w:tc>
          <w:tcPr>
            <w:tcW w:w="1890" w:type="dxa"/>
            <w:shd w:val="clear" w:color="auto" w:fill="D9D9D9" w:themeFill="background1" w:themeFillShade="D9"/>
          </w:tcPr>
          <w:p w14:paraId="1BBD9E48" w14:textId="77777777" w:rsidR="00AD33CD" w:rsidRPr="00E81769" w:rsidRDefault="00F82DD7" w:rsidP="00B57107">
            <w:pPr>
              <w:jc w:val="center"/>
            </w:pPr>
            <w:r>
              <w:t>383-421</w:t>
            </w:r>
          </w:p>
        </w:tc>
      </w:tr>
      <w:tr w:rsidR="00AD33CD" w:rsidRPr="00420406" w14:paraId="5B1B931C" w14:textId="77777777" w:rsidTr="00B57107">
        <w:tc>
          <w:tcPr>
            <w:tcW w:w="810" w:type="dxa"/>
            <w:shd w:val="clear" w:color="auto" w:fill="FFFFFF" w:themeFill="background1"/>
          </w:tcPr>
          <w:p w14:paraId="179FE591" w14:textId="77777777" w:rsidR="00AD33CD" w:rsidRPr="00E81769" w:rsidRDefault="000277D7" w:rsidP="00B57107">
            <w:pPr>
              <w:jc w:val="center"/>
            </w:pPr>
            <w:r>
              <w:t>15</w:t>
            </w:r>
          </w:p>
        </w:tc>
        <w:tc>
          <w:tcPr>
            <w:tcW w:w="6660" w:type="dxa"/>
            <w:shd w:val="clear" w:color="auto" w:fill="FFFFFF" w:themeFill="background1"/>
          </w:tcPr>
          <w:p w14:paraId="6C36BAA6" w14:textId="77777777" w:rsidR="006312E7" w:rsidRDefault="006312E7" w:rsidP="006312E7">
            <w:r>
              <w:t xml:space="preserve">CHAPTER 9:  THE CONSUMER DEBTOR IN CHAPTERS 7 AND 13 </w:t>
            </w:r>
          </w:p>
          <w:p w14:paraId="0AA35D61" w14:textId="77777777" w:rsidR="006312E7" w:rsidRDefault="006312E7" w:rsidP="006312E7">
            <w:pPr>
              <w:pStyle w:val="ListParagraph"/>
              <w:numPr>
                <w:ilvl w:val="0"/>
                <w:numId w:val="13"/>
              </w:numPr>
            </w:pPr>
            <w:r>
              <w:t xml:space="preserve">Introduction to consumer bankruptcy </w:t>
            </w:r>
          </w:p>
          <w:p w14:paraId="38421B72" w14:textId="77777777" w:rsidR="006312E7" w:rsidRDefault="006312E7" w:rsidP="006312E7">
            <w:pPr>
              <w:pStyle w:val="ListParagraph"/>
              <w:numPr>
                <w:ilvl w:val="0"/>
                <w:numId w:val="13"/>
              </w:numPr>
            </w:pPr>
            <w:r>
              <w:lastRenderedPageBreak/>
              <w:t>The consumer debtor in Chapter 7 before BAPCPA</w:t>
            </w:r>
          </w:p>
          <w:p w14:paraId="11E874B0" w14:textId="77777777" w:rsidR="00F6329B" w:rsidRDefault="006312E7" w:rsidP="00F6329B">
            <w:pPr>
              <w:pStyle w:val="ListParagraph"/>
              <w:numPr>
                <w:ilvl w:val="0"/>
                <w:numId w:val="8"/>
              </w:numPr>
              <w:jc w:val="both"/>
            </w:pPr>
            <w:r>
              <w:t>BAPCPA</w:t>
            </w:r>
          </w:p>
          <w:p w14:paraId="5B23A9A5" w14:textId="4713B4B1" w:rsidR="006312E7" w:rsidRPr="00F6329B" w:rsidRDefault="00F6329B" w:rsidP="00F6329B">
            <w:pPr>
              <w:pStyle w:val="ListParagraph"/>
              <w:numPr>
                <w:ilvl w:val="1"/>
                <w:numId w:val="8"/>
              </w:numPr>
              <w:jc w:val="both"/>
              <w:rPr>
                <w:i/>
                <w:iCs/>
              </w:rPr>
            </w:pPr>
            <w:r>
              <w:rPr>
                <w:i/>
                <w:iCs/>
              </w:rPr>
              <w:t xml:space="preserve">Ransom v. FIA Card Services </w:t>
            </w:r>
          </w:p>
          <w:p w14:paraId="784FF288" w14:textId="77777777" w:rsidR="00FE4462" w:rsidRDefault="00FE4462" w:rsidP="006312E7"/>
          <w:p w14:paraId="71145FB7" w14:textId="35A8E15F" w:rsidR="002B14E2" w:rsidRDefault="002B14E2" w:rsidP="006312E7">
            <w:r>
              <w:t xml:space="preserve">Bankruptcy Code (11 U.S.C.):  </w:t>
            </w:r>
          </w:p>
          <w:p w14:paraId="023018DB" w14:textId="2E1830C9" w:rsidR="002B14E2" w:rsidRPr="00E81769" w:rsidRDefault="002B14E2" w:rsidP="006312E7"/>
        </w:tc>
        <w:tc>
          <w:tcPr>
            <w:tcW w:w="1890" w:type="dxa"/>
            <w:shd w:val="clear" w:color="auto" w:fill="FFFFFF" w:themeFill="background1"/>
          </w:tcPr>
          <w:p w14:paraId="0A362AFB" w14:textId="68D5FED1" w:rsidR="007652A1" w:rsidRPr="00E81769" w:rsidRDefault="006312E7" w:rsidP="006312E7">
            <w:pPr>
              <w:jc w:val="center"/>
            </w:pPr>
            <w:r>
              <w:lastRenderedPageBreak/>
              <w:t>423-</w:t>
            </w:r>
            <w:r w:rsidR="00771E16">
              <w:t>4</w:t>
            </w:r>
            <w:r w:rsidR="00D14A94">
              <w:t>56</w:t>
            </w:r>
          </w:p>
        </w:tc>
      </w:tr>
      <w:tr w:rsidR="00AD33CD" w:rsidRPr="00420406" w14:paraId="40104ED4" w14:textId="77777777" w:rsidTr="00B57107">
        <w:tc>
          <w:tcPr>
            <w:tcW w:w="810" w:type="dxa"/>
          </w:tcPr>
          <w:p w14:paraId="4BE78549" w14:textId="77777777" w:rsidR="00AD33CD" w:rsidRPr="00E81769" w:rsidRDefault="000277D7" w:rsidP="00B57107">
            <w:pPr>
              <w:jc w:val="center"/>
            </w:pPr>
            <w:r>
              <w:t>16</w:t>
            </w:r>
          </w:p>
        </w:tc>
        <w:tc>
          <w:tcPr>
            <w:tcW w:w="6660" w:type="dxa"/>
          </w:tcPr>
          <w:p w14:paraId="0BF11033" w14:textId="77777777" w:rsidR="00D14A94" w:rsidRDefault="00D14A94" w:rsidP="00D14A94">
            <w:pPr>
              <w:pStyle w:val="ListParagraph"/>
              <w:numPr>
                <w:ilvl w:val="0"/>
                <w:numId w:val="13"/>
              </w:numPr>
            </w:pPr>
            <w:r>
              <w:t>BAPCPA</w:t>
            </w:r>
          </w:p>
          <w:p w14:paraId="5A07B1EE" w14:textId="77777777" w:rsidR="00F6329B" w:rsidRDefault="00D14A94" w:rsidP="00F6329B">
            <w:pPr>
              <w:pStyle w:val="ListParagraph"/>
              <w:numPr>
                <w:ilvl w:val="0"/>
                <w:numId w:val="8"/>
              </w:numPr>
              <w:jc w:val="both"/>
            </w:pPr>
            <w:r>
              <w:t xml:space="preserve">Chapter 13 as an alternative for the consumer debtor </w:t>
            </w:r>
          </w:p>
          <w:p w14:paraId="3A071D5D" w14:textId="7FA6E956" w:rsidR="00D14A94" w:rsidRDefault="00F6329B" w:rsidP="00F6329B">
            <w:pPr>
              <w:pStyle w:val="ListParagraph"/>
              <w:numPr>
                <w:ilvl w:val="1"/>
                <w:numId w:val="8"/>
              </w:numPr>
              <w:jc w:val="both"/>
              <w:rPr>
                <w:i/>
                <w:iCs/>
              </w:rPr>
            </w:pPr>
            <w:r>
              <w:rPr>
                <w:i/>
                <w:iCs/>
              </w:rPr>
              <w:t xml:space="preserve">Hamilton v. Lanning </w:t>
            </w:r>
          </w:p>
          <w:p w14:paraId="415293C2" w14:textId="69557BA4" w:rsidR="00F6329B" w:rsidRPr="00F6329B" w:rsidRDefault="00F6329B" w:rsidP="00F6329B">
            <w:pPr>
              <w:pStyle w:val="ListParagraph"/>
              <w:numPr>
                <w:ilvl w:val="1"/>
                <w:numId w:val="8"/>
              </w:numPr>
              <w:jc w:val="both"/>
              <w:rPr>
                <w:i/>
                <w:iCs/>
              </w:rPr>
            </w:pPr>
            <w:r>
              <w:rPr>
                <w:i/>
                <w:iCs/>
              </w:rPr>
              <w:t xml:space="preserve">In re Crawford </w:t>
            </w:r>
          </w:p>
          <w:p w14:paraId="2874EF29" w14:textId="77777777" w:rsidR="003356B4" w:rsidRDefault="003356B4" w:rsidP="006312E7"/>
          <w:p w14:paraId="2B0EB618" w14:textId="6E6C72E2" w:rsidR="002B14E2" w:rsidRDefault="002B14E2" w:rsidP="006312E7">
            <w:r>
              <w:t xml:space="preserve">Bankruptcy Code (11 U.S.C.):  </w:t>
            </w:r>
          </w:p>
          <w:p w14:paraId="3DFE5266" w14:textId="2907CB4B" w:rsidR="002B14E2" w:rsidRPr="00E81769" w:rsidRDefault="002B14E2" w:rsidP="006312E7"/>
        </w:tc>
        <w:tc>
          <w:tcPr>
            <w:tcW w:w="1890" w:type="dxa"/>
          </w:tcPr>
          <w:p w14:paraId="60ABF62F" w14:textId="749D8A0A" w:rsidR="00AD33CD" w:rsidRPr="00E81769" w:rsidRDefault="00D14A94" w:rsidP="00871688">
            <w:pPr>
              <w:jc w:val="center"/>
            </w:pPr>
            <w:r>
              <w:t>457-</w:t>
            </w:r>
            <w:r w:rsidR="00771E16">
              <w:t>4</w:t>
            </w:r>
            <w:r>
              <w:t>88</w:t>
            </w:r>
          </w:p>
        </w:tc>
      </w:tr>
      <w:tr w:rsidR="00AD33CD" w:rsidRPr="00420406" w14:paraId="32656397" w14:textId="77777777" w:rsidTr="00B57107">
        <w:tc>
          <w:tcPr>
            <w:tcW w:w="810" w:type="dxa"/>
            <w:shd w:val="clear" w:color="auto" w:fill="D9D9D9" w:themeFill="background1" w:themeFillShade="D9"/>
          </w:tcPr>
          <w:p w14:paraId="4CACE81E" w14:textId="77777777" w:rsidR="00AD33CD" w:rsidRPr="00E81769" w:rsidRDefault="000277D7" w:rsidP="00B57107">
            <w:pPr>
              <w:jc w:val="center"/>
            </w:pPr>
            <w:r>
              <w:t>17</w:t>
            </w:r>
          </w:p>
        </w:tc>
        <w:tc>
          <w:tcPr>
            <w:tcW w:w="6660" w:type="dxa"/>
            <w:shd w:val="clear" w:color="auto" w:fill="D9D9D9" w:themeFill="background1" w:themeFillShade="D9"/>
          </w:tcPr>
          <w:p w14:paraId="20519D38" w14:textId="77777777" w:rsidR="00B15832" w:rsidRDefault="00D14A94" w:rsidP="00D14A94">
            <w:pPr>
              <w:pStyle w:val="ListParagraph"/>
              <w:numPr>
                <w:ilvl w:val="0"/>
                <w:numId w:val="13"/>
              </w:numPr>
            </w:pPr>
            <w:r>
              <w:t xml:space="preserve">Discharge </w:t>
            </w:r>
          </w:p>
          <w:p w14:paraId="76092A68" w14:textId="77777777" w:rsidR="00D14A94" w:rsidRDefault="00D14A94" w:rsidP="00D14A94">
            <w:pPr>
              <w:pStyle w:val="ListParagraph"/>
              <w:numPr>
                <w:ilvl w:val="0"/>
                <w:numId w:val="13"/>
              </w:numPr>
            </w:pPr>
            <w:r>
              <w:t xml:space="preserve">Reaffirmation of discharged debts </w:t>
            </w:r>
          </w:p>
          <w:p w14:paraId="0F753F56" w14:textId="77777777" w:rsidR="00F6329B" w:rsidRDefault="00D14A94" w:rsidP="00F6329B">
            <w:pPr>
              <w:pStyle w:val="ListParagraph"/>
              <w:numPr>
                <w:ilvl w:val="0"/>
                <w:numId w:val="8"/>
              </w:numPr>
              <w:jc w:val="both"/>
            </w:pPr>
            <w:r>
              <w:t xml:space="preserve">Secured claims in personal property </w:t>
            </w:r>
          </w:p>
          <w:p w14:paraId="58ACD968" w14:textId="2B823E4E" w:rsidR="00D14A94" w:rsidRDefault="00F6329B" w:rsidP="00F6329B">
            <w:pPr>
              <w:pStyle w:val="ListParagraph"/>
              <w:numPr>
                <w:ilvl w:val="1"/>
                <w:numId w:val="8"/>
              </w:numPr>
              <w:jc w:val="both"/>
              <w:rPr>
                <w:i/>
                <w:iCs/>
              </w:rPr>
            </w:pPr>
            <w:r>
              <w:rPr>
                <w:i/>
                <w:iCs/>
              </w:rPr>
              <w:t xml:space="preserve">In re Jones </w:t>
            </w:r>
          </w:p>
          <w:p w14:paraId="3E9D1353" w14:textId="733EA75B" w:rsidR="00F6329B" w:rsidRPr="00F6329B" w:rsidRDefault="00F6329B" w:rsidP="00F6329B">
            <w:pPr>
              <w:pStyle w:val="ListParagraph"/>
              <w:numPr>
                <w:ilvl w:val="1"/>
                <w:numId w:val="8"/>
              </w:numPr>
              <w:jc w:val="both"/>
              <w:rPr>
                <w:i/>
                <w:iCs/>
              </w:rPr>
            </w:pPr>
            <w:r>
              <w:rPr>
                <w:i/>
                <w:iCs/>
              </w:rPr>
              <w:t xml:space="preserve">In re Wright </w:t>
            </w:r>
          </w:p>
          <w:p w14:paraId="45A73A7B" w14:textId="77777777" w:rsidR="00F6329B" w:rsidRDefault="00D14A94" w:rsidP="00F6329B">
            <w:pPr>
              <w:pStyle w:val="ListParagraph"/>
              <w:numPr>
                <w:ilvl w:val="0"/>
                <w:numId w:val="8"/>
              </w:numPr>
              <w:jc w:val="both"/>
            </w:pPr>
            <w:r>
              <w:t xml:space="preserve">Secured claims in debtor’s residence </w:t>
            </w:r>
          </w:p>
          <w:p w14:paraId="7A1D4DE8" w14:textId="55F973BC" w:rsidR="00D14A94" w:rsidRPr="00F6329B" w:rsidRDefault="00F6329B" w:rsidP="00F6329B">
            <w:pPr>
              <w:pStyle w:val="ListParagraph"/>
              <w:numPr>
                <w:ilvl w:val="1"/>
                <w:numId w:val="8"/>
              </w:numPr>
              <w:jc w:val="both"/>
              <w:rPr>
                <w:i/>
                <w:iCs/>
              </w:rPr>
            </w:pPr>
            <w:proofErr w:type="spellStart"/>
            <w:r>
              <w:rPr>
                <w:i/>
                <w:iCs/>
              </w:rPr>
              <w:t>Nobelman</w:t>
            </w:r>
            <w:proofErr w:type="spellEnd"/>
            <w:r>
              <w:rPr>
                <w:i/>
                <w:iCs/>
              </w:rPr>
              <w:t xml:space="preserve"> v. American Savings Bank </w:t>
            </w:r>
          </w:p>
          <w:p w14:paraId="0C813267" w14:textId="77777777" w:rsidR="00D14A94" w:rsidRDefault="00D14A94" w:rsidP="002B14E2"/>
          <w:p w14:paraId="2579E016" w14:textId="4F966FA7" w:rsidR="002B14E2" w:rsidRDefault="002B14E2" w:rsidP="002B14E2">
            <w:r>
              <w:t xml:space="preserve">Bankruptcy Code (11 U.S.C.):  </w:t>
            </w:r>
          </w:p>
          <w:p w14:paraId="5142C965" w14:textId="53775EBA" w:rsidR="002B14E2" w:rsidRPr="00E81769" w:rsidRDefault="002B14E2" w:rsidP="002B14E2"/>
        </w:tc>
        <w:tc>
          <w:tcPr>
            <w:tcW w:w="1890" w:type="dxa"/>
            <w:shd w:val="clear" w:color="auto" w:fill="D9D9D9" w:themeFill="background1" w:themeFillShade="D9"/>
          </w:tcPr>
          <w:p w14:paraId="0A351B4F" w14:textId="77777777" w:rsidR="00AD33CD" w:rsidRPr="00E81769" w:rsidRDefault="00D14A94" w:rsidP="00B57107">
            <w:pPr>
              <w:pStyle w:val="ListParagraph"/>
              <w:ind w:left="0"/>
              <w:jc w:val="center"/>
            </w:pPr>
            <w:r>
              <w:t>488-521</w:t>
            </w:r>
          </w:p>
        </w:tc>
      </w:tr>
      <w:tr w:rsidR="00AD33CD" w:rsidRPr="00420406" w14:paraId="57107528" w14:textId="77777777" w:rsidTr="00B57107">
        <w:tc>
          <w:tcPr>
            <w:tcW w:w="810" w:type="dxa"/>
            <w:shd w:val="clear" w:color="auto" w:fill="D9D9D9" w:themeFill="background1" w:themeFillShade="D9"/>
          </w:tcPr>
          <w:p w14:paraId="76AA730A" w14:textId="77777777" w:rsidR="00AD33CD" w:rsidRPr="00E81769" w:rsidRDefault="000277D7" w:rsidP="00B57107">
            <w:pPr>
              <w:jc w:val="center"/>
            </w:pPr>
            <w:r>
              <w:t>18</w:t>
            </w:r>
          </w:p>
        </w:tc>
        <w:tc>
          <w:tcPr>
            <w:tcW w:w="6660" w:type="dxa"/>
            <w:shd w:val="clear" w:color="auto" w:fill="D9D9D9" w:themeFill="background1" w:themeFillShade="D9"/>
          </w:tcPr>
          <w:p w14:paraId="040C4903" w14:textId="77777777" w:rsidR="00D14A94" w:rsidRDefault="00D14A94" w:rsidP="00D14A94">
            <w:r>
              <w:t>CHAPTER 10:  OPERATING THE DEBTOR AND PRPOSING A PLAN</w:t>
            </w:r>
          </w:p>
          <w:p w14:paraId="6659ADA9" w14:textId="77777777" w:rsidR="00D14A94" w:rsidRDefault="00D14A94" w:rsidP="00D14A94">
            <w:pPr>
              <w:pStyle w:val="ListParagraph"/>
              <w:numPr>
                <w:ilvl w:val="0"/>
                <w:numId w:val="14"/>
              </w:numPr>
            </w:pPr>
            <w:r>
              <w:t xml:space="preserve">Management and control </w:t>
            </w:r>
          </w:p>
          <w:p w14:paraId="5881C653" w14:textId="77777777" w:rsidR="001142A4" w:rsidRDefault="00D14A94" w:rsidP="001142A4">
            <w:pPr>
              <w:pStyle w:val="ListParagraph"/>
              <w:numPr>
                <w:ilvl w:val="0"/>
                <w:numId w:val="8"/>
              </w:numPr>
              <w:jc w:val="both"/>
            </w:pPr>
            <w:r>
              <w:t xml:space="preserve">Operating the business from petition to confirmation </w:t>
            </w:r>
          </w:p>
          <w:p w14:paraId="196827BB" w14:textId="76E83A42" w:rsidR="00D14A94" w:rsidRPr="001142A4" w:rsidRDefault="001142A4" w:rsidP="001142A4">
            <w:pPr>
              <w:pStyle w:val="ListParagraph"/>
              <w:numPr>
                <w:ilvl w:val="1"/>
                <w:numId w:val="8"/>
              </w:numPr>
              <w:jc w:val="both"/>
              <w:rPr>
                <w:i/>
                <w:iCs/>
              </w:rPr>
            </w:pPr>
            <w:r>
              <w:rPr>
                <w:i/>
                <w:iCs/>
              </w:rPr>
              <w:t xml:space="preserve">Matter of Kmart Corp. </w:t>
            </w:r>
          </w:p>
          <w:p w14:paraId="75527279" w14:textId="77777777" w:rsidR="00B15832" w:rsidRDefault="00B15832" w:rsidP="006312E7">
            <w:pPr>
              <w:jc w:val="both"/>
            </w:pPr>
          </w:p>
          <w:p w14:paraId="6B86EAF6" w14:textId="77777777" w:rsidR="002B14E2" w:rsidRDefault="002B14E2" w:rsidP="006312E7">
            <w:pPr>
              <w:jc w:val="both"/>
            </w:pPr>
            <w:r>
              <w:t xml:space="preserve">Bankruptcy Code (11 U.S.C.):  </w:t>
            </w:r>
          </w:p>
          <w:p w14:paraId="4BC8E3A9" w14:textId="1D373F5F" w:rsidR="002B14E2" w:rsidRPr="00E81769" w:rsidRDefault="002B14E2" w:rsidP="006312E7">
            <w:pPr>
              <w:jc w:val="both"/>
            </w:pPr>
          </w:p>
        </w:tc>
        <w:tc>
          <w:tcPr>
            <w:tcW w:w="1890" w:type="dxa"/>
            <w:shd w:val="clear" w:color="auto" w:fill="D9D9D9" w:themeFill="background1" w:themeFillShade="D9"/>
          </w:tcPr>
          <w:p w14:paraId="74D2A31B" w14:textId="77777777" w:rsidR="00D14A94" w:rsidRDefault="00D14A94" w:rsidP="00D14A94">
            <w:pPr>
              <w:jc w:val="center"/>
            </w:pPr>
            <w:r>
              <w:t>523-524</w:t>
            </w:r>
          </w:p>
          <w:p w14:paraId="4FC84568" w14:textId="77777777" w:rsidR="00D14A94" w:rsidRDefault="00D14A94" w:rsidP="00D14A94">
            <w:pPr>
              <w:jc w:val="center"/>
            </w:pPr>
            <w:r>
              <w:t>529-550</w:t>
            </w:r>
          </w:p>
          <w:p w14:paraId="511B97B3" w14:textId="77777777" w:rsidR="00D14A94" w:rsidRDefault="00D14A94" w:rsidP="00D14A94">
            <w:pPr>
              <w:jc w:val="center"/>
            </w:pPr>
          </w:p>
          <w:p w14:paraId="2A977D9A" w14:textId="77777777" w:rsidR="00D14A94" w:rsidRDefault="00D14A94" w:rsidP="00D14A94">
            <w:pPr>
              <w:jc w:val="center"/>
            </w:pPr>
            <w:r>
              <w:t>Skip: Subsection 3 on pp. 525-29</w:t>
            </w:r>
          </w:p>
          <w:p w14:paraId="10BA530B" w14:textId="77777777" w:rsidR="00DF56B9" w:rsidRPr="00E81769" w:rsidRDefault="00DF56B9" w:rsidP="00B57107">
            <w:pPr>
              <w:jc w:val="center"/>
            </w:pPr>
          </w:p>
        </w:tc>
      </w:tr>
      <w:tr w:rsidR="00AD33CD" w:rsidRPr="00420406" w14:paraId="26718CBE" w14:textId="77777777" w:rsidTr="00B57107">
        <w:tc>
          <w:tcPr>
            <w:tcW w:w="810" w:type="dxa"/>
            <w:shd w:val="clear" w:color="auto" w:fill="FFFFFF" w:themeFill="background1"/>
          </w:tcPr>
          <w:p w14:paraId="2D6B6729" w14:textId="77777777" w:rsidR="00AD33CD" w:rsidRPr="00E81769" w:rsidRDefault="000277D7" w:rsidP="00B57107">
            <w:pPr>
              <w:jc w:val="center"/>
            </w:pPr>
            <w:r>
              <w:t>19</w:t>
            </w:r>
          </w:p>
        </w:tc>
        <w:tc>
          <w:tcPr>
            <w:tcW w:w="6660" w:type="dxa"/>
            <w:shd w:val="clear" w:color="auto" w:fill="FFFFFF" w:themeFill="background1"/>
          </w:tcPr>
          <w:p w14:paraId="460FF2BB" w14:textId="77777777" w:rsidR="001142A4" w:rsidRDefault="00D14A94" w:rsidP="001142A4">
            <w:pPr>
              <w:pStyle w:val="ListParagraph"/>
              <w:numPr>
                <w:ilvl w:val="0"/>
                <w:numId w:val="8"/>
              </w:numPr>
              <w:jc w:val="both"/>
            </w:pPr>
            <w:r>
              <w:t xml:space="preserve">Operating the business from petition to confirmation </w:t>
            </w:r>
          </w:p>
          <w:p w14:paraId="0C614B64" w14:textId="6FB2217A" w:rsidR="00D14A94" w:rsidRDefault="001142A4" w:rsidP="001142A4">
            <w:pPr>
              <w:pStyle w:val="ListParagraph"/>
              <w:numPr>
                <w:ilvl w:val="1"/>
                <w:numId w:val="8"/>
              </w:numPr>
              <w:jc w:val="both"/>
              <w:rPr>
                <w:i/>
                <w:iCs/>
              </w:rPr>
            </w:pPr>
            <w:r>
              <w:rPr>
                <w:i/>
                <w:iCs/>
              </w:rPr>
              <w:t xml:space="preserve">General Electric Credit Corp. v. Levin &amp; Weintraub </w:t>
            </w:r>
          </w:p>
          <w:p w14:paraId="1FBB362A" w14:textId="4C73F2DC" w:rsidR="001142A4" w:rsidRDefault="001142A4" w:rsidP="001142A4">
            <w:pPr>
              <w:pStyle w:val="ListParagraph"/>
              <w:numPr>
                <w:ilvl w:val="1"/>
                <w:numId w:val="8"/>
              </w:numPr>
              <w:jc w:val="both"/>
              <w:rPr>
                <w:i/>
                <w:iCs/>
              </w:rPr>
            </w:pPr>
            <w:r>
              <w:rPr>
                <w:i/>
                <w:iCs/>
              </w:rPr>
              <w:t xml:space="preserve">Hartford Underwriters Ins. Co. v. Union Planters Bank </w:t>
            </w:r>
          </w:p>
          <w:p w14:paraId="1738C308" w14:textId="13BB8CF1" w:rsidR="001142A4" w:rsidRPr="001142A4" w:rsidRDefault="001142A4" w:rsidP="001142A4">
            <w:pPr>
              <w:pStyle w:val="ListParagraph"/>
              <w:numPr>
                <w:ilvl w:val="1"/>
                <w:numId w:val="8"/>
              </w:numPr>
              <w:jc w:val="both"/>
              <w:rPr>
                <w:i/>
                <w:iCs/>
              </w:rPr>
            </w:pPr>
            <w:r>
              <w:rPr>
                <w:i/>
                <w:iCs/>
              </w:rPr>
              <w:t xml:space="preserve">Matter of </w:t>
            </w:r>
            <w:proofErr w:type="spellStart"/>
            <w:r>
              <w:rPr>
                <w:i/>
                <w:iCs/>
              </w:rPr>
              <w:t>Saybrook</w:t>
            </w:r>
            <w:proofErr w:type="spellEnd"/>
            <w:r>
              <w:rPr>
                <w:i/>
                <w:iCs/>
              </w:rPr>
              <w:t xml:space="preserve"> Manufacturing Co. </w:t>
            </w:r>
          </w:p>
          <w:p w14:paraId="1D1AB39F" w14:textId="77777777" w:rsidR="001142A4" w:rsidRDefault="00D14A94" w:rsidP="001142A4">
            <w:pPr>
              <w:pStyle w:val="ListParagraph"/>
              <w:numPr>
                <w:ilvl w:val="0"/>
                <w:numId w:val="8"/>
              </w:numPr>
              <w:jc w:val="both"/>
            </w:pPr>
            <w:r>
              <w:t xml:space="preserve">Proposing the plan </w:t>
            </w:r>
          </w:p>
          <w:p w14:paraId="0B95F759" w14:textId="59A6C7A7" w:rsidR="00D14A94" w:rsidRPr="001142A4" w:rsidRDefault="001142A4" w:rsidP="001142A4">
            <w:pPr>
              <w:pStyle w:val="ListParagraph"/>
              <w:numPr>
                <w:ilvl w:val="1"/>
                <w:numId w:val="8"/>
              </w:numPr>
              <w:jc w:val="both"/>
              <w:rPr>
                <w:i/>
                <w:iCs/>
              </w:rPr>
            </w:pPr>
            <w:r>
              <w:rPr>
                <w:i/>
                <w:iCs/>
              </w:rPr>
              <w:t xml:space="preserve">Century Glove v. First American Bank of New York </w:t>
            </w:r>
          </w:p>
          <w:p w14:paraId="003C5BAF" w14:textId="77777777" w:rsidR="00B15832" w:rsidRDefault="00B15832" w:rsidP="00D14A94"/>
          <w:p w14:paraId="17816615" w14:textId="77777777" w:rsidR="002B14E2" w:rsidRDefault="002B14E2" w:rsidP="00D14A94">
            <w:r>
              <w:t xml:space="preserve">Bankruptcy Code (11 U.S.C.):  </w:t>
            </w:r>
          </w:p>
          <w:p w14:paraId="133ED7C5" w14:textId="6404641C" w:rsidR="002B14E2" w:rsidRPr="00E81769" w:rsidRDefault="002B14E2" w:rsidP="00D14A94"/>
        </w:tc>
        <w:tc>
          <w:tcPr>
            <w:tcW w:w="1890" w:type="dxa"/>
            <w:shd w:val="clear" w:color="auto" w:fill="FFFFFF" w:themeFill="background1"/>
          </w:tcPr>
          <w:p w14:paraId="6CE84A26" w14:textId="77777777" w:rsidR="00AD33CD" w:rsidRPr="00E81769" w:rsidRDefault="00D14A94" w:rsidP="00D14A94">
            <w:pPr>
              <w:jc w:val="center"/>
            </w:pPr>
            <w:r>
              <w:t>550-577</w:t>
            </w:r>
          </w:p>
        </w:tc>
      </w:tr>
      <w:tr w:rsidR="00AD33CD" w:rsidRPr="00420406" w14:paraId="739E9B73" w14:textId="77777777" w:rsidTr="00B57107">
        <w:tc>
          <w:tcPr>
            <w:tcW w:w="810" w:type="dxa"/>
            <w:shd w:val="clear" w:color="auto" w:fill="auto"/>
          </w:tcPr>
          <w:p w14:paraId="6D310F17" w14:textId="77777777" w:rsidR="00AD33CD" w:rsidRPr="00E81769" w:rsidRDefault="000277D7" w:rsidP="00B57107">
            <w:pPr>
              <w:jc w:val="center"/>
            </w:pPr>
            <w:r>
              <w:t>20</w:t>
            </w:r>
          </w:p>
        </w:tc>
        <w:tc>
          <w:tcPr>
            <w:tcW w:w="6660" w:type="dxa"/>
            <w:shd w:val="clear" w:color="auto" w:fill="auto"/>
          </w:tcPr>
          <w:p w14:paraId="6E4634F2" w14:textId="77777777" w:rsidR="001142A4" w:rsidRDefault="0083027E" w:rsidP="001142A4">
            <w:pPr>
              <w:pStyle w:val="ListParagraph"/>
              <w:numPr>
                <w:ilvl w:val="0"/>
                <w:numId w:val="8"/>
              </w:numPr>
              <w:jc w:val="both"/>
            </w:pPr>
            <w:r>
              <w:t xml:space="preserve">Proposing the plan </w:t>
            </w:r>
          </w:p>
          <w:p w14:paraId="0E1CDCCB" w14:textId="4E7150C0" w:rsidR="0083027E" w:rsidRDefault="001142A4" w:rsidP="001142A4">
            <w:pPr>
              <w:pStyle w:val="ListParagraph"/>
              <w:numPr>
                <w:ilvl w:val="1"/>
                <w:numId w:val="8"/>
              </w:numPr>
              <w:jc w:val="both"/>
              <w:rPr>
                <w:i/>
                <w:iCs/>
              </w:rPr>
            </w:pPr>
            <w:r>
              <w:rPr>
                <w:i/>
                <w:iCs/>
              </w:rPr>
              <w:t xml:space="preserve">In re </w:t>
            </w:r>
            <w:proofErr w:type="spellStart"/>
            <w:r>
              <w:rPr>
                <w:i/>
                <w:iCs/>
              </w:rPr>
              <w:t>Figter</w:t>
            </w:r>
            <w:proofErr w:type="spellEnd"/>
            <w:r>
              <w:rPr>
                <w:i/>
                <w:iCs/>
              </w:rPr>
              <w:t xml:space="preserve"> Limited </w:t>
            </w:r>
          </w:p>
          <w:p w14:paraId="6C33BBA6" w14:textId="3B043722" w:rsidR="001142A4" w:rsidRDefault="001142A4" w:rsidP="001142A4">
            <w:pPr>
              <w:pStyle w:val="ListParagraph"/>
              <w:numPr>
                <w:ilvl w:val="1"/>
                <w:numId w:val="8"/>
              </w:numPr>
              <w:jc w:val="both"/>
              <w:rPr>
                <w:i/>
                <w:iCs/>
              </w:rPr>
            </w:pPr>
            <w:r>
              <w:rPr>
                <w:i/>
                <w:iCs/>
              </w:rPr>
              <w:t xml:space="preserve">In re U.S. Truck Co. </w:t>
            </w:r>
          </w:p>
          <w:p w14:paraId="2BC3DD88" w14:textId="4FFD9606" w:rsidR="001142A4" w:rsidRPr="001142A4" w:rsidRDefault="001142A4" w:rsidP="001142A4">
            <w:pPr>
              <w:pStyle w:val="ListParagraph"/>
              <w:numPr>
                <w:ilvl w:val="1"/>
                <w:numId w:val="8"/>
              </w:numPr>
              <w:jc w:val="both"/>
              <w:rPr>
                <w:i/>
                <w:iCs/>
              </w:rPr>
            </w:pPr>
            <w:r>
              <w:rPr>
                <w:i/>
                <w:iCs/>
              </w:rPr>
              <w:t xml:space="preserve">Matter of Greystone III Joint Venture </w:t>
            </w:r>
          </w:p>
          <w:p w14:paraId="63CFA75F" w14:textId="77777777" w:rsidR="00911859" w:rsidRDefault="00911859" w:rsidP="00D14A94"/>
          <w:p w14:paraId="41590B09" w14:textId="10093735" w:rsidR="002B14E2" w:rsidRDefault="002B14E2" w:rsidP="00D14A94">
            <w:r>
              <w:t xml:space="preserve">Bankruptcy Code (11 U.S.C.):  </w:t>
            </w:r>
          </w:p>
          <w:p w14:paraId="044F1FE8" w14:textId="3054D416" w:rsidR="002B14E2" w:rsidRPr="00E81769" w:rsidRDefault="002B14E2" w:rsidP="00D14A94"/>
        </w:tc>
        <w:tc>
          <w:tcPr>
            <w:tcW w:w="1890" w:type="dxa"/>
            <w:shd w:val="clear" w:color="auto" w:fill="auto"/>
          </w:tcPr>
          <w:p w14:paraId="6A87B7AF" w14:textId="77777777" w:rsidR="00AD33CD" w:rsidRPr="00E81769" w:rsidRDefault="0083027E" w:rsidP="00B57107">
            <w:pPr>
              <w:jc w:val="center"/>
            </w:pPr>
            <w:r>
              <w:t>577-605</w:t>
            </w:r>
          </w:p>
        </w:tc>
      </w:tr>
      <w:tr w:rsidR="00AD33CD" w:rsidRPr="00420406" w14:paraId="39DD3190" w14:textId="77777777" w:rsidTr="00B57107">
        <w:tc>
          <w:tcPr>
            <w:tcW w:w="810" w:type="dxa"/>
            <w:shd w:val="clear" w:color="auto" w:fill="D9D9D9" w:themeFill="background1" w:themeFillShade="D9"/>
          </w:tcPr>
          <w:p w14:paraId="26BE73AE" w14:textId="77777777" w:rsidR="00AD33CD" w:rsidRPr="00E81769" w:rsidRDefault="000277D7" w:rsidP="00B57107">
            <w:pPr>
              <w:jc w:val="center"/>
            </w:pPr>
            <w:r>
              <w:lastRenderedPageBreak/>
              <w:t>21</w:t>
            </w:r>
          </w:p>
        </w:tc>
        <w:tc>
          <w:tcPr>
            <w:tcW w:w="6660" w:type="dxa"/>
            <w:shd w:val="clear" w:color="auto" w:fill="D9D9D9" w:themeFill="background1" w:themeFillShade="D9"/>
          </w:tcPr>
          <w:p w14:paraId="73689913" w14:textId="1E310B98" w:rsidR="0083027E" w:rsidRDefault="0083027E" w:rsidP="0083027E">
            <w:r>
              <w:t xml:space="preserve">CHAPTER 11:  CONFIRMING A CHAPTER 11 PLAN </w:t>
            </w:r>
          </w:p>
          <w:p w14:paraId="4E71564B" w14:textId="77777777" w:rsidR="001142A4" w:rsidRDefault="0083027E" w:rsidP="001142A4">
            <w:pPr>
              <w:pStyle w:val="ListParagraph"/>
              <w:numPr>
                <w:ilvl w:val="0"/>
                <w:numId w:val="8"/>
              </w:numPr>
              <w:jc w:val="both"/>
            </w:pPr>
            <w:r>
              <w:t xml:space="preserve">Feasibility </w:t>
            </w:r>
          </w:p>
          <w:p w14:paraId="0EC556F5" w14:textId="56B92DAC" w:rsidR="0083027E" w:rsidRPr="001142A4" w:rsidRDefault="001142A4" w:rsidP="001142A4">
            <w:pPr>
              <w:pStyle w:val="ListParagraph"/>
              <w:numPr>
                <w:ilvl w:val="1"/>
                <w:numId w:val="8"/>
              </w:numPr>
              <w:jc w:val="both"/>
              <w:rPr>
                <w:i/>
                <w:iCs/>
              </w:rPr>
            </w:pPr>
            <w:r>
              <w:rPr>
                <w:i/>
                <w:iCs/>
              </w:rPr>
              <w:t xml:space="preserve">In re </w:t>
            </w:r>
            <w:proofErr w:type="spellStart"/>
            <w:r>
              <w:rPr>
                <w:i/>
                <w:iCs/>
              </w:rPr>
              <w:t>Orfa</w:t>
            </w:r>
            <w:proofErr w:type="spellEnd"/>
            <w:r>
              <w:rPr>
                <w:i/>
                <w:iCs/>
              </w:rPr>
              <w:t xml:space="preserve"> Corp. of Philadelphia </w:t>
            </w:r>
          </w:p>
          <w:p w14:paraId="35C7103E" w14:textId="33308648" w:rsidR="001142A4" w:rsidRDefault="001142A4" w:rsidP="001142A4">
            <w:pPr>
              <w:pStyle w:val="ListParagraph"/>
              <w:numPr>
                <w:ilvl w:val="0"/>
                <w:numId w:val="8"/>
              </w:numPr>
              <w:jc w:val="both"/>
            </w:pPr>
            <w:r>
              <w:t>Treatment of priority claims</w:t>
            </w:r>
          </w:p>
          <w:p w14:paraId="1919F953" w14:textId="5AE32875" w:rsidR="001142A4" w:rsidRDefault="0083027E" w:rsidP="001142A4">
            <w:pPr>
              <w:pStyle w:val="ListParagraph"/>
              <w:numPr>
                <w:ilvl w:val="0"/>
                <w:numId w:val="8"/>
              </w:numPr>
              <w:jc w:val="both"/>
            </w:pPr>
            <w:r>
              <w:t xml:space="preserve">Treatment of </w:t>
            </w:r>
            <w:r w:rsidR="001142A4">
              <w:t>secured</w:t>
            </w:r>
            <w:r>
              <w:t xml:space="preserve"> claims </w:t>
            </w:r>
          </w:p>
          <w:p w14:paraId="43A59B98" w14:textId="748FB648" w:rsidR="0083027E" w:rsidRDefault="001142A4" w:rsidP="001142A4">
            <w:pPr>
              <w:pStyle w:val="ListParagraph"/>
              <w:numPr>
                <w:ilvl w:val="1"/>
                <w:numId w:val="8"/>
              </w:numPr>
              <w:jc w:val="both"/>
              <w:rPr>
                <w:i/>
                <w:iCs/>
              </w:rPr>
            </w:pPr>
            <w:r>
              <w:rPr>
                <w:i/>
                <w:iCs/>
              </w:rPr>
              <w:t xml:space="preserve">Till v. SCS Credit Corp. </w:t>
            </w:r>
          </w:p>
          <w:p w14:paraId="4850ED3B" w14:textId="487F7B72" w:rsidR="001142A4" w:rsidRPr="001142A4" w:rsidRDefault="001142A4" w:rsidP="001142A4">
            <w:pPr>
              <w:pStyle w:val="ListParagraph"/>
              <w:numPr>
                <w:ilvl w:val="1"/>
                <w:numId w:val="8"/>
              </w:numPr>
              <w:jc w:val="both"/>
              <w:rPr>
                <w:i/>
                <w:iCs/>
              </w:rPr>
            </w:pPr>
            <w:proofErr w:type="spellStart"/>
            <w:r>
              <w:rPr>
                <w:i/>
                <w:iCs/>
              </w:rPr>
              <w:t>RadLAX</w:t>
            </w:r>
            <w:proofErr w:type="spellEnd"/>
            <w:r>
              <w:rPr>
                <w:i/>
                <w:iCs/>
              </w:rPr>
              <w:t xml:space="preserve"> Gateway Hotel v. Amalgamated Bank </w:t>
            </w:r>
          </w:p>
          <w:p w14:paraId="434EDE99" w14:textId="77777777" w:rsidR="0083027E" w:rsidRDefault="0083027E" w:rsidP="0083027E"/>
          <w:p w14:paraId="43BE7F41" w14:textId="10063544" w:rsidR="0083027E" w:rsidRDefault="00681E37" w:rsidP="0083027E">
            <w:pPr>
              <w:jc w:val="both"/>
            </w:pPr>
            <w:r>
              <w:t>Bankruptcy Code (11 U.S.C.):</w:t>
            </w:r>
            <w:r w:rsidR="0083027E">
              <w:t xml:space="preserve">  § 1129(b)  </w:t>
            </w:r>
          </w:p>
          <w:p w14:paraId="7E24BB20" w14:textId="77777777" w:rsidR="00B15832" w:rsidRPr="00E81769" w:rsidRDefault="00B15832" w:rsidP="0083027E"/>
        </w:tc>
        <w:tc>
          <w:tcPr>
            <w:tcW w:w="1890" w:type="dxa"/>
            <w:shd w:val="clear" w:color="auto" w:fill="D9D9D9" w:themeFill="background1" w:themeFillShade="D9"/>
          </w:tcPr>
          <w:p w14:paraId="622BA4A6" w14:textId="77777777" w:rsidR="006312E7" w:rsidRDefault="0083027E" w:rsidP="006312E7">
            <w:pPr>
              <w:pStyle w:val="ListParagraph"/>
              <w:ind w:left="0"/>
              <w:jc w:val="center"/>
            </w:pPr>
            <w:r>
              <w:t>607-641</w:t>
            </w:r>
          </w:p>
          <w:p w14:paraId="3F584F0B" w14:textId="77777777" w:rsidR="00AD33CD" w:rsidRPr="00E81769" w:rsidRDefault="00AD33CD" w:rsidP="006312E7">
            <w:pPr>
              <w:jc w:val="center"/>
            </w:pPr>
          </w:p>
        </w:tc>
      </w:tr>
      <w:tr w:rsidR="00AD33CD" w:rsidRPr="00420406" w14:paraId="73E56A97" w14:textId="77777777" w:rsidTr="00B57107">
        <w:tc>
          <w:tcPr>
            <w:tcW w:w="810" w:type="dxa"/>
            <w:shd w:val="clear" w:color="auto" w:fill="D9D9D9" w:themeFill="background1" w:themeFillShade="D9"/>
          </w:tcPr>
          <w:p w14:paraId="75C32F9C" w14:textId="77777777" w:rsidR="00AD33CD" w:rsidRPr="00E81769" w:rsidRDefault="000277D7" w:rsidP="00B57107">
            <w:pPr>
              <w:jc w:val="center"/>
            </w:pPr>
            <w:r>
              <w:t>22</w:t>
            </w:r>
          </w:p>
        </w:tc>
        <w:tc>
          <w:tcPr>
            <w:tcW w:w="6660" w:type="dxa"/>
            <w:shd w:val="clear" w:color="auto" w:fill="D9D9D9" w:themeFill="background1" w:themeFillShade="D9"/>
          </w:tcPr>
          <w:p w14:paraId="5793FF8C" w14:textId="77777777" w:rsidR="001142A4" w:rsidRDefault="0083027E" w:rsidP="001142A4">
            <w:pPr>
              <w:pStyle w:val="ListParagraph"/>
              <w:numPr>
                <w:ilvl w:val="0"/>
                <w:numId w:val="8"/>
              </w:numPr>
              <w:jc w:val="both"/>
            </w:pPr>
            <w:r>
              <w:t xml:space="preserve">Treatment of secured claims </w:t>
            </w:r>
          </w:p>
          <w:p w14:paraId="5C066CC1" w14:textId="285179AF" w:rsidR="0083027E" w:rsidRDefault="001142A4" w:rsidP="001142A4">
            <w:pPr>
              <w:pStyle w:val="ListParagraph"/>
              <w:numPr>
                <w:ilvl w:val="1"/>
                <w:numId w:val="8"/>
              </w:numPr>
              <w:jc w:val="both"/>
              <w:rPr>
                <w:i/>
                <w:iCs/>
              </w:rPr>
            </w:pPr>
            <w:r>
              <w:rPr>
                <w:i/>
                <w:iCs/>
              </w:rPr>
              <w:t xml:space="preserve">In re Arnold &amp; Baker Farms </w:t>
            </w:r>
          </w:p>
          <w:p w14:paraId="58B5E798" w14:textId="6C43683A" w:rsidR="001142A4" w:rsidRPr="001142A4" w:rsidRDefault="001142A4" w:rsidP="001142A4">
            <w:pPr>
              <w:pStyle w:val="ListParagraph"/>
              <w:numPr>
                <w:ilvl w:val="1"/>
                <w:numId w:val="8"/>
              </w:numPr>
              <w:jc w:val="both"/>
              <w:rPr>
                <w:i/>
                <w:iCs/>
              </w:rPr>
            </w:pPr>
            <w:r>
              <w:rPr>
                <w:i/>
                <w:iCs/>
              </w:rPr>
              <w:t xml:space="preserve">Great Western Bank v. Sierra Woods Group </w:t>
            </w:r>
          </w:p>
          <w:p w14:paraId="71026663" w14:textId="77777777" w:rsidR="001142A4" w:rsidRDefault="0083027E" w:rsidP="001142A4">
            <w:pPr>
              <w:pStyle w:val="ListParagraph"/>
              <w:numPr>
                <w:ilvl w:val="0"/>
                <w:numId w:val="8"/>
              </w:numPr>
              <w:jc w:val="both"/>
            </w:pPr>
            <w:r>
              <w:t>Treatment of unsecured claims and ownership interests</w:t>
            </w:r>
          </w:p>
          <w:p w14:paraId="7D871654" w14:textId="67452E08" w:rsidR="0083027E" w:rsidRPr="001142A4" w:rsidRDefault="001142A4" w:rsidP="001142A4">
            <w:pPr>
              <w:pStyle w:val="ListParagraph"/>
              <w:numPr>
                <w:ilvl w:val="1"/>
                <w:numId w:val="8"/>
              </w:numPr>
              <w:jc w:val="both"/>
              <w:rPr>
                <w:i/>
                <w:iCs/>
              </w:rPr>
            </w:pPr>
            <w:r>
              <w:rPr>
                <w:i/>
                <w:iCs/>
              </w:rPr>
              <w:t xml:space="preserve">In re DBSD North America  </w:t>
            </w:r>
          </w:p>
          <w:p w14:paraId="42709C23" w14:textId="77777777" w:rsidR="0083027E" w:rsidRDefault="0083027E" w:rsidP="0083027E">
            <w:pPr>
              <w:pStyle w:val="ListParagraph"/>
              <w:ind w:left="360"/>
              <w:jc w:val="both"/>
            </w:pPr>
          </w:p>
          <w:p w14:paraId="7522BBDC" w14:textId="0D5FA5D6" w:rsidR="0083027E" w:rsidRDefault="00681E37" w:rsidP="0083027E">
            <w:pPr>
              <w:jc w:val="both"/>
            </w:pPr>
            <w:r>
              <w:t>Bankruptcy Code (11 U.S.C.):</w:t>
            </w:r>
            <w:r w:rsidR="0083027E">
              <w:t xml:space="preserve">  § 1111(b)  </w:t>
            </w:r>
          </w:p>
          <w:p w14:paraId="508DDC42" w14:textId="77777777" w:rsidR="00911859" w:rsidRPr="00E81769" w:rsidRDefault="00911859" w:rsidP="0083027E">
            <w:pPr>
              <w:jc w:val="both"/>
            </w:pPr>
          </w:p>
        </w:tc>
        <w:tc>
          <w:tcPr>
            <w:tcW w:w="1890" w:type="dxa"/>
            <w:shd w:val="clear" w:color="auto" w:fill="D9D9D9" w:themeFill="background1" w:themeFillShade="D9"/>
          </w:tcPr>
          <w:p w14:paraId="6D47BB32" w14:textId="77777777" w:rsidR="00D47C38" w:rsidRPr="00E81769" w:rsidRDefault="0083027E" w:rsidP="00B57107">
            <w:pPr>
              <w:jc w:val="center"/>
            </w:pPr>
            <w:r>
              <w:t>641-675</w:t>
            </w:r>
          </w:p>
        </w:tc>
      </w:tr>
      <w:tr w:rsidR="00AD33CD" w:rsidRPr="00420406" w14:paraId="59139FF8" w14:textId="77777777" w:rsidTr="00B57107">
        <w:tc>
          <w:tcPr>
            <w:tcW w:w="810" w:type="dxa"/>
            <w:shd w:val="clear" w:color="auto" w:fill="FFFFFF" w:themeFill="background1"/>
          </w:tcPr>
          <w:p w14:paraId="433725C1" w14:textId="77777777" w:rsidR="00AD33CD" w:rsidRPr="00E81769" w:rsidRDefault="000277D7" w:rsidP="00B57107">
            <w:pPr>
              <w:jc w:val="center"/>
            </w:pPr>
            <w:r>
              <w:t>23</w:t>
            </w:r>
          </w:p>
        </w:tc>
        <w:tc>
          <w:tcPr>
            <w:tcW w:w="6660" w:type="dxa"/>
            <w:shd w:val="clear" w:color="auto" w:fill="FFFFFF" w:themeFill="background1"/>
          </w:tcPr>
          <w:p w14:paraId="12EBBDAC" w14:textId="77777777" w:rsidR="009C3F4C" w:rsidRDefault="0083027E" w:rsidP="009C3F4C">
            <w:pPr>
              <w:pStyle w:val="ListParagraph"/>
              <w:numPr>
                <w:ilvl w:val="0"/>
                <w:numId w:val="8"/>
              </w:numPr>
              <w:jc w:val="both"/>
            </w:pPr>
            <w:r>
              <w:t>Treatment of unsecured claims and ownership interests</w:t>
            </w:r>
          </w:p>
          <w:p w14:paraId="35B0438B" w14:textId="79209B99" w:rsidR="0083027E" w:rsidRPr="009C3F4C" w:rsidRDefault="009C3F4C" w:rsidP="009C3F4C">
            <w:pPr>
              <w:pStyle w:val="ListParagraph"/>
              <w:numPr>
                <w:ilvl w:val="1"/>
                <w:numId w:val="8"/>
              </w:numPr>
              <w:jc w:val="both"/>
              <w:rPr>
                <w:i/>
                <w:iCs/>
              </w:rPr>
            </w:pPr>
            <w:r>
              <w:rPr>
                <w:i/>
                <w:iCs/>
              </w:rPr>
              <w:t xml:space="preserve">Bank of America v. 203 North LaSalle Street </w:t>
            </w:r>
            <w:proofErr w:type="spellStart"/>
            <w:r>
              <w:rPr>
                <w:i/>
                <w:iCs/>
              </w:rPr>
              <w:t>P’ship</w:t>
            </w:r>
            <w:proofErr w:type="spellEnd"/>
            <w:r>
              <w:rPr>
                <w:i/>
                <w:iCs/>
              </w:rPr>
              <w:t xml:space="preserve"> </w:t>
            </w:r>
          </w:p>
          <w:p w14:paraId="461BEA96" w14:textId="77777777" w:rsidR="0083027E" w:rsidRDefault="0083027E" w:rsidP="0083027E">
            <w:pPr>
              <w:pStyle w:val="ListParagraph"/>
              <w:numPr>
                <w:ilvl w:val="0"/>
                <w:numId w:val="17"/>
              </w:numPr>
            </w:pPr>
            <w:r>
              <w:t xml:space="preserve">Future of Chapter 11 reorganizations </w:t>
            </w:r>
          </w:p>
          <w:p w14:paraId="38035416" w14:textId="77777777" w:rsidR="0083027E" w:rsidRDefault="0083027E" w:rsidP="0083027E">
            <w:pPr>
              <w:pStyle w:val="ListParagraph"/>
              <w:numPr>
                <w:ilvl w:val="0"/>
                <w:numId w:val="17"/>
              </w:numPr>
            </w:pPr>
            <w:r>
              <w:t xml:space="preserve">Effect of confirmation of plan </w:t>
            </w:r>
          </w:p>
          <w:p w14:paraId="72BD906E" w14:textId="77777777" w:rsidR="00AD33CD" w:rsidRDefault="0083027E" w:rsidP="0083027E">
            <w:pPr>
              <w:pStyle w:val="ListParagraph"/>
              <w:numPr>
                <w:ilvl w:val="0"/>
                <w:numId w:val="17"/>
              </w:numPr>
            </w:pPr>
            <w:r>
              <w:t>Modification of plan</w:t>
            </w:r>
          </w:p>
          <w:p w14:paraId="7B51DC78" w14:textId="77777777" w:rsidR="0083027E" w:rsidRDefault="0083027E" w:rsidP="002B14E2"/>
          <w:p w14:paraId="76F2BCBF" w14:textId="593FF09C" w:rsidR="002B14E2" w:rsidRDefault="002B14E2" w:rsidP="002B14E2">
            <w:r>
              <w:t xml:space="preserve">Bankruptcy Code (11 U.S.C.):  </w:t>
            </w:r>
          </w:p>
          <w:p w14:paraId="6D5AADE4" w14:textId="0E83F24A" w:rsidR="002B14E2" w:rsidRPr="00E81769" w:rsidRDefault="002B14E2" w:rsidP="002B14E2"/>
        </w:tc>
        <w:tc>
          <w:tcPr>
            <w:tcW w:w="1890" w:type="dxa"/>
            <w:shd w:val="clear" w:color="auto" w:fill="FFFFFF" w:themeFill="background1"/>
          </w:tcPr>
          <w:p w14:paraId="4ACDED40" w14:textId="77777777" w:rsidR="00AD33CD" w:rsidRPr="00E81769" w:rsidRDefault="0083027E" w:rsidP="00B57107">
            <w:pPr>
              <w:jc w:val="center"/>
            </w:pPr>
            <w:r>
              <w:t>675-703</w:t>
            </w:r>
          </w:p>
        </w:tc>
      </w:tr>
      <w:tr w:rsidR="00AD33CD" w:rsidRPr="00420406" w14:paraId="65F8EC1D" w14:textId="77777777" w:rsidTr="00B57107">
        <w:tc>
          <w:tcPr>
            <w:tcW w:w="810" w:type="dxa"/>
            <w:shd w:val="clear" w:color="auto" w:fill="FFFFFF" w:themeFill="background1"/>
          </w:tcPr>
          <w:p w14:paraId="60ECC043" w14:textId="77777777" w:rsidR="00AD33CD" w:rsidRPr="00E81769" w:rsidRDefault="000277D7" w:rsidP="00B57107">
            <w:pPr>
              <w:jc w:val="center"/>
            </w:pPr>
            <w:r>
              <w:t>24</w:t>
            </w:r>
          </w:p>
        </w:tc>
        <w:tc>
          <w:tcPr>
            <w:tcW w:w="6660" w:type="dxa"/>
            <w:shd w:val="clear" w:color="auto" w:fill="FFFFFF" w:themeFill="background1"/>
          </w:tcPr>
          <w:p w14:paraId="7598BC01" w14:textId="77777777" w:rsidR="0083027E" w:rsidRDefault="006312E7" w:rsidP="0083027E">
            <w:r>
              <w:t xml:space="preserve"> </w:t>
            </w:r>
            <w:r w:rsidR="0083027E">
              <w:t xml:space="preserve">CHAPTER 12:  SALE ALTERNATIVE UNDER SECTION 363 </w:t>
            </w:r>
          </w:p>
          <w:p w14:paraId="7F716141" w14:textId="77777777" w:rsidR="0083027E" w:rsidRDefault="0083027E" w:rsidP="0083027E">
            <w:pPr>
              <w:pStyle w:val="ListParagraph"/>
              <w:numPr>
                <w:ilvl w:val="0"/>
                <w:numId w:val="18"/>
              </w:numPr>
            </w:pPr>
            <w:r>
              <w:t xml:space="preserve">Sale or lease of property in ordinary course </w:t>
            </w:r>
          </w:p>
          <w:p w14:paraId="72FE2F72" w14:textId="77777777" w:rsidR="009C3F4C" w:rsidRDefault="0083027E" w:rsidP="009C3F4C">
            <w:pPr>
              <w:pStyle w:val="ListParagraph"/>
              <w:numPr>
                <w:ilvl w:val="0"/>
                <w:numId w:val="8"/>
              </w:numPr>
              <w:jc w:val="both"/>
            </w:pPr>
            <w:r>
              <w:t xml:space="preserve">Going concern sales under section 363 </w:t>
            </w:r>
          </w:p>
          <w:p w14:paraId="3BACF439" w14:textId="71A63334" w:rsidR="0083027E" w:rsidRPr="009C3F4C" w:rsidRDefault="009C3F4C" w:rsidP="009C3F4C">
            <w:pPr>
              <w:pStyle w:val="ListParagraph"/>
              <w:numPr>
                <w:ilvl w:val="1"/>
                <w:numId w:val="8"/>
              </w:numPr>
              <w:jc w:val="both"/>
              <w:rPr>
                <w:i/>
                <w:iCs/>
              </w:rPr>
            </w:pPr>
            <w:r>
              <w:rPr>
                <w:i/>
                <w:iCs/>
              </w:rPr>
              <w:t xml:space="preserve">In re Chrysler LLC </w:t>
            </w:r>
          </w:p>
          <w:p w14:paraId="100750E6" w14:textId="77777777" w:rsidR="009C3F4C" w:rsidRDefault="0083027E" w:rsidP="009C3F4C">
            <w:pPr>
              <w:pStyle w:val="ListParagraph"/>
              <w:numPr>
                <w:ilvl w:val="0"/>
                <w:numId w:val="8"/>
              </w:numPr>
              <w:jc w:val="both"/>
            </w:pPr>
            <w:r>
              <w:t xml:space="preserve">Selling free and clear under section 363(f) </w:t>
            </w:r>
          </w:p>
          <w:p w14:paraId="7522010D" w14:textId="0E3A64B7" w:rsidR="0083027E" w:rsidRPr="009C3F4C" w:rsidRDefault="009C3F4C" w:rsidP="009C3F4C">
            <w:pPr>
              <w:pStyle w:val="ListParagraph"/>
              <w:numPr>
                <w:ilvl w:val="1"/>
                <w:numId w:val="8"/>
              </w:numPr>
              <w:jc w:val="both"/>
              <w:rPr>
                <w:i/>
                <w:iCs/>
              </w:rPr>
            </w:pPr>
            <w:r>
              <w:rPr>
                <w:i/>
                <w:iCs/>
              </w:rPr>
              <w:t xml:space="preserve">In re PW </w:t>
            </w:r>
          </w:p>
          <w:p w14:paraId="348F4177" w14:textId="77777777" w:rsidR="0083027E" w:rsidRDefault="0083027E" w:rsidP="0083027E"/>
          <w:p w14:paraId="76CF41E0" w14:textId="55C5A7EE" w:rsidR="006312E7" w:rsidRDefault="00681E37" w:rsidP="0083027E">
            <w:pPr>
              <w:jc w:val="both"/>
            </w:pPr>
            <w:r>
              <w:t>Bankruptcy Code (11 U.S.C.):</w:t>
            </w:r>
            <w:r w:rsidR="0083027E">
              <w:t xml:space="preserve">  § 363</w:t>
            </w:r>
          </w:p>
          <w:p w14:paraId="081F31CE" w14:textId="77777777" w:rsidR="00AC117F" w:rsidRPr="00E81769" w:rsidRDefault="00AC117F" w:rsidP="006312E7"/>
        </w:tc>
        <w:tc>
          <w:tcPr>
            <w:tcW w:w="1890" w:type="dxa"/>
            <w:shd w:val="clear" w:color="auto" w:fill="FFFFFF" w:themeFill="background1"/>
          </w:tcPr>
          <w:p w14:paraId="2FC65007" w14:textId="77777777" w:rsidR="00AD33CD" w:rsidRPr="00E81769" w:rsidRDefault="0083027E" w:rsidP="00B57107">
            <w:pPr>
              <w:jc w:val="center"/>
            </w:pPr>
            <w:r>
              <w:t>705-735</w:t>
            </w:r>
          </w:p>
        </w:tc>
      </w:tr>
      <w:tr w:rsidR="00AD33CD" w:rsidRPr="00420406" w14:paraId="464D672F" w14:textId="77777777" w:rsidTr="00B57107">
        <w:tc>
          <w:tcPr>
            <w:tcW w:w="810" w:type="dxa"/>
            <w:shd w:val="clear" w:color="auto" w:fill="D9D9D9" w:themeFill="background1" w:themeFillShade="D9"/>
          </w:tcPr>
          <w:p w14:paraId="198710FE" w14:textId="77777777" w:rsidR="00AD33CD" w:rsidRPr="00E81769" w:rsidRDefault="000277D7" w:rsidP="00B57107">
            <w:pPr>
              <w:jc w:val="center"/>
            </w:pPr>
            <w:r>
              <w:t>25</w:t>
            </w:r>
          </w:p>
        </w:tc>
        <w:tc>
          <w:tcPr>
            <w:tcW w:w="6660" w:type="dxa"/>
            <w:shd w:val="clear" w:color="auto" w:fill="D9D9D9" w:themeFill="background1" w:themeFillShade="D9"/>
          </w:tcPr>
          <w:p w14:paraId="713683D7" w14:textId="77777777" w:rsidR="009C3F4C" w:rsidRDefault="0083027E" w:rsidP="009C3F4C">
            <w:pPr>
              <w:pStyle w:val="ListParagraph"/>
              <w:numPr>
                <w:ilvl w:val="0"/>
                <w:numId w:val="8"/>
              </w:numPr>
              <w:jc w:val="both"/>
            </w:pPr>
            <w:r>
              <w:t xml:space="preserve">Selling free and clear under section 363(f) </w:t>
            </w:r>
          </w:p>
          <w:p w14:paraId="6DA3AECC" w14:textId="0CE5A0F4" w:rsidR="0083027E" w:rsidRPr="009C3F4C" w:rsidRDefault="009C3F4C" w:rsidP="009C3F4C">
            <w:pPr>
              <w:pStyle w:val="ListParagraph"/>
              <w:numPr>
                <w:ilvl w:val="1"/>
                <w:numId w:val="8"/>
              </w:numPr>
              <w:jc w:val="both"/>
              <w:rPr>
                <w:i/>
                <w:iCs/>
              </w:rPr>
            </w:pPr>
            <w:r>
              <w:rPr>
                <w:i/>
                <w:iCs/>
              </w:rPr>
              <w:t xml:space="preserve">In re Trans World Airlines  </w:t>
            </w:r>
          </w:p>
          <w:p w14:paraId="3B75AFBC" w14:textId="77777777" w:rsidR="0083027E" w:rsidRDefault="0083027E" w:rsidP="0083027E">
            <w:pPr>
              <w:pStyle w:val="ListParagraph"/>
              <w:numPr>
                <w:ilvl w:val="0"/>
                <w:numId w:val="18"/>
              </w:numPr>
            </w:pPr>
            <w:r>
              <w:t xml:space="preserve">Break-up fees and bidding procedures </w:t>
            </w:r>
          </w:p>
          <w:p w14:paraId="2CE3A13B" w14:textId="77777777" w:rsidR="00AC117F" w:rsidRDefault="0083027E" w:rsidP="0083027E">
            <w:pPr>
              <w:pStyle w:val="ListParagraph"/>
              <w:numPr>
                <w:ilvl w:val="0"/>
                <w:numId w:val="18"/>
              </w:numPr>
            </w:pPr>
            <w:r>
              <w:t>Critiquing the sale alternative</w:t>
            </w:r>
          </w:p>
          <w:p w14:paraId="7BA5DBF2" w14:textId="77777777" w:rsidR="0083027E" w:rsidRDefault="0083027E" w:rsidP="002B14E2"/>
          <w:p w14:paraId="393354DB" w14:textId="014B2523" w:rsidR="002B14E2" w:rsidRDefault="002B14E2" w:rsidP="002B14E2">
            <w:r>
              <w:t xml:space="preserve">Bankruptcy Code (11 U.S.C.):  </w:t>
            </w:r>
          </w:p>
          <w:p w14:paraId="33AD176C" w14:textId="24F3D4B1" w:rsidR="002B14E2" w:rsidRPr="00E81769" w:rsidRDefault="002B14E2" w:rsidP="002B14E2"/>
        </w:tc>
        <w:tc>
          <w:tcPr>
            <w:tcW w:w="1890" w:type="dxa"/>
            <w:shd w:val="clear" w:color="auto" w:fill="D9D9D9" w:themeFill="background1" w:themeFillShade="D9"/>
          </w:tcPr>
          <w:p w14:paraId="12684C8D" w14:textId="77777777" w:rsidR="00AD33CD" w:rsidRPr="00E81769" w:rsidRDefault="0083027E" w:rsidP="00B57107">
            <w:pPr>
              <w:jc w:val="center"/>
            </w:pPr>
            <w:r>
              <w:t>735-750</w:t>
            </w:r>
          </w:p>
        </w:tc>
      </w:tr>
      <w:tr w:rsidR="00AD33CD" w:rsidRPr="00420406" w14:paraId="73BF8D99" w14:textId="77777777" w:rsidTr="00B57107">
        <w:tc>
          <w:tcPr>
            <w:tcW w:w="810" w:type="dxa"/>
            <w:shd w:val="clear" w:color="auto" w:fill="D9D9D9" w:themeFill="background1" w:themeFillShade="D9"/>
          </w:tcPr>
          <w:p w14:paraId="227C4520" w14:textId="77777777" w:rsidR="00AD33CD" w:rsidRPr="00E81769" w:rsidRDefault="000277D7" w:rsidP="00B57107">
            <w:pPr>
              <w:jc w:val="center"/>
            </w:pPr>
            <w:r>
              <w:t>26</w:t>
            </w:r>
          </w:p>
        </w:tc>
        <w:tc>
          <w:tcPr>
            <w:tcW w:w="6660" w:type="dxa"/>
            <w:shd w:val="clear" w:color="auto" w:fill="D9D9D9" w:themeFill="background1" w:themeFillShade="D9"/>
          </w:tcPr>
          <w:p w14:paraId="1474A84E" w14:textId="77777777" w:rsidR="006312E7" w:rsidRDefault="0083027E" w:rsidP="0083027E">
            <w:r>
              <w:t>OPEN CLASS</w:t>
            </w:r>
          </w:p>
          <w:p w14:paraId="5A697D58" w14:textId="77777777" w:rsidR="00AC117F" w:rsidRPr="00E81769" w:rsidRDefault="00AC117F" w:rsidP="006312E7">
            <w:pPr>
              <w:jc w:val="both"/>
            </w:pPr>
          </w:p>
        </w:tc>
        <w:tc>
          <w:tcPr>
            <w:tcW w:w="1890" w:type="dxa"/>
            <w:shd w:val="clear" w:color="auto" w:fill="D9D9D9" w:themeFill="background1" w:themeFillShade="D9"/>
          </w:tcPr>
          <w:p w14:paraId="1BFA7DFA" w14:textId="77777777" w:rsidR="00AD33CD" w:rsidRPr="00E81769" w:rsidRDefault="00AD33CD" w:rsidP="00B57107">
            <w:pPr>
              <w:jc w:val="center"/>
            </w:pPr>
          </w:p>
        </w:tc>
      </w:tr>
      <w:tr w:rsidR="00AD33CD" w:rsidRPr="00200420" w14:paraId="27C7E5E2" w14:textId="77777777" w:rsidTr="00B57107">
        <w:tc>
          <w:tcPr>
            <w:tcW w:w="810" w:type="dxa"/>
            <w:shd w:val="clear" w:color="auto" w:fill="FFFFFF" w:themeFill="background1"/>
          </w:tcPr>
          <w:p w14:paraId="16A8261D" w14:textId="77777777" w:rsidR="00AD33CD" w:rsidRPr="00E81769" w:rsidRDefault="00AD33CD" w:rsidP="00B57107">
            <w:pPr>
              <w:jc w:val="center"/>
            </w:pPr>
          </w:p>
        </w:tc>
        <w:tc>
          <w:tcPr>
            <w:tcW w:w="6660" w:type="dxa"/>
            <w:shd w:val="clear" w:color="auto" w:fill="FFFFFF" w:themeFill="background1"/>
          </w:tcPr>
          <w:p w14:paraId="4BCAE001" w14:textId="77777777" w:rsidR="00AD33CD" w:rsidRDefault="000277D7" w:rsidP="0080015B">
            <w:pPr>
              <w:pStyle w:val="ListParagraph"/>
              <w:ind w:left="9"/>
              <w:jc w:val="both"/>
            </w:pPr>
            <w:r>
              <w:rPr>
                <w:b/>
                <w:sz w:val="32"/>
              </w:rPr>
              <w:t>FINAL EXAM</w:t>
            </w:r>
          </w:p>
          <w:p w14:paraId="41006C6A" w14:textId="77777777" w:rsidR="0080015B" w:rsidRPr="00E81769" w:rsidRDefault="0080015B" w:rsidP="0080015B">
            <w:pPr>
              <w:pStyle w:val="ListParagraph"/>
              <w:ind w:left="9"/>
              <w:jc w:val="both"/>
            </w:pPr>
          </w:p>
        </w:tc>
        <w:tc>
          <w:tcPr>
            <w:tcW w:w="1890" w:type="dxa"/>
            <w:shd w:val="clear" w:color="auto" w:fill="FFFFFF" w:themeFill="background1"/>
          </w:tcPr>
          <w:p w14:paraId="484C077B" w14:textId="77777777" w:rsidR="00AD33CD" w:rsidRPr="00E81769" w:rsidRDefault="00AD33CD" w:rsidP="00B57107">
            <w:pPr>
              <w:jc w:val="center"/>
            </w:pPr>
          </w:p>
        </w:tc>
      </w:tr>
    </w:tbl>
    <w:p w14:paraId="3ACACDAB" w14:textId="77777777" w:rsidR="00AD33CD" w:rsidRPr="00200420" w:rsidRDefault="00AD33CD" w:rsidP="00AD33CD"/>
    <w:p w14:paraId="1140E64D" w14:textId="77777777" w:rsidR="005F4375" w:rsidRPr="005F4375" w:rsidRDefault="005F4375" w:rsidP="005F4375">
      <w:pPr>
        <w:rPr>
          <w:i/>
        </w:rPr>
      </w:pPr>
    </w:p>
    <w:sectPr w:rsidR="005F4375" w:rsidRPr="005F4375" w:rsidSect="00930A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96672"/>
    <w:multiLevelType w:val="hybridMultilevel"/>
    <w:tmpl w:val="FA880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C06A4"/>
    <w:multiLevelType w:val="hybridMultilevel"/>
    <w:tmpl w:val="02142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335096"/>
    <w:multiLevelType w:val="hybridMultilevel"/>
    <w:tmpl w:val="CF98B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CE1B89"/>
    <w:multiLevelType w:val="hybridMultilevel"/>
    <w:tmpl w:val="206C2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E84F71"/>
    <w:multiLevelType w:val="hybridMultilevel"/>
    <w:tmpl w:val="40D6C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5D49CB"/>
    <w:multiLevelType w:val="hybridMultilevel"/>
    <w:tmpl w:val="6F207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573438"/>
    <w:multiLevelType w:val="hybridMultilevel"/>
    <w:tmpl w:val="1D6C0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192872"/>
    <w:multiLevelType w:val="hybridMultilevel"/>
    <w:tmpl w:val="C930D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7E50E7"/>
    <w:multiLevelType w:val="hybridMultilevel"/>
    <w:tmpl w:val="EE027E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236927"/>
    <w:multiLevelType w:val="hybridMultilevel"/>
    <w:tmpl w:val="B8C88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506D2B"/>
    <w:multiLevelType w:val="hybridMultilevel"/>
    <w:tmpl w:val="7E065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C0339A"/>
    <w:multiLevelType w:val="hybridMultilevel"/>
    <w:tmpl w:val="A5B83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8262DE"/>
    <w:multiLevelType w:val="hybridMultilevel"/>
    <w:tmpl w:val="8974B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F21DB"/>
    <w:multiLevelType w:val="hybridMultilevel"/>
    <w:tmpl w:val="A7A84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D54D1E"/>
    <w:multiLevelType w:val="hybridMultilevel"/>
    <w:tmpl w:val="9ED85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22510A"/>
    <w:multiLevelType w:val="hybridMultilevel"/>
    <w:tmpl w:val="DE0A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314BEA"/>
    <w:multiLevelType w:val="multilevel"/>
    <w:tmpl w:val="15CA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6536D8"/>
    <w:multiLevelType w:val="hybridMultilevel"/>
    <w:tmpl w:val="5DEED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5D5FC9"/>
    <w:multiLevelType w:val="hybridMultilevel"/>
    <w:tmpl w:val="E6DC2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C67E19"/>
    <w:multiLevelType w:val="hybridMultilevel"/>
    <w:tmpl w:val="CC8A5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045EE8"/>
    <w:multiLevelType w:val="hybridMultilevel"/>
    <w:tmpl w:val="40FEB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2"/>
  </w:num>
  <w:num w:numId="3">
    <w:abstractNumId w:val="4"/>
  </w:num>
  <w:num w:numId="4">
    <w:abstractNumId w:val="3"/>
  </w:num>
  <w:num w:numId="5">
    <w:abstractNumId w:val="9"/>
  </w:num>
  <w:num w:numId="6">
    <w:abstractNumId w:val="20"/>
  </w:num>
  <w:num w:numId="7">
    <w:abstractNumId w:val="6"/>
  </w:num>
  <w:num w:numId="8">
    <w:abstractNumId w:val="10"/>
  </w:num>
  <w:num w:numId="9">
    <w:abstractNumId w:val="19"/>
  </w:num>
  <w:num w:numId="10">
    <w:abstractNumId w:val="15"/>
  </w:num>
  <w:num w:numId="11">
    <w:abstractNumId w:val="13"/>
  </w:num>
  <w:num w:numId="12">
    <w:abstractNumId w:val="17"/>
  </w:num>
  <w:num w:numId="13">
    <w:abstractNumId w:val="11"/>
  </w:num>
  <w:num w:numId="14">
    <w:abstractNumId w:val="2"/>
  </w:num>
  <w:num w:numId="15">
    <w:abstractNumId w:val="7"/>
  </w:num>
  <w:num w:numId="16">
    <w:abstractNumId w:val="16"/>
  </w:num>
  <w:num w:numId="17">
    <w:abstractNumId w:val="1"/>
  </w:num>
  <w:num w:numId="18">
    <w:abstractNumId w:val="5"/>
  </w:num>
  <w:num w:numId="19">
    <w:abstractNumId w:val="22"/>
  </w:num>
  <w:num w:numId="20">
    <w:abstractNumId w:val="8"/>
  </w:num>
  <w:num w:numId="21">
    <w:abstractNumId w:val="21"/>
  </w:num>
  <w:num w:numId="22">
    <w:abstractNumId w:val="18"/>
  </w:num>
  <w:num w:numId="23">
    <w:abstractNumId w:val="14"/>
  </w:num>
  <w:num w:numId="2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E7"/>
    <w:rsid w:val="0000616B"/>
    <w:rsid w:val="00013A9A"/>
    <w:rsid w:val="0002227F"/>
    <w:rsid w:val="000277D7"/>
    <w:rsid w:val="000330D3"/>
    <w:rsid w:val="00035A2A"/>
    <w:rsid w:val="00045725"/>
    <w:rsid w:val="00052E7F"/>
    <w:rsid w:val="000564C3"/>
    <w:rsid w:val="00061D88"/>
    <w:rsid w:val="0007750B"/>
    <w:rsid w:val="00080C5D"/>
    <w:rsid w:val="000834A6"/>
    <w:rsid w:val="00084204"/>
    <w:rsid w:val="00091156"/>
    <w:rsid w:val="00091FE7"/>
    <w:rsid w:val="00093019"/>
    <w:rsid w:val="000A1E8B"/>
    <w:rsid w:val="000B00E2"/>
    <w:rsid w:val="000B3501"/>
    <w:rsid w:val="000C6935"/>
    <w:rsid w:val="000C7D17"/>
    <w:rsid w:val="000D0756"/>
    <w:rsid w:val="000D1002"/>
    <w:rsid w:val="000D3557"/>
    <w:rsid w:val="000D402B"/>
    <w:rsid w:val="000E2502"/>
    <w:rsid w:val="000E4E45"/>
    <w:rsid w:val="000F0767"/>
    <w:rsid w:val="00101C65"/>
    <w:rsid w:val="001142A4"/>
    <w:rsid w:val="001156A9"/>
    <w:rsid w:val="00120C66"/>
    <w:rsid w:val="001260ED"/>
    <w:rsid w:val="001261D0"/>
    <w:rsid w:val="00126A4C"/>
    <w:rsid w:val="001361E7"/>
    <w:rsid w:val="001362BB"/>
    <w:rsid w:val="00137AD5"/>
    <w:rsid w:val="00144788"/>
    <w:rsid w:val="00153DA6"/>
    <w:rsid w:val="00171036"/>
    <w:rsid w:val="001732D0"/>
    <w:rsid w:val="001733F5"/>
    <w:rsid w:val="001753D5"/>
    <w:rsid w:val="001838F3"/>
    <w:rsid w:val="001869BF"/>
    <w:rsid w:val="0018757B"/>
    <w:rsid w:val="00195D7B"/>
    <w:rsid w:val="001A2D11"/>
    <w:rsid w:val="001A41C8"/>
    <w:rsid w:val="001A6B78"/>
    <w:rsid w:val="001B7BED"/>
    <w:rsid w:val="001C244A"/>
    <w:rsid w:val="001E7403"/>
    <w:rsid w:val="001E7C51"/>
    <w:rsid w:val="002003A3"/>
    <w:rsid w:val="00200420"/>
    <w:rsid w:val="00201147"/>
    <w:rsid w:val="002025F9"/>
    <w:rsid w:val="00220B91"/>
    <w:rsid w:val="00225031"/>
    <w:rsid w:val="002301F2"/>
    <w:rsid w:val="002347C4"/>
    <w:rsid w:val="002416C9"/>
    <w:rsid w:val="002430C3"/>
    <w:rsid w:val="00245425"/>
    <w:rsid w:val="00252706"/>
    <w:rsid w:val="0026339F"/>
    <w:rsid w:val="002709F6"/>
    <w:rsid w:val="00281625"/>
    <w:rsid w:val="0029181D"/>
    <w:rsid w:val="002967FE"/>
    <w:rsid w:val="002B14E2"/>
    <w:rsid w:val="002B7B27"/>
    <w:rsid w:val="002C4DE6"/>
    <w:rsid w:val="002D14A9"/>
    <w:rsid w:val="002D2666"/>
    <w:rsid w:val="002D2844"/>
    <w:rsid w:val="002D495B"/>
    <w:rsid w:val="002D5D65"/>
    <w:rsid w:val="002D6951"/>
    <w:rsid w:val="002E0053"/>
    <w:rsid w:val="002E128E"/>
    <w:rsid w:val="002F0803"/>
    <w:rsid w:val="002F3457"/>
    <w:rsid w:val="00301C56"/>
    <w:rsid w:val="003051E0"/>
    <w:rsid w:val="00305D29"/>
    <w:rsid w:val="00310CC4"/>
    <w:rsid w:val="0031131E"/>
    <w:rsid w:val="0031281A"/>
    <w:rsid w:val="00316B55"/>
    <w:rsid w:val="00317AE6"/>
    <w:rsid w:val="003356B4"/>
    <w:rsid w:val="003422ED"/>
    <w:rsid w:val="003542BC"/>
    <w:rsid w:val="0035433A"/>
    <w:rsid w:val="00354D51"/>
    <w:rsid w:val="00360723"/>
    <w:rsid w:val="00365165"/>
    <w:rsid w:val="00381930"/>
    <w:rsid w:val="00386C90"/>
    <w:rsid w:val="0039081C"/>
    <w:rsid w:val="0039279E"/>
    <w:rsid w:val="003971C7"/>
    <w:rsid w:val="003E2986"/>
    <w:rsid w:val="003E3205"/>
    <w:rsid w:val="003E5957"/>
    <w:rsid w:val="003F1CD4"/>
    <w:rsid w:val="004016E5"/>
    <w:rsid w:val="00401A87"/>
    <w:rsid w:val="00403430"/>
    <w:rsid w:val="00404778"/>
    <w:rsid w:val="00417B6C"/>
    <w:rsid w:val="00420F19"/>
    <w:rsid w:val="00423960"/>
    <w:rsid w:val="00423BF0"/>
    <w:rsid w:val="004300A5"/>
    <w:rsid w:val="004301E1"/>
    <w:rsid w:val="0043226E"/>
    <w:rsid w:val="00435D89"/>
    <w:rsid w:val="00441A68"/>
    <w:rsid w:val="00443556"/>
    <w:rsid w:val="004466FB"/>
    <w:rsid w:val="0045362F"/>
    <w:rsid w:val="004554F5"/>
    <w:rsid w:val="004562D3"/>
    <w:rsid w:val="004747EE"/>
    <w:rsid w:val="0048487B"/>
    <w:rsid w:val="00486840"/>
    <w:rsid w:val="00486C35"/>
    <w:rsid w:val="004A37DE"/>
    <w:rsid w:val="004B24C1"/>
    <w:rsid w:val="004B5C37"/>
    <w:rsid w:val="004D360D"/>
    <w:rsid w:val="004E3745"/>
    <w:rsid w:val="005048D5"/>
    <w:rsid w:val="00506575"/>
    <w:rsid w:val="00512450"/>
    <w:rsid w:val="0051265E"/>
    <w:rsid w:val="00514426"/>
    <w:rsid w:val="00517ABF"/>
    <w:rsid w:val="00517ADB"/>
    <w:rsid w:val="0052773E"/>
    <w:rsid w:val="00527FAC"/>
    <w:rsid w:val="005302A1"/>
    <w:rsid w:val="00535858"/>
    <w:rsid w:val="005379BC"/>
    <w:rsid w:val="00541A33"/>
    <w:rsid w:val="005571E7"/>
    <w:rsid w:val="0056188F"/>
    <w:rsid w:val="00576215"/>
    <w:rsid w:val="00583F99"/>
    <w:rsid w:val="005848E7"/>
    <w:rsid w:val="00591D9E"/>
    <w:rsid w:val="00594A8C"/>
    <w:rsid w:val="00595077"/>
    <w:rsid w:val="00595258"/>
    <w:rsid w:val="005A1552"/>
    <w:rsid w:val="005A1ABD"/>
    <w:rsid w:val="005A28D6"/>
    <w:rsid w:val="005B0D26"/>
    <w:rsid w:val="005B1F82"/>
    <w:rsid w:val="005B2893"/>
    <w:rsid w:val="005B3191"/>
    <w:rsid w:val="005C14CC"/>
    <w:rsid w:val="005D01BE"/>
    <w:rsid w:val="005D111E"/>
    <w:rsid w:val="005D4119"/>
    <w:rsid w:val="005E69F1"/>
    <w:rsid w:val="005F1D8D"/>
    <w:rsid w:val="005F1DC5"/>
    <w:rsid w:val="005F4375"/>
    <w:rsid w:val="00610C4A"/>
    <w:rsid w:val="00625D10"/>
    <w:rsid w:val="00626746"/>
    <w:rsid w:val="006312E7"/>
    <w:rsid w:val="00641503"/>
    <w:rsid w:val="00642696"/>
    <w:rsid w:val="00645F95"/>
    <w:rsid w:val="00655535"/>
    <w:rsid w:val="0065739A"/>
    <w:rsid w:val="00660D57"/>
    <w:rsid w:val="0066201B"/>
    <w:rsid w:val="006625A2"/>
    <w:rsid w:val="00667C00"/>
    <w:rsid w:val="00670E2E"/>
    <w:rsid w:val="0067297B"/>
    <w:rsid w:val="00681E37"/>
    <w:rsid w:val="006946BB"/>
    <w:rsid w:val="006A3BFD"/>
    <w:rsid w:val="006A5EE1"/>
    <w:rsid w:val="006B204F"/>
    <w:rsid w:val="006B2D85"/>
    <w:rsid w:val="006B5B38"/>
    <w:rsid w:val="006C69BB"/>
    <w:rsid w:val="006D09CC"/>
    <w:rsid w:val="006D32B0"/>
    <w:rsid w:val="006D5B85"/>
    <w:rsid w:val="006E16E2"/>
    <w:rsid w:val="006F3B92"/>
    <w:rsid w:val="006F5D3D"/>
    <w:rsid w:val="00701F14"/>
    <w:rsid w:val="00702CFB"/>
    <w:rsid w:val="00713EC3"/>
    <w:rsid w:val="00723D80"/>
    <w:rsid w:val="007241D0"/>
    <w:rsid w:val="007549A0"/>
    <w:rsid w:val="00757C6D"/>
    <w:rsid w:val="007652A1"/>
    <w:rsid w:val="0076530A"/>
    <w:rsid w:val="0076530F"/>
    <w:rsid w:val="00771173"/>
    <w:rsid w:val="00771E16"/>
    <w:rsid w:val="007857CD"/>
    <w:rsid w:val="00786814"/>
    <w:rsid w:val="0078716A"/>
    <w:rsid w:val="007A0615"/>
    <w:rsid w:val="007A565E"/>
    <w:rsid w:val="007C4137"/>
    <w:rsid w:val="007C5947"/>
    <w:rsid w:val="007D0875"/>
    <w:rsid w:val="007D43ED"/>
    <w:rsid w:val="007E1407"/>
    <w:rsid w:val="007E5E28"/>
    <w:rsid w:val="007E6BA2"/>
    <w:rsid w:val="007F3481"/>
    <w:rsid w:val="0080015B"/>
    <w:rsid w:val="00802836"/>
    <w:rsid w:val="0083027E"/>
    <w:rsid w:val="008428F7"/>
    <w:rsid w:val="008707BC"/>
    <w:rsid w:val="00871688"/>
    <w:rsid w:val="00872C09"/>
    <w:rsid w:val="00877A58"/>
    <w:rsid w:val="008839EF"/>
    <w:rsid w:val="008B60C9"/>
    <w:rsid w:val="008C137C"/>
    <w:rsid w:val="008C33EF"/>
    <w:rsid w:val="008C54A2"/>
    <w:rsid w:val="008C7F69"/>
    <w:rsid w:val="008D4815"/>
    <w:rsid w:val="008D7647"/>
    <w:rsid w:val="008E2A0A"/>
    <w:rsid w:val="008F0309"/>
    <w:rsid w:val="008F148A"/>
    <w:rsid w:val="00903288"/>
    <w:rsid w:val="00906F45"/>
    <w:rsid w:val="00911859"/>
    <w:rsid w:val="00922676"/>
    <w:rsid w:val="0093203E"/>
    <w:rsid w:val="00932611"/>
    <w:rsid w:val="00933A3E"/>
    <w:rsid w:val="0093588A"/>
    <w:rsid w:val="00940D07"/>
    <w:rsid w:val="00943F07"/>
    <w:rsid w:val="00945779"/>
    <w:rsid w:val="0096364D"/>
    <w:rsid w:val="00964452"/>
    <w:rsid w:val="00972F70"/>
    <w:rsid w:val="00975B31"/>
    <w:rsid w:val="00987638"/>
    <w:rsid w:val="00992281"/>
    <w:rsid w:val="009A3411"/>
    <w:rsid w:val="009A535B"/>
    <w:rsid w:val="009A74D1"/>
    <w:rsid w:val="009B0433"/>
    <w:rsid w:val="009B1252"/>
    <w:rsid w:val="009B4BAD"/>
    <w:rsid w:val="009B774B"/>
    <w:rsid w:val="009C3F4C"/>
    <w:rsid w:val="009D65E2"/>
    <w:rsid w:val="009E250D"/>
    <w:rsid w:val="009E532B"/>
    <w:rsid w:val="009F7171"/>
    <w:rsid w:val="00A005B4"/>
    <w:rsid w:val="00A02BF9"/>
    <w:rsid w:val="00A150C5"/>
    <w:rsid w:val="00A24B30"/>
    <w:rsid w:val="00A26C82"/>
    <w:rsid w:val="00A314FE"/>
    <w:rsid w:val="00A405F5"/>
    <w:rsid w:val="00A4199D"/>
    <w:rsid w:val="00A4415C"/>
    <w:rsid w:val="00A4530E"/>
    <w:rsid w:val="00A541EC"/>
    <w:rsid w:val="00A60609"/>
    <w:rsid w:val="00A63DE7"/>
    <w:rsid w:val="00A664FE"/>
    <w:rsid w:val="00A70139"/>
    <w:rsid w:val="00A73D01"/>
    <w:rsid w:val="00AA0C33"/>
    <w:rsid w:val="00AA49C1"/>
    <w:rsid w:val="00AB3EBA"/>
    <w:rsid w:val="00AB67E8"/>
    <w:rsid w:val="00AB6979"/>
    <w:rsid w:val="00AC117F"/>
    <w:rsid w:val="00AD33CD"/>
    <w:rsid w:val="00AF0459"/>
    <w:rsid w:val="00AF4122"/>
    <w:rsid w:val="00AF7915"/>
    <w:rsid w:val="00B149CC"/>
    <w:rsid w:val="00B15832"/>
    <w:rsid w:val="00B24113"/>
    <w:rsid w:val="00B25E2F"/>
    <w:rsid w:val="00B41954"/>
    <w:rsid w:val="00B441C8"/>
    <w:rsid w:val="00B57986"/>
    <w:rsid w:val="00B62669"/>
    <w:rsid w:val="00B62B65"/>
    <w:rsid w:val="00B75FDC"/>
    <w:rsid w:val="00B77088"/>
    <w:rsid w:val="00B7731E"/>
    <w:rsid w:val="00B81F0D"/>
    <w:rsid w:val="00B82CF4"/>
    <w:rsid w:val="00BA3CC4"/>
    <w:rsid w:val="00BA57D8"/>
    <w:rsid w:val="00BC47BF"/>
    <w:rsid w:val="00BD0C6E"/>
    <w:rsid w:val="00BD23D0"/>
    <w:rsid w:val="00BD30AC"/>
    <w:rsid w:val="00BE0138"/>
    <w:rsid w:val="00BE236E"/>
    <w:rsid w:val="00BF00A2"/>
    <w:rsid w:val="00BF0B85"/>
    <w:rsid w:val="00C04395"/>
    <w:rsid w:val="00C05310"/>
    <w:rsid w:val="00C157E1"/>
    <w:rsid w:val="00C3525B"/>
    <w:rsid w:val="00C54B86"/>
    <w:rsid w:val="00C5659C"/>
    <w:rsid w:val="00C80152"/>
    <w:rsid w:val="00C94963"/>
    <w:rsid w:val="00CA6965"/>
    <w:rsid w:val="00CB1DFC"/>
    <w:rsid w:val="00CB2A4A"/>
    <w:rsid w:val="00CB2A6A"/>
    <w:rsid w:val="00CB50D2"/>
    <w:rsid w:val="00CD11D8"/>
    <w:rsid w:val="00CD1FC3"/>
    <w:rsid w:val="00CD499F"/>
    <w:rsid w:val="00CE15B0"/>
    <w:rsid w:val="00CE24A5"/>
    <w:rsid w:val="00CF1962"/>
    <w:rsid w:val="00CF36E7"/>
    <w:rsid w:val="00D0169D"/>
    <w:rsid w:val="00D066BE"/>
    <w:rsid w:val="00D11EDB"/>
    <w:rsid w:val="00D145E7"/>
    <w:rsid w:val="00D14A94"/>
    <w:rsid w:val="00D27FC3"/>
    <w:rsid w:val="00D32178"/>
    <w:rsid w:val="00D47C38"/>
    <w:rsid w:val="00D65334"/>
    <w:rsid w:val="00D654F8"/>
    <w:rsid w:val="00D66F61"/>
    <w:rsid w:val="00D819B2"/>
    <w:rsid w:val="00D81AF1"/>
    <w:rsid w:val="00D83505"/>
    <w:rsid w:val="00DA7AF1"/>
    <w:rsid w:val="00DB03D5"/>
    <w:rsid w:val="00DB19E4"/>
    <w:rsid w:val="00DC05DE"/>
    <w:rsid w:val="00DC13DD"/>
    <w:rsid w:val="00DC4835"/>
    <w:rsid w:val="00DD281C"/>
    <w:rsid w:val="00DD3428"/>
    <w:rsid w:val="00DD5E5D"/>
    <w:rsid w:val="00DD7946"/>
    <w:rsid w:val="00DE7D4F"/>
    <w:rsid w:val="00DF16C3"/>
    <w:rsid w:val="00DF3A11"/>
    <w:rsid w:val="00DF53FF"/>
    <w:rsid w:val="00DF56B9"/>
    <w:rsid w:val="00E00677"/>
    <w:rsid w:val="00E02062"/>
    <w:rsid w:val="00E06148"/>
    <w:rsid w:val="00E07559"/>
    <w:rsid w:val="00E23FE9"/>
    <w:rsid w:val="00E32473"/>
    <w:rsid w:val="00E36B6A"/>
    <w:rsid w:val="00E43AB5"/>
    <w:rsid w:val="00E458F1"/>
    <w:rsid w:val="00E45B8B"/>
    <w:rsid w:val="00E5456B"/>
    <w:rsid w:val="00E65B09"/>
    <w:rsid w:val="00E7119D"/>
    <w:rsid w:val="00E7142C"/>
    <w:rsid w:val="00E7185E"/>
    <w:rsid w:val="00E71BAA"/>
    <w:rsid w:val="00E733A7"/>
    <w:rsid w:val="00E808EE"/>
    <w:rsid w:val="00E81769"/>
    <w:rsid w:val="00E85126"/>
    <w:rsid w:val="00E909F8"/>
    <w:rsid w:val="00E90EFF"/>
    <w:rsid w:val="00E9223C"/>
    <w:rsid w:val="00E93E0B"/>
    <w:rsid w:val="00E945E4"/>
    <w:rsid w:val="00E96272"/>
    <w:rsid w:val="00EA16B7"/>
    <w:rsid w:val="00EA2850"/>
    <w:rsid w:val="00EA362D"/>
    <w:rsid w:val="00EA48F0"/>
    <w:rsid w:val="00EB0D11"/>
    <w:rsid w:val="00EB437C"/>
    <w:rsid w:val="00EC0753"/>
    <w:rsid w:val="00EF1635"/>
    <w:rsid w:val="00EF1FB2"/>
    <w:rsid w:val="00EF3940"/>
    <w:rsid w:val="00F01104"/>
    <w:rsid w:val="00F0703B"/>
    <w:rsid w:val="00F22093"/>
    <w:rsid w:val="00F24C50"/>
    <w:rsid w:val="00F25EC3"/>
    <w:rsid w:val="00F26258"/>
    <w:rsid w:val="00F327DB"/>
    <w:rsid w:val="00F41A69"/>
    <w:rsid w:val="00F41ECE"/>
    <w:rsid w:val="00F463B9"/>
    <w:rsid w:val="00F61F8F"/>
    <w:rsid w:val="00F62A46"/>
    <w:rsid w:val="00F6329B"/>
    <w:rsid w:val="00F638DB"/>
    <w:rsid w:val="00F63938"/>
    <w:rsid w:val="00F67952"/>
    <w:rsid w:val="00F82DD7"/>
    <w:rsid w:val="00F949D2"/>
    <w:rsid w:val="00F9742D"/>
    <w:rsid w:val="00FA6CDD"/>
    <w:rsid w:val="00FB03C2"/>
    <w:rsid w:val="00FB295F"/>
    <w:rsid w:val="00FD1F2B"/>
    <w:rsid w:val="00FE0E57"/>
    <w:rsid w:val="00FE4462"/>
    <w:rsid w:val="00FF1776"/>
    <w:rsid w:val="00FF1C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0681"/>
  <w15:docId w15:val="{15AFDB06-8A8A-41AA-9A48-8D8B80E3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6267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D33CD"/>
    <w:rPr>
      <w:color w:val="0563C1"/>
      <w:u w:val="single"/>
    </w:rPr>
  </w:style>
  <w:style w:type="paragraph" w:customStyle="1" w:styleId="Default">
    <w:name w:val="Default"/>
    <w:rsid w:val="00DF53FF"/>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62674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22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325174">
      <w:bodyDiv w:val="1"/>
      <w:marLeft w:val="0"/>
      <w:marRight w:val="0"/>
      <w:marTop w:val="0"/>
      <w:marBottom w:val="0"/>
      <w:divBdr>
        <w:top w:val="none" w:sz="0" w:space="0" w:color="auto"/>
        <w:left w:val="none" w:sz="0" w:space="0" w:color="auto"/>
        <w:bottom w:val="none" w:sz="0" w:space="0" w:color="auto"/>
        <w:right w:val="none" w:sz="0" w:space="0" w:color="auto"/>
      </w:divBdr>
    </w:div>
    <w:div w:id="20949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https://coronavirus.ufhealth.org/screen-test-protect/covid-19-exposure-and-symptoms-who-do-i-call-if/" TargetMode="External"/><Relationship Id="rId3" Type="http://schemas.openxmlformats.org/officeDocument/2006/relationships/settings" Target="settings.xm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theme" Target="theme/theme1.xml"/><Relationship Id="rId7" Type="http://schemas.openxmlformats.org/officeDocument/2006/relationships/hyperlink" Target="http://www.law.ufl.edu/student-affairs/current-students/academic-policies"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s://www.cdc.gov/coronavirus/2019-ncov/symptoms-testing/symptoms.html"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aw.ufl.edu/life-at-uf-law/office-of-student-affairs/current-students/forms-applications/exam-delays-accommodations-form"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s://gatorevals.aa.ufl.edu/public-results/" TargetMode="External"/><Relationship Id="rId40" Type="http://schemas.openxmlformats.org/officeDocument/2006/relationships/hyperlink" Target="https://catalog.ufl.edu/UGRD/academic-regulations/attendance-policies/" TargetMode="External"/><Relationship Id="rId5" Type="http://schemas.openxmlformats.org/officeDocument/2006/relationships/hyperlink" Target="https://www.law.cornell.edu/uscode/text/11" TargetMode="Externa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hyperlink" Target="file:///C:\Users\rmcilhenny\AppData\Local\Microsoft\Windows\INetCache\Content.Outlook\QH37XRU4\ufl.bluera.com\ufl\"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2560</Words>
  <Characters>14597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Rhee, Robert J.</dc:creator>
  <cp:lastModifiedBy>McIlhenny, Ruth M.</cp:lastModifiedBy>
  <cp:revision>2</cp:revision>
  <cp:lastPrinted>2014-08-28T15:00:00Z</cp:lastPrinted>
  <dcterms:created xsi:type="dcterms:W3CDTF">2021-01-12T19:03:00Z</dcterms:created>
  <dcterms:modified xsi:type="dcterms:W3CDTF">2021-01-12T19:03:00Z</dcterms:modified>
</cp:coreProperties>
</file>