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89B" w14:textId="77777777" w:rsidR="005B0D26" w:rsidRDefault="005B0D26"/>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509FE50F"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B456D9">
        <w:rPr>
          <w:rFonts w:eastAsia="Times New Roman" w:cs="Times New Roman"/>
          <w:b/>
          <w:sz w:val="28"/>
          <w:szCs w:val="28"/>
        </w:rPr>
        <w:t>Fall</w:t>
      </w:r>
      <w:r w:rsidR="00FF1C71">
        <w:rPr>
          <w:rFonts w:eastAsia="Times New Roman" w:cs="Times New Roman"/>
          <w:b/>
          <w:sz w:val="28"/>
          <w:szCs w:val="28"/>
        </w:rPr>
        <w:t xml:space="preserve"> 20</w:t>
      </w:r>
      <w:r w:rsidR="00711B94">
        <w:rPr>
          <w:rFonts w:eastAsia="Times New Roman" w:cs="Times New Roman"/>
          <w:b/>
          <w:sz w:val="28"/>
          <w:szCs w:val="28"/>
        </w:rPr>
        <w:t>21</w:t>
      </w:r>
      <w:r>
        <w:rPr>
          <w:rFonts w:eastAsia="Times New Roman" w:cs="Times New Roman"/>
          <w:b/>
          <w:sz w:val="28"/>
          <w:szCs w:val="28"/>
        </w:rPr>
        <w:t>)</w:t>
      </w:r>
    </w:p>
    <w:p w14:paraId="557EC396" w14:textId="77777777" w:rsidR="00195D7B" w:rsidRDefault="00195D7B"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5A596075"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1D644AB" w14:textId="77777777" w:rsidR="00195D7B" w:rsidRDefault="00195D7B" w:rsidP="00195D7B">
      <w:pPr>
        <w:ind w:right="-180"/>
        <w:jc w:val="both"/>
        <w:rPr>
          <w:rFonts w:ascii="Book Antiqua" w:eastAsia="Times New Roman" w:hAnsi="Book Antiqua" w:cs="Times New Roman"/>
        </w:rPr>
      </w:pPr>
    </w:p>
    <w:p w14:paraId="041517A3" w14:textId="57FFFE21"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4604BC">
        <w:rPr>
          <w:rFonts w:ascii="Book Antiqua" w:eastAsia="Times New Roman" w:hAnsi="Book Antiqua" w:cs="Times New Roman"/>
        </w:rPr>
        <w:t xml:space="preserve">Holland 285D </w:t>
      </w:r>
    </w:p>
    <w:p w14:paraId="38386E94" w14:textId="77777777" w:rsidR="00195D7B" w:rsidRDefault="00195D7B" w:rsidP="00195D7B">
      <w:pPr>
        <w:ind w:right="-187"/>
        <w:jc w:val="both"/>
        <w:rPr>
          <w:rFonts w:ascii="Book Antiqua" w:eastAsia="Times New Roman" w:hAnsi="Book Antiqua" w:cs="Times New Roman"/>
        </w:rPr>
      </w:pPr>
    </w:p>
    <w:p w14:paraId="4420DA7F" w14:textId="301D0053"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t xml:space="preserve">Thursday &amp; Friday:  </w:t>
      </w:r>
      <w:r>
        <w:rPr>
          <w:rFonts w:ascii="Book Antiqua" w:eastAsia="Times New Roman" w:hAnsi="Book Antiqua" w:cs="Times New Roman"/>
        </w:rPr>
        <w:tab/>
        <w:t xml:space="preserve">1:00pm to 2:25pm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13A5B3F2"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t xml:space="preserve">Thursday:  </w:t>
      </w:r>
      <w:r>
        <w:rPr>
          <w:rFonts w:ascii="Book Antiqua" w:eastAsia="Times New Roman" w:hAnsi="Book Antiqua" w:cs="Times New Roman"/>
        </w:rPr>
        <w:tab/>
      </w:r>
      <w:r w:rsidR="00B1412B">
        <w:rPr>
          <w:rFonts w:ascii="Book Antiqua" w:eastAsia="Times New Roman" w:hAnsi="Book Antiqua" w:cs="Times New Roman"/>
        </w:rPr>
        <w:tab/>
      </w:r>
      <w:r w:rsidR="00B1412B">
        <w:rPr>
          <w:rFonts w:ascii="Book Antiqua" w:eastAsia="Times New Roman" w:hAnsi="Book Antiqua" w:cs="Times New Roman"/>
        </w:rPr>
        <w:tab/>
      </w:r>
      <w:r>
        <w:rPr>
          <w:rFonts w:ascii="Book Antiqua" w:eastAsia="Times New Roman" w:hAnsi="Book Antiqua" w:cs="Times New Roman"/>
        </w:rPr>
        <w:t>1</w:t>
      </w:r>
      <w:r w:rsidR="00B1412B">
        <w:rPr>
          <w:rFonts w:ascii="Book Antiqua" w:eastAsia="Times New Roman" w:hAnsi="Book Antiqua" w:cs="Times New Roman"/>
        </w:rPr>
        <w:t>1</w:t>
      </w:r>
      <w:r>
        <w:rPr>
          <w:rFonts w:ascii="Book Antiqua" w:eastAsia="Times New Roman" w:hAnsi="Book Antiqua" w:cs="Times New Roman"/>
        </w:rPr>
        <w:t>:00</w:t>
      </w:r>
      <w:r w:rsidR="00B1412B">
        <w:rPr>
          <w:rFonts w:ascii="Book Antiqua" w:eastAsia="Times New Roman" w:hAnsi="Book Antiqua" w:cs="Times New Roman"/>
        </w:rPr>
        <w:t>a</w:t>
      </w:r>
      <w:r>
        <w:rPr>
          <w:rFonts w:ascii="Book Antiqua" w:eastAsia="Times New Roman" w:hAnsi="Book Antiqua" w:cs="Times New Roman"/>
        </w:rPr>
        <w:t>m to 1:00 pm</w:t>
      </w:r>
    </w:p>
    <w:p w14:paraId="27D00C85" w14:textId="355815AA" w:rsidR="00292FBF" w:rsidRDefault="00292FBF" w:rsidP="00292FBF">
      <w:pPr>
        <w:pStyle w:val="ListParagraph"/>
        <w:numPr>
          <w:ilvl w:val="4"/>
          <w:numId w:val="39"/>
        </w:numPr>
        <w:ind w:left="3240" w:right="-187"/>
        <w:jc w:val="both"/>
        <w:rPr>
          <w:rFonts w:ascii="Book Antiqua" w:eastAsia="Times New Roman" w:hAnsi="Book Antiqua" w:cs="Times New Roman"/>
        </w:rPr>
      </w:pPr>
      <w:r w:rsidRPr="00292FBF">
        <w:rPr>
          <w:rFonts w:ascii="Book Antiqua" w:eastAsia="Times New Roman" w:hAnsi="Book Antiqua" w:cs="Times New Roman"/>
        </w:rPr>
        <w:t>O</w:t>
      </w:r>
      <w:r w:rsidR="00407736" w:rsidRPr="00292FBF">
        <w:rPr>
          <w:rFonts w:ascii="Book Antiqua" w:eastAsia="Times New Roman" w:hAnsi="Book Antiqua" w:cs="Times New Roman"/>
        </w:rPr>
        <w:t xml:space="preserve">ffice hours will </w:t>
      </w:r>
      <w:r w:rsidR="00386A01">
        <w:rPr>
          <w:rFonts w:ascii="Book Antiqua" w:eastAsia="Times New Roman" w:hAnsi="Book Antiqua" w:cs="Times New Roman"/>
        </w:rPr>
        <w:t xml:space="preserve">always </w:t>
      </w:r>
      <w:r w:rsidR="00407736" w:rsidRPr="00292FBF">
        <w:rPr>
          <w:rFonts w:ascii="Book Antiqua" w:eastAsia="Times New Roman" w:hAnsi="Book Antiqua" w:cs="Times New Roman"/>
        </w:rPr>
        <w:t>be consistent with</w:t>
      </w:r>
      <w:r w:rsidR="00B1412B" w:rsidRPr="00292FBF">
        <w:rPr>
          <w:rFonts w:ascii="Book Antiqua" w:eastAsia="Times New Roman" w:hAnsi="Book Antiqua" w:cs="Times New Roman"/>
        </w:rPr>
        <w:t xml:space="preserve"> </w:t>
      </w:r>
      <w:r w:rsidR="00871196">
        <w:rPr>
          <w:rFonts w:ascii="Book Antiqua" w:eastAsia="Times New Roman" w:hAnsi="Book Antiqua" w:cs="Times New Roman"/>
        </w:rPr>
        <w:t xml:space="preserve">the </w:t>
      </w:r>
      <w:r w:rsidR="00B1412B" w:rsidRPr="00292FBF">
        <w:rPr>
          <w:rFonts w:ascii="Book Antiqua" w:eastAsia="Times New Roman" w:hAnsi="Book Antiqua" w:cs="Times New Roman"/>
        </w:rPr>
        <w:t>prevailing UF polic</w:t>
      </w:r>
      <w:r w:rsidR="00871196">
        <w:rPr>
          <w:rFonts w:ascii="Book Antiqua" w:eastAsia="Times New Roman" w:hAnsi="Book Antiqua" w:cs="Times New Roman"/>
        </w:rPr>
        <w:t xml:space="preserve">y. </w:t>
      </w:r>
    </w:p>
    <w:p w14:paraId="5523E1FA" w14:textId="0B5DA00A" w:rsidR="00C765BA" w:rsidRPr="00C765BA" w:rsidRDefault="00871196" w:rsidP="00C765BA">
      <w:pPr>
        <w:pStyle w:val="ListParagraph"/>
        <w:numPr>
          <w:ilvl w:val="4"/>
          <w:numId w:val="39"/>
        </w:numPr>
        <w:ind w:left="3240" w:right="-187"/>
        <w:jc w:val="both"/>
        <w:rPr>
          <w:rFonts w:ascii="Book Antiqua" w:eastAsia="Times New Roman" w:hAnsi="Book Antiqua" w:cs="Times New Roman"/>
        </w:rPr>
      </w:pPr>
      <w:r>
        <w:rPr>
          <w:rFonts w:ascii="Book Antiqua" w:eastAsia="Times New Roman" w:hAnsi="Book Antiqua" w:cs="Times New Roman"/>
        </w:rPr>
        <w:t xml:space="preserve">Office hours can be through </w:t>
      </w:r>
      <w:r w:rsidR="00C765BA" w:rsidRPr="00292FBF">
        <w:rPr>
          <w:rFonts w:ascii="Book Antiqua" w:eastAsia="Times New Roman" w:hAnsi="Book Antiqua" w:cs="Times New Roman"/>
        </w:rPr>
        <w:t>Zoom, telephone, or in person</w:t>
      </w:r>
      <w:r w:rsidR="00386A01">
        <w:rPr>
          <w:rFonts w:ascii="Book Antiqua" w:eastAsia="Times New Roman" w:hAnsi="Book Antiqua" w:cs="Times New Roman"/>
        </w:rPr>
        <w:t xml:space="preserve"> (if UF policy permits)</w:t>
      </w:r>
      <w:r w:rsidR="00C765BA">
        <w:rPr>
          <w:rFonts w:ascii="Book Antiqua" w:eastAsia="Times New Roman" w:hAnsi="Book Antiqua" w:cs="Times New Roman"/>
        </w:rPr>
        <w:t xml:space="preserve">, </w:t>
      </w:r>
      <w:r>
        <w:rPr>
          <w:rFonts w:ascii="Book Antiqua" w:eastAsia="Times New Roman" w:hAnsi="Book Antiqua" w:cs="Times New Roman"/>
        </w:rPr>
        <w:t xml:space="preserve">and there are </w:t>
      </w:r>
      <w:r w:rsidR="00C765BA">
        <w:rPr>
          <w:rFonts w:ascii="Book Antiqua" w:eastAsia="Times New Roman" w:hAnsi="Book Antiqua" w:cs="Times New Roman"/>
        </w:rPr>
        <w:t>no restrictions on any of these methods</w:t>
      </w:r>
      <w:r>
        <w:rPr>
          <w:rFonts w:ascii="Book Antiqua" w:eastAsia="Times New Roman" w:hAnsi="Book Antiqua" w:cs="Times New Roman"/>
        </w:rPr>
        <w:t xml:space="preserve">. </w:t>
      </w:r>
      <w:r w:rsidR="00C765BA">
        <w:rPr>
          <w:rFonts w:ascii="Book Antiqua" w:eastAsia="Times New Roman" w:hAnsi="Book Antiqua" w:cs="Times New Roman"/>
        </w:rPr>
        <w:t xml:space="preserve"> </w:t>
      </w:r>
    </w:p>
    <w:p w14:paraId="7F3B8AA2" w14:textId="7CA79602" w:rsidR="00711B94" w:rsidRPr="00292FBF" w:rsidRDefault="00871196" w:rsidP="00292FBF">
      <w:pPr>
        <w:pStyle w:val="ListParagraph"/>
        <w:numPr>
          <w:ilvl w:val="4"/>
          <w:numId w:val="39"/>
        </w:numPr>
        <w:ind w:left="3240" w:right="-187"/>
        <w:jc w:val="both"/>
        <w:rPr>
          <w:rFonts w:ascii="Book Antiqua" w:eastAsia="Times New Roman" w:hAnsi="Book Antiqua" w:cs="Times New Roman"/>
        </w:rPr>
      </w:pPr>
      <w:r>
        <w:rPr>
          <w:rFonts w:ascii="Book Antiqua" w:eastAsia="Times New Roman" w:hAnsi="Book Antiqua" w:cs="Times New Roman"/>
        </w:rPr>
        <w:t>I</w:t>
      </w:r>
      <w:r w:rsidR="00292FBF">
        <w:rPr>
          <w:rFonts w:ascii="Book Antiqua" w:eastAsia="Times New Roman" w:hAnsi="Book Antiqua" w:cs="Times New Roman"/>
        </w:rPr>
        <w:t>n-person office hours are freely available</w:t>
      </w:r>
      <w:r w:rsidR="00386A01">
        <w:rPr>
          <w:rFonts w:ascii="Book Antiqua" w:eastAsia="Times New Roman" w:hAnsi="Book Antiqua" w:cs="Times New Roman"/>
        </w:rPr>
        <w:t xml:space="preserve"> (if UF policy permits)</w:t>
      </w:r>
      <w:r w:rsidR="00292FBF">
        <w:rPr>
          <w:rFonts w:ascii="Book Antiqua" w:eastAsia="Times New Roman" w:hAnsi="Book Antiqua" w:cs="Times New Roman"/>
        </w:rPr>
        <w:t xml:space="preserve">. </w:t>
      </w:r>
      <w:r w:rsidR="00292FBF" w:rsidRPr="00292FBF">
        <w:rPr>
          <w:rFonts w:ascii="Book Antiqua" w:eastAsia="Times New Roman" w:hAnsi="Book Antiqua" w:cs="Times New Roman"/>
        </w:rPr>
        <w:t>In</w:t>
      </w:r>
      <w:r w:rsidR="00C765BA">
        <w:rPr>
          <w:rFonts w:ascii="Book Antiqua" w:eastAsia="Times New Roman" w:hAnsi="Book Antiqua" w:cs="Times New Roman"/>
        </w:rPr>
        <w:t>-</w:t>
      </w:r>
      <w:r w:rsidR="00292FBF" w:rsidRPr="00292FBF">
        <w:rPr>
          <w:rFonts w:ascii="Book Antiqua" w:eastAsia="Times New Roman" w:hAnsi="Book Antiqua" w:cs="Times New Roman"/>
        </w:rPr>
        <w:t>person office hours</w:t>
      </w:r>
      <w:r w:rsidR="00292FBF">
        <w:rPr>
          <w:rFonts w:ascii="Book Antiqua" w:eastAsia="Times New Roman" w:hAnsi="Book Antiqua" w:cs="Times New Roman"/>
        </w:rPr>
        <w:t xml:space="preserve"> can be in </w:t>
      </w:r>
      <w:r>
        <w:rPr>
          <w:rFonts w:ascii="Book Antiqua" w:eastAsia="Times New Roman" w:hAnsi="Book Antiqua" w:cs="Times New Roman"/>
        </w:rPr>
        <w:t xml:space="preserve">the </w:t>
      </w:r>
      <w:r w:rsidR="00292FBF">
        <w:rPr>
          <w:rFonts w:ascii="Book Antiqua" w:eastAsia="Times New Roman" w:hAnsi="Book Antiqua" w:cs="Times New Roman"/>
        </w:rPr>
        <w:t xml:space="preserve">professor’s office, but </w:t>
      </w:r>
      <w:r w:rsidR="004C663A">
        <w:rPr>
          <w:rFonts w:ascii="Book Antiqua" w:eastAsia="Times New Roman" w:hAnsi="Book Antiqua" w:cs="Times New Roman"/>
        </w:rPr>
        <w:t xml:space="preserve">because my office is a small physical space </w:t>
      </w:r>
      <w:r>
        <w:rPr>
          <w:rFonts w:ascii="Book Antiqua" w:eastAsia="Times New Roman" w:hAnsi="Book Antiqua" w:cs="Times New Roman"/>
        </w:rPr>
        <w:t>students</w:t>
      </w:r>
      <w:r w:rsidR="000D5898">
        <w:rPr>
          <w:rFonts w:ascii="Book Antiqua" w:eastAsia="Times New Roman" w:hAnsi="Book Antiqua" w:cs="Times New Roman"/>
        </w:rPr>
        <w:t xml:space="preserve"> </w:t>
      </w:r>
      <w:r w:rsidR="00386A01">
        <w:rPr>
          <w:rFonts w:ascii="Book Antiqua" w:eastAsia="Times New Roman" w:hAnsi="Book Antiqua" w:cs="Times New Roman"/>
        </w:rPr>
        <w:t xml:space="preserve">must </w:t>
      </w:r>
      <w:r w:rsidR="00292FBF">
        <w:rPr>
          <w:rFonts w:ascii="Book Antiqua" w:eastAsia="Times New Roman" w:hAnsi="Book Antiqua" w:cs="Times New Roman"/>
        </w:rPr>
        <w:t xml:space="preserve">wear a mask </w:t>
      </w:r>
      <w:r w:rsidR="00945C8C">
        <w:rPr>
          <w:rFonts w:ascii="Book Antiqua" w:eastAsia="Times New Roman" w:hAnsi="Book Antiqua" w:cs="Times New Roman"/>
        </w:rPr>
        <w:t xml:space="preserve">in my office </w:t>
      </w:r>
      <w:r w:rsidR="00292FBF">
        <w:rPr>
          <w:rFonts w:ascii="Book Antiqua" w:eastAsia="Times New Roman" w:hAnsi="Book Antiqua" w:cs="Times New Roman"/>
        </w:rPr>
        <w:t>and abide by social distancing</w:t>
      </w:r>
      <w:r w:rsidR="00C765BA">
        <w:rPr>
          <w:rFonts w:ascii="Book Antiqua" w:eastAsia="Times New Roman" w:hAnsi="Book Antiqua" w:cs="Times New Roman"/>
        </w:rPr>
        <w:t xml:space="preserve"> and the door must be kept open</w:t>
      </w:r>
      <w:r w:rsidR="00292FBF">
        <w:rPr>
          <w:rFonts w:ascii="Book Antiqua" w:eastAsia="Times New Roman" w:hAnsi="Book Antiqua" w:cs="Times New Roman"/>
        </w:rPr>
        <w:t>. If you do not wish to wear a mask</w:t>
      </w:r>
      <w:r w:rsidR="00945C8C">
        <w:rPr>
          <w:rFonts w:ascii="Book Antiqua" w:eastAsia="Times New Roman" w:hAnsi="Book Antiqua" w:cs="Times New Roman"/>
        </w:rPr>
        <w:t xml:space="preserve"> in my office</w:t>
      </w:r>
      <w:r w:rsidR="00292FBF">
        <w:rPr>
          <w:rFonts w:ascii="Book Antiqua" w:eastAsia="Times New Roman" w:hAnsi="Book Antiqua" w:cs="Times New Roman"/>
        </w:rPr>
        <w:t xml:space="preserve">, we </w:t>
      </w:r>
      <w:r>
        <w:rPr>
          <w:rFonts w:ascii="Book Antiqua" w:eastAsia="Times New Roman" w:hAnsi="Book Antiqua" w:cs="Times New Roman"/>
        </w:rPr>
        <w:t>can hold</w:t>
      </w:r>
      <w:r w:rsidR="000D5898">
        <w:rPr>
          <w:rFonts w:ascii="Book Antiqua" w:eastAsia="Times New Roman" w:hAnsi="Book Antiqua" w:cs="Times New Roman"/>
        </w:rPr>
        <w:t xml:space="preserve"> </w:t>
      </w:r>
      <w:r w:rsidR="00292FBF">
        <w:rPr>
          <w:rFonts w:ascii="Book Antiqua" w:eastAsia="Times New Roman" w:hAnsi="Book Antiqua" w:cs="Times New Roman"/>
        </w:rPr>
        <w:t xml:space="preserve">in-person office hours outside or </w:t>
      </w:r>
      <w:r w:rsidR="000D5898">
        <w:rPr>
          <w:rFonts w:ascii="Book Antiqua" w:eastAsia="Times New Roman" w:hAnsi="Book Antiqua" w:cs="Times New Roman"/>
        </w:rPr>
        <w:t xml:space="preserve">do it </w:t>
      </w:r>
      <w:r w:rsidR="00292FBF">
        <w:rPr>
          <w:rFonts w:ascii="Book Antiqua" w:eastAsia="Times New Roman" w:hAnsi="Book Antiqua" w:cs="Times New Roman"/>
        </w:rPr>
        <w:t xml:space="preserve">in a larger indoor space.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45C59343" w:rsidR="00711B94"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407736">
        <w:rPr>
          <w:rFonts w:ascii="Book Antiqua" w:eastAsia="Times New Roman" w:hAnsi="Book Antiqua" w:cs="Times New Roman"/>
        </w:rPr>
        <w:t xml:space="preserve">Friday, </w:t>
      </w:r>
      <w:r w:rsidR="00407736">
        <w:t xml:space="preserve">Dec. 10, at 8:30am to 12:30pm (4 hours) </w:t>
      </w:r>
    </w:p>
    <w:p w14:paraId="4404A00B" w14:textId="77777777" w:rsidR="00E82630" w:rsidRPr="00A664FE" w:rsidRDefault="00E82630" w:rsidP="00B1412B">
      <w:pPr>
        <w:autoSpaceDE w:val="0"/>
        <w:autoSpaceDN w:val="0"/>
        <w:adjustRightInd w:val="0"/>
        <w:jc w:val="both"/>
      </w:pPr>
    </w:p>
    <w:p w14:paraId="399C9180" w14:textId="77777777" w:rsidR="0039279E" w:rsidRPr="00423960" w:rsidRDefault="0039279E" w:rsidP="00195D7B">
      <w:pPr>
        <w:jc w:val="both"/>
        <w:rPr>
          <w:rFonts w:ascii="Book Antiqua" w:eastAsia="Times New Roman" w:hAnsi="Book Antiqua" w:cs="Times New Roman"/>
        </w:rPr>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263E0AE8" w14:textId="77777777" w:rsidR="00195D7B" w:rsidRPr="00F41A69" w:rsidRDefault="00AD33CD" w:rsidP="00195D7B">
      <w:pPr>
        <w:jc w:val="both"/>
      </w:pPr>
      <w:r>
        <w:t xml:space="preserve">Robert J. Rhee, Corporate Finance (Wolters Kluwer 2016)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11B892B9" w:rsidR="003042DC" w:rsidRDefault="003042DC" w:rsidP="003042DC">
      <w:pPr>
        <w:jc w:val="both"/>
      </w:pPr>
      <w:r>
        <w:t xml:space="preserve">Corporate Finance </w:t>
      </w:r>
      <w:r w:rsidRPr="006B5B38">
        <w:t>(LAW 60</w:t>
      </w:r>
      <w:r>
        <w:t>64</w:t>
      </w:r>
      <w:r w:rsidRPr="006B5B38">
        <w:t>)</w:t>
      </w:r>
      <w:r>
        <w:t xml:space="preserve">: </w:t>
      </w:r>
      <w:r w:rsidRPr="003042DC">
        <w:t>This course examines the legal and financial economic aspects of corporate finance. Course coverage includes foundational finance theories, and legal aspects of capital structure (including analysis of debt securities, equities, structured finance, and derivatives). Combined with Corporations, this course is intended to provide students with a rigorous background in the legal and financial aspects of corporate business</w:t>
      </w:r>
      <w:r>
        <w:t xml:space="preserve">. </w:t>
      </w:r>
    </w:p>
    <w:p w14:paraId="3535315C" w14:textId="77777777" w:rsidR="00195D7B" w:rsidRDefault="00195D7B" w:rsidP="00195D7B">
      <w:pPr>
        <w:jc w:val="both"/>
        <w:rPr>
          <w:rFonts w:ascii="Book Antiqua" w:eastAsia="Times New Roman" w:hAnsi="Book Antiqua" w:cs="Times New Roman"/>
        </w:rPr>
      </w:pPr>
    </w:p>
    <w:p w14:paraId="54B37069"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77777777"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77777777"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14:paraId="27F8EB9C" w14:textId="77777777" w:rsidR="00626746" w:rsidRDefault="00626746" w:rsidP="00626746">
      <w:pPr>
        <w:pStyle w:val="ListParagraph"/>
        <w:numPr>
          <w:ilvl w:val="0"/>
          <w:numId w:val="36"/>
        </w:numPr>
        <w:jc w:val="both"/>
      </w:pPr>
      <w:r>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14:paraId="137377F2" w14:textId="77777777"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14:paraId="4FCD4233" w14:textId="77777777" w:rsidR="00626746" w:rsidRDefault="00626746" w:rsidP="00626746">
      <w:pPr>
        <w:pStyle w:val="ListParagraph"/>
        <w:numPr>
          <w:ilvl w:val="0"/>
          <w:numId w:val="36"/>
        </w:numPr>
        <w:jc w:val="both"/>
      </w:pPr>
      <w:r>
        <w:t xml:space="preserve">Know and apply basic business concepts in accounting, finance, and economics specifically relevant and related to the understanding of corporations and </w:t>
      </w:r>
      <w:r w:rsidR="004B24C1">
        <w:t>corporate finance</w:t>
      </w:r>
      <w:r>
        <w:t xml:space="preserve">. </w:t>
      </w:r>
    </w:p>
    <w:p w14:paraId="10717CB7" w14:textId="77777777" w:rsidR="00626746" w:rsidRDefault="00626746" w:rsidP="00626746">
      <w:pPr>
        <w:pStyle w:val="ListParagraph"/>
        <w:numPr>
          <w:ilvl w:val="0"/>
          <w:numId w:val="36"/>
        </w:numPr>
        <w:jc w:val="both"/>
      </w:pPr>
      <w:r>
        <w:t xml:space="preserve">Read and analyze essential corporate documents such as </w:t>
      </w:r>
      <w:r w:rsidR="004B24C1">
        <w:t>Form 10-Ks, certificate of incorporation, and bond indentures</w:t>
      </w:r>
      <w:r>
        <w:t xml:space="preserve">. </w:t>
      </w:r>
    </w:p>
    <w:p w14:paraId="6CCA3851" w14:textId="77777777" w:rsidR="00AB3EBA" w:rsidRPr="00800466" w:rsidRDefault="00AB3EBA" w:rsidP="00626746">
      <w:pPr>
        <w:pStyle w:val="ListParagraph"/>
        <w:numPr>
          <w:ilvl w:val="0"/>
          <w:numId w:val="36"/>
        </w:numPr>
        <w:jc w:val="both"/>
      </w:pPr>
      <w:r>
        <w:t xml:space="preserve">Work with financing documents and structures in corporate finance transactions. </w:t>
      </w:r>
    </w:p>
    <w:p w14:paraId="24DF7257" w14:textId="77777777" w:rsidR="00626746" w:rsidRPr="00DF53FF" w:rsidRDefault="00626746" w:rsidP="00195D7B">
      <w:pPr>
        <w:jc w:val="both"/>
      </w:pPr>
    </w:p>
    <w:p w14:paraId="2B323146"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3F9910B6" w14:textId="77777777" w:rsidR="00195D7B" w:rsidRPr="00423960" w:rsidRDefault="00195D7B" w:rsidP="00195D7B">
      <w:pPr>
        <w:jc w:val="both"/>
        <w:rPr>
          <w:rFonts w:ascii="Book Antiqua" w:eastAsia="Times New Roman" w:hAnsi="Book Antiqua" w:cs="Times New Roman"/>
        </w:rPr>
      </w:pPr>
    </w:p>
    <w:p w14:paraId="6E22FE7D"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4F8A0296" w14:textId="77777777" w:rsidR="00B62B65" w:rsidRPr="00B62B65" w:rsidRDefault="00B62B65" w:rsidP="00B62B65">
      <w:pPr>
        <w:rPr>
          <w:rFonts w:ascii="Book Antiqua" w:eastAsia="Times New Roman" w:hAnsi="Book Antiqua" w:cs="Times New Roman"/>
          <w:b/>
        </w:rPr>
      </w:pPr>
    </w:p>
    <w:p w14:paraId="7C921406"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0B171ABA" w14:textId="77777777" w:rsidR="00195D7B" w:rsidRDefault="00195D7B" w:rsidP="00195D7B">
      <w:pPr>
        <w:jc w:val="both"/>
        <w:rPr>
          <w:rFonts w:ascii="Book Antiqua" w:eastAsia="Times New Roman" w:hAnsi="Book Antiqua" w:cs="Times New Roman"/>
        </w:rPr>
      </w:pPr>
    </w:p>
    <w:p w14:paraId="403905C8" w14:textId="117980DD"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final exam will be </w:t>
      </w:r>
      <w:r w:rsidRPr="00C94963">
        <w:rPr>
          <w:rFonts w:ascii="Book Antiqua" w:eastAsia="Times New Roman" w:hAnsi="Book Antiqua" w:cs="Times New Roman"/>
          <w:b/>
        </w:rPr>
        <w:t>open casebook</w:t>
      </w:r>
      <w:r>
        <w:rPr>
          <w:rFonts w:ascii="Book Antiqua" w:eastAsia="Times New Roman" w:hAnsi="Book Antiqua" w:cs="Times New Roman"/>
        </w:rPr>
        <w:t xml:space="preserve">. There are no restrictions on what you can write into the book. You will also be permitted to bring </w:t>
      </w:r>
      <w:r w:rsidRPr="005302A1">
        <w:rPr>
          <w:rFonts w:ascii="Book Antiqua" w:eastAsia="Times New Roman" w:hAnsi="Book Antiqua" w:cs="Times New Roman"/>
          <w:b/>
          <w:u w:val="single"/>
        </w:rPr>
        <w:t>any personal notes or outlines</w:t>
      </w:r>
      <w:r w:rsidRPr="005302A1">
        <w:rPr>
          <w:rFonts w:ascii="Book Antiqua" w:eastAsia="Times New Roman" w:hAnsi="Book Antiqua" w:cs="Times New Roman"/>
          <w:u w:val="single"/>
        </w:rPr>
        <w:t>,</w:t>
      </w:r>
      <w:r>
        <w:rPr>
          <w:rFonts w:ascii="Book Antiqua" w:eastAsia="Times New Roman" w:hAnsi="Book Antiqua" w:cs="Times New Roman"/>
        </w:rPr>
        <w:t xml:space="preserve"> </w:t>
      </w:r>
      <w:r w:rsidRPr="005302A1">
        <w:rPr>
          <w:rFonts w:ascii="Book Antiqua" w:eastAsia="Times New Roman" w:hAnsi="Book Antiqua" w:cs="Times New Roman"/>
          <w:b/>
          <w:u w:val="single"/>
        </w:rPr>
        <w:t>written by you</w:t>
      </w:r>
      <w:r>
        <w:rPr>
          <w:rFonts w:ascii="Book Antiqua" w:eastAsia="Times New Roman" w:hAnsi="Book Antiqua" w:cs="Times New Roman"/>
          <w:b/>
          <w:u w:val="single"/>
        </w:rPr>
        <w:t xml:space="preserve"> or your study group’s workproduct</w:t>
      </w:r>
      <w:r>
        <w:rPr>
          <w:rFonts w:ascii="Book Antiqua" w:eastAsia="Times New Roman" w:hAnsi="Book Antiqua" w:cs="Times New Roman"/>
        </w:rPr>
        <w:t xml:space="preserve"> (i.e., no commercial outlines or any other published materials other than your textbook). There is no limitation on page count. Your notes and outline may include the statutory provisions that you believe will be necessary for the exam. </w:t>
      </w:r>
    </w:p>
    <w:p w14:paraId="26F67A6A" w14:textId="77777777" w:rsidR="00195D7B" w:rsidRDefault="00195D7B" w:rsidP="00195D7B">
      <w:pPr>
        <w:jc w:val="both"/>
        <w:rPr>
          <w:rFonts w:ascii="Book Antiqua" w:eastAsia="Times New Roman" w:hAnsi="Book Antiqua" w:cs="Times New Roman"/>
        </w:rPr>
      </w:pPr>
    </w:p>
    <w:p w14:paraId="0902D5C2" w14:textId="16BFA4B1"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w:t>
      </w:r>
      <w:r w:rsidR="00292FBF">
        <w:rPr>
          <w:rFonts w:ascii="Book Antiqua" w:eastAsia="Times New Roman" w:hAnsi="Book Antiqua" w:cs="Times New Roman"/>
        </w:rPr>
        <w:t xml:space="preserve"> </w:t>
      </w:r>
      <w:r>
        <w:rPr>
          <w:rFonts w:ascii="Book Antiqua" w:eastAsia="Times New Roman" w:hAnsi="Book Antiqua" w:cs="Times New Roman"/>
        </w:rPr>
        <w:t>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w:t>
      </w:r>
      <w:r>
        <w:rPr>
          <w:rFonts w:ascii="Book Antiqua" w:eastAsia="Times New Roman" w:hAnsi="Book Antiqua" w:cs="Times New Roman"/>
        </w:rPr>
        <w:lastRenderedPageBreak/>
        <w:t xml:space="preserve">in the course. This means that the best way to prepare for the exam is to do the class readings and to attend class.  </w:t>
      </w:r>
    </w:p>
    <w:p w14:paraId="655AA1B2" w14:textId="2B4275D0" w:rsidR="0048487B" w:rsidRPr="00407736" w:rsidRDefault="0048487B" w:rsidP="00EB437C">
      <w:pPr>
        <w:rPr>
          <w:rFonts w:ascii="Book Antiqua" w:hAnsi="Book Antiqua"/>
        </w:rPr>
      </w:pPr>
    </w:p>
    <w:p w14:paraId="2FAE832E" w14:textId="513F4CEC" w:rsidR="003042DC" w:rsidRPr="00407736" w:rsidRDefault="003042DC" w:rsidP="003042DC">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sidRPr="00407736">
        <w:rPr>
          <w:rFonts w:ascii="Book Antiqua" w:hAnsi="Book Antiqua" w:cs="Times New Roman"/>
        </w:rPr>
        <w:t xml:space="preserve">The law school policy on exam delays and accommodations can be found </w:t>
      </w:r>
      <w:r w:rsidRPr="00407736">
        <w:rPr>
          <w:rFonts w:ascii="Book Antiqua" w:hAnsi="Book Antiqua"/>
        </w:rPr>
        <w:t xml:space="preserve">at: </w:t>
      </w:r>
      <w:hyperlink r:id="rId5"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p>
    <w:p w14:paraId="631B5572" w14:textId="77777777" w:rsidR="003042DC" w:rsidRPr="00407736" w:rsidRDefault="003042DC" w:rsidP="00EB437C">
      <w:pPr>
        <w:rPr>
          <w:rFonts w:ascii="Book Antiqua" w:hAnsi="Book Antiqua"/>
        </w:rPr>
      </w:pPr>
    </w:p>
    <w:p w14:paraId="60FA2837" w14:textId="77777777" w:rsidR="00626746" w:rsidRPr="00D01FEB" w:rsidRDefault="00626746" w:rsidP="00626746">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14:paraId="77E5BE2A" w14:textId="77777777" w:rsidR="00626746" w:rsidRPr="00D01FEB" w:rsidRDefault="00626746" w:rsidP="00626746"/>
    <w:p w14:paraId="548AADA1" w14:textId="77777777" w:rsidR="00711B94" w:rsidRDefault="00711B94" w:rsidP="00711B94">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6733E41C" w14:textId="77777777" w:rsidR="00711B94" w:rsidRDefault="00711B94" w:rsidP="00711B9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711B94" w14:paraId="481AD4D0" w14:textId="77777777" w:rsidTr="00292BB6">
        <w:tc>
          <w:tcPr>
            <w:tcW w:w="2070" w:type="dxa"/>
          </w:tcPr>
          <w:p w14:paraId="4CC2F238" w14:textId="77777777" w:rsidR="00711B94" w:rsidRPr="005302A1" w:rsidRDefault="00711B94" w:rsidP="00292BB6">
            <w:pPr>
              <w:jc w:val="center"/>
              <w:rPr>
                <w:b/>
                <w:bCs/>
              </w:rPr>
            </w:pPr>
            <w:r w:rsidRPr="005302A1">
              <w:rPr>
                <w:b/>
                <w:bCs/>
              </w:rPr>
              <w:t>Letter Grade</w:t>
            </w:r>
          </w:p>
        </w:tc>
        <w:tc>
          <w:tcPr>
            <w:tcW w:w="2106" w:type="dxa"/>
          </w:tcPr>
          <w:p w14:paraId="6DD32555" w14:textId="77777777" w:rsidR="00711B94" w:rsidRPr="005302A1" w:rsidRDefault="00711B94" w:rsidP="00292BB6">
            <w:pPr>
              <w:jc w:val="center"/>
              <w:rPr>
                <w:b/>
                <w:bCs/>
              </w:rPr>
            </w:pPr>
            <w:r w:rsidRPr="005302A1">
              <w:rPr>
                <w:b/>
                <w:bCs/>
              </w:rPr>
              <w:t>Point Equivalent</w:t>
            </w:r>
          </w:p>
        </w:tc>
        <w:tc>
          <w:tcPr>
            <w:tcW w:w="2142" w:type="dxa"/>
          </w:tcPr>
          <w:p w14:paraId="584C29A9" w14:textId="77777777" w:rsidR="00711B94" w:rsidRPr="005302A1" w:rsidRDefault="00711B94" w:rsidP="00292BB6">
            <w:pPr>
              <w:jc w:val="center"/>
              <w:rPr>
                <w:b/>
                <w:bCs/>
              </w:rPr>
            </w:pPr>
            <w:r w:rsidRPr="005302A1">
              <w:rPr>
                <w:b/>
                <w:bCs/>
              </w:rPr>
              <w:t>Letter Grade</w:t>
            </w:r>
          </w:p>
        </w:tc>
        <w:tc>
          <w:tcPr>
            <w:tcW w:w="2088" w:type="dxa"/>
          </w:tcPr>
          <w:p w14:paraId="7CE714ED" w14:textId="77777777" w:rsidR="00711B94" w:rsidRPr="005302A1" w:rsidRDefault="00711B94" w:rsidP="00292BB6">
            <w:pPr>
              <w:jc w:val="center"/>
              <w:rPr>
                <w:b/>
                <w:bCs/>
              </w:rPr>
            </w:pPr>
            <w:r w:rsidRPr="005302A1">
              <w:rPr>
                <w:b/>
                <w:bCs/>
              </w:rPr>
              <w:t>Point Equivalent</w:t>
            </w:r>
          </w:p>
        </w:tc>
      </w:tr>
      <w:tr w:rsidR="00711B94" w14:paraId="428D4467" w14:textId="77777777" w:rsidTr="00292BB6">
        <w:tc>
          <w:tcPr>
            <w:tcW w:w="2070" w:type="dxa"/>
          </w:tcPr>
          <w:p w14:paraId="48630E32" w14:textId="77777777" w:rsidR="00711B94" w:rsidRDefault="00711B94" w:rsidP="00292BB6">
            <w:pPr>
              <w:jc w:val="center"/>
            </w:pPr>
            <w:r w:rsidRPr="00D01FEB">
              <w:t>A (Excellent)</w:t>
            </w:r>
          </w:p>
        </w:tc>
        <w:tc>
          <w:tcPr>
            <w:tcW w:w="2106" w:type="dxa"/>
          </w:tcPr>
          <w:p w14:paraId="1B247DD1" w14:textId="77777777" w:rsidR="00711B94" w:rsidRDefault="00711B94" w:rsidP="00292BB6">
            <w:pPr>
              <w:jc w:val="center"/>
            </w:pPr>
            <w:r w:rsidRPr="00D01FEB">
              <w:t>4.0</w:t>
            </w:r>
            <w:r>
              <w:t>0</w:t>
            </w:r>
          </w:p>
        </w:tc>
        <w:tc>
          <w:tcPr>
            <w:tcW w:w="2142" w:type="dxa"/>
          </w:tcPr>
          <w:p w14:paraId="61FB72BF" w14:textId="77777777" w:rsidR="00711B94" w:rsidRDefault="00711B94" w:rsidP="00292BB6">
            <w:pPr>
              <w:jc w:val="center"/>
            </w:pPr>
            <w:r w:rsidRPr="00D01FEB">
              <w:t>C (Satisfactory)</w:t>
            </w:r>
          </w:p>
        </w:tc>
        <w:tc>
          <w:tcPr>
            <w:tcW w:w="2088" w:type="dxa"/>
          </w:tcPr>
          <w:p w14:paraId="066DEF98" w14:textId="77777777" w:rsidR="00711B94" w:rsidRDefault="00711B94" w:rsidP="00292BB6">
            <w:pPr>
              <w:jc w:val="center"/>
            </w:pPr>
            <w:r w:rsidRPr="00D01FEB">
              <w:t>2.0</w:t>
            </w:r>
            <w:r>
              <w:t>0</w:t>
            </w:r>
          </w:p>
        </w:tc>
      </w:tr>
      <w:tr w:rsidR="00711B94" w14:paraId="2EAF3265" w14:textId="77777777" w:rsidTr="00292BB6">
        <w:tc>
          <w:tcPr>
            <w:tcW w:w="2070" w:type="dxa"/>
          </w:tcPr>
          <w:p w14:paraId="4086075F" w14:textId="77777777" w:rsidR="00711B94" w:rsidRDefault="00711B94" w:rsidP="00292BB6">
            <w:pPr>
              <w:jc w:val="center"/>
            </w:pPr>
            <w:r w:rsidRPr="00D01FEB">
              <w:t>A-</w:t>
            </w:r>
          </w:p>
        </w:tc>
        <w:tc>
          <w:tcPr>
            <w:tcW w:w="2106" w:type="dxa"/>
          </w:tcPr>
          <w:p w14:paraId="70D5AD30" w14:textId="77777777" w:rsidR="00711B94" w:rsidRDefault="00711B94" w:rsidP="00292BB6">
            <w:pPr>
              <w:jc w:val="center"/>
            </w:pPr>
            <w:r w:rsidRPr="00D01FEB">
              <w:t>3.67</w:t>
            </w:r>
          </w:p>
        </w:tc>
        <w:tc>
          <w:tcPr>
            <w:tcW w:w="2142" w:type="dxa"/>
          </w:tcPr>
          <w:p w14:paraId="5061F6EF" w14:textId="77777777" w:rsidR="00711B94" w:rsidRDefault="00711B94" w:rsidP="00292BB6">
            <w:pPr>
              <w:jc w:val="center"/>
            </w:pPr>
            <w:r w:rsidRPr="00D01FEB">
              <w:t>C-</w:t>
            </w:r>
          </w:p>
        </w:tc>
        <w:tc>
          <w:tcPr>
            <w:tcW w:w="2088" w:type="dxa"/>
          </w:tcPr>
          <w:p w14:paraId="594B0943" w14:textId="77777777" w:rsidR="00711B94" w:rsidRDefault="00711B94" w:rsidP="00292BB6">
            <w:pPr>
              <w:jc w:val="center"/>
            </w:pPr>
            <w:r w:rsidRPr="00D01FEB">
              <w:t>1.67</w:t>
            </w:r>
          </w:p>
        </w:tc>
      </w:tr>
      <w:tr w:rsidR="00711B94" w14:paraId="2C290216" w14:textId="77777777" w:rsidTr="00292BB6">
        <w:tc>
          <w:tcPr>
            <w:tcW w:w="2070" w:type="dxa"/>
          </w:tcPr>
          <w:p w14:paraId="122D2B7B" w14:textId="77777777" w:rsidR="00711B94" w:rsidRDefault="00711B94" w:rsidP="00292BB6">
            <w:pPr>
              <w:jc w:val="center"/>
            </w:pPr>
            <w:r w:rsidRPr="00D01FEB">
              <w:t>B+</w:t>
            </w:r>
          </w:p>
        </w:tc>
        <w:tc>
          <w:tcPr>
            <w:tcW w:w="2106" w:type="dxa"/>
          </w:tcPr>
          <w:p w14:paraId="69E9B88A" w14:textId="77777777" w:rsidR="00711B94" w:rsidRDefault="00711B94" w:rsidP="00292BB6">
            <w:pPr>
              <w:jc w:val="center"/>
            </w:pPr>
            <w:r w:rsidRPr="00D01FEB">
              <w:t>3.33</w:t>
            </w:r>
          </w:p>
        </w:tc>
        <w:tc>
          <w:tcPr>
            <w:tcW w:w="2142" w:type="dxa"/>
          </w:tcPr>
          <w:p w14:paraId="46598270" w14:textId="77777777" w:rsidR="00711B94" w:rsidRDefault="00711B94" w:rsidP="00292BB6">
            <w:pPr>
              <w:jc w:val="center"/>
            </w:pPr>
            <w:r w:rsidRPr="00D01FEB">
              <w:t>D+</w:t>
            </w:r>
          </w:p>
        </w:tc>
        <w:tc>
          <w:tcPr>
            <w:tcW w:w="2088" w:type="dxa"/>
          </w:tcPr>
          <w:p w14:paraId="72EDE9A3" w14:textId="77777777" w:rsidR="00711B94" w:rsidRDefault="00711B94" w:rsidP="00292BB6">
            <w:pPr>
              <w:jc w:val="center"/>
            </w:pPr>
            <w:r w:rsidRPr="00D01FEB">
              <w:t>1.33</w:t>
            </w:r>
          </w:p>
        </w:tc>
      </w:tr>
      <w:tr w:rsidR="00711B94" w14:paraId="782E73D3" w14:textId="77777777" w:rsidTr="00292BB6">
        <w:tc>
          <w:tcPr>
            <w:tcW w:w="2070" w:type="dxa"/>
          </w:tcPr>
          <w:p w14:paraId="3C41C0D0" w14:textId="77777777" w:rsidR="00711B94" w:rsidRDefault="00711B94" w:rsidP="00292BB6">
            <w:pPr>
              <w:jc w:val="center"/>
            </w:pPr>
            <w:r w:rsidRPr="00D01FEB">
              <w:t>B</w:t>
            </w:r>
          </w:p>
        </w:tc>
        <w:tc>
          <w:tcPr>
            <w:tcW w:w="2106" w:type="dxa"/>
          </w:tcPr>
          <w:p w14:paraId="418EB598" w14:textId="77777777" w:rsidR="00711B94" w:rsidRDefault="00711B94" w:rsidP="00292BB6">
            <w:pPr>
              <w:jc w:val="center"/>
            </w:pPr>
            <w:r w:rsidRPr="00D01FEB">
              <w:t>3.0</w:t>
            </w:r>
            <w:r>
              <w:t>0</w:t>
            </w:r>
          </w:p>
        </w:tc>
        <w:tc>
          <w:tcPr>
            <w:tcW w:w="2142" w:type="dxa"/>
          </w:tcPr>
          <w:p w14:paraId="1AD94D61" w14:textId="77777777" w:rsidR="00711B94" w:rsidRDefault="00711B94" w:rsidP="00292BB6">
            <w:pPr>
              <w:jc w:val="center"/>
            </w:pPr>
            <w:r w:rsidRPr="00D01FEB">
              <w:t>D (Poor)</w:t>
            </w:r>
          </w:p>
        </w:tc>
        <w:tc>
          <w:tcPr>
            <w:tcW w:w="2088" w:type="dxa"/>
          </w:tcPr>
          <w:p w14:paraId="1D7A4ED1" w14:textId="77777777" w:rsidR="00711B94" w:rsidRDefault="00711B94" w:rsidP="00292BB6">
            <w:pPr>
              <w:jc w:val="center"/>
            </w:pPr>
            <w:r w:rsidRPr="00D01FEB">
              <w:t>1.0</w:t>
            </w:r>
            <w:r>
              <w:t>0</w:t>
            </w:r>
          </w:p>
        </w:tc>
      </w:tr>
      <w:tr w:rsidR="00711B94" w14:paraId="24A16ADD" w14:textId="77777777" w:rsidTr="00292BB6">
        <w:tc>
          <w:tcPr>
            <w:tcW w:w="2070" w:type="dxa"/>
          </w:tcPr>
          <w:p w14:paraId="291E65EE" w14:textId="77777777" w:rsidR="00711B94" w:rsidRDefault="00711B94" w:rsidP="00292BB6">
            <w:pPr>
              <w:jc w:val="center"/>
            </w:pPr>
            <w:r w:rsidRPr="00D01FEB">
              <w:t>B-</w:t>
            </w:r>
          </w:p>
        </w:tc>
        <w:tc>
          <w:tcPr>
            <w:tcW w:w="2106" w:type="dxa"/>
          </w:tcPr>
          <w:p w14:paraId="0E39341B" w14:textId="77777777" w:rsidR="00711B94" w:rsidRDefault="00711B94" w:rsidP="00292BB6">
            <w:pPr>
              <w:jc w:val="center"/>
            </w:pPr>
            <w:r w:rsidRPr="00D01FEB">
              <w:t>2.67</w:t>
            </w:r>
          </w:p>
        </w:tc>
        <w:tc>
          <w:tcPr>
            <w:tcW w:w="2142" w:type="dxa"/>
          </w:tcPr>
          <w:p w14:paraId="43909EB7" w14:textId="77777777" w:rsidR="00711B94" w:rsidRDefault="00711B94" w:rsidP="00292BB6">
            <w:pPr>
              <w:jc w:val="center"/>
            </w:pPr>
            <w:r w:rsidRPr="00D01FEB">
              <w:t>D-</w:t>
            </w:r>
          </w:p>
        </w:tc>
        <w:tc>
          <w:tcPr>
            <w:tcW w:w="2088" w:type="dxa"/>
          </w:tcPr>
          <w:p w14:paraId="1E25A115" w14:textId="77777777" w:rsidR="00711B94" w:rsidRDefault="00711B94" w:rsidP="00292BB6">
            <w:pPr>
              <w:jc w:val="center"/>
            </w:pPr>
            <w:r w:rsidRPr="00D01FEB">
              <w:t>0.67</w:t>
            </w:r>
          </w:p>
        </w:tc>
      </w:tr>
      <w:tr w:rsidR="00711B94" w14:paraId="79F4E515" w14:textId="77777777" w:rsidTr="00292BB6">
        <w:tc>
          <w:tcPr>
            <w:tcW w:w="2070" w:type="dxa"/>
          </w:tcPr>
          <w:p w14:paraId="5F8D57A8" w14:textId="77777777" w:rsidR="00711B94" w:rsidRDefault="00711B94" w:rsidP="00292BB6">
            <w:pPr>
              <w:jc w:val="center"/>
            </w:pPr>
            <w:r w:rsidRPr="00D01FEB">
              <w:t>C+</w:t>
            </w:r>
          </w:p>
        </w:tc>
        <w:tc>
          <w:tcPr>
            <w:tcW w:w="2106" w:type="dxa"/>
          </w:tcPr>
          <w:p w14:paraId="4C68AAC9" w14:textId="77777777" w:rsidR="00711B94" w:rsidRDefault="00711B94" w:rsidP="00292BB6">
            <w:pPr>
              <w:jc w:val="center"/>
            </w:pPr>
            <w:r w:rsidRPr="00D01FEB">
              <w:t>2.33</w:t>
            </w:r>
          </w:p>
        </w:tc>
        <w:tc>
          <w:tcPr>
            <w:tcW w:w="2142" w:type="dxa"/>
          </w:tcPr>
          <w:p w14:paraId="666CCA4B" w14:textId="77777777" w:rsidR="00711B94" w:rsidRDefault="00711B94" w:rsidP="00292BB6">
            <w:pPr>
              <w:jc w:val="center"/>
            </w:pPr>
            <w:r w:rsidRPr="00D01FEB">
              <w:t>E (Failure)</w:t>
            </w:r>
          </w:p>
        </w:tc>
        <w:tc>
          <w:tcPr>
            <w:tcW w:w="2088" w:type="dxa"/>
          </w:tcPr>
          <w:p w14:paraId="769980F3" w14:textId="77777777" w:rsidR="00711B94" w:rsidRDefault="00711B94" w:rsidP="00292BB6">
            <w:pPr>
              <w:jc w:val="center"/>
            </w:pPr>
            <w:r w:rsidRPr="00D01FEB">
              <w:t>0.0</w:t>
            </w:r>
            <w:r>
              <w:t>0</w:t>
            </w:r>
          </w:p>
        </w:tc>
      </w:tr>
    </w:tbl>
    <w:p w14:paraId="43054BBE" w14:textId="77777777" w:rsidR="00711B94" w:rsidRDefault="00711B94" w:rsidP="00711B94">
      <w:pPr>
        <w:jc w:val="both"/>
      </w:pPr>
    </w:p>
    <w:p w14:paraId="3D378E44" w14:textId="7D1162C0" w:rsidR="00711B94" w:rsidRPr="00D01FEB" w:rsidRDefault="00711B94" w:rsidP="00711B94">
      <w:pPr>
        <w:jc w:val="both"/>
      </w:pPr>
      <w:r w:rsidRPr="00D01FEB">
        <w:t xml:space="preserve">The law school grading policy is available at: </w:t>
      </w:r>
      <w:hyperlink r:id="rId6" w:history="1">
        <w:r w:rsidR="004151B5" w:rsidRPr="00C74819">
          <w:rPr>
            <w:rStyle w:val="Hyperlink"/>
          </w:rPr>
          <w:t>https://www.law.ufl.edu/life-at-uf-law/office-of-student-affairs/current-students/uf-law-student-handbook-and-academic-policies</w:t>
        </w:r>
      </w:hyperlink>
      <w:r w:rsidRPr="00D01FEB">
        <w:t>.</w:t>
      </w:r>
    </w:p>
    <w:p w14:paraId="30BA674D" w14:textId="77777777" w:rsidR="00626746" w:rsidRDefault="00626746" w:rsidP="00626746">
      <w:pPr>
        <w:jc w:val="both"/>
        <w:rPr>
          <w:rFonts w:ascii="Book Antiqua" w:eastAsia="Times New Roman" w:hAnsi="Book Antiqua" w:cs="Times New Roman"/>
        </w:rPr>
      </w:pPr>
    </w:p>
    <w:p w14:paraId="7A19CDC2"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4AF7950B" w14:textId="77777777" w:rsidR="00626746" w:rsidRDefault="00626746" w:rsidP="00626746">
      <w:pPr>
        <w:jc w:val="both"/>
        <w:rPr>
          <w:rFonts w:ascii="Book Antiqua" w:eastAsia="Times New Roman" w:hAnsi="Book Antiqua" w:cs="Times New Roman"/>
        </w:rPr>
      </w:pPr>
    </w:p>
    <w:p w14:paraId="171DB3B8" w14:textId="77777777" w:rsidR="00626746" w:rsidRDefault="00626746" w:rsidP="00626746">
      <w:pPr>
        <w:jc w:val="both"/>
      </w:pPr>
      <w:r w:rsidRPr="00800466">
        <w:t>It is anticipated that you will spend approximately 2 hours out of class reading and/or preparing for in class assignments for every 1 hour in class.</w:t>
      </w:r>
    </w:p>
    <w:p w14:paraId="698462D2" w14:textId="77777777" w:rsidR="00626746" w:rsidRPr="00800466" w:rsidRDefault="00626746" w:rsidP="00626746">
      <w:pPr>
        <w:jc w:val="both"/>
      </w:pPr>
    </w:p>
    <w:p w14:paraId="16D00F59" w14:textId="77777777"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46E982E0" w14:textId="77777777" w:rsidR="00626746" w:rsidRPr="006B2D85" w:rsidRDefault="00626746" w:rsidP="00626746">
      <w:pPr>
        <w:jc w:val="both"/>
        <w:rPr>
          <w:rFonts w:ascii="Book Antiqua" w:eastAsia="Times New Roman" w:hAnsi="Book Antiqua" w:cs="Times New Roman"/>
        </w:rPr>
      </w:pPr>
    </w:p>
    <w:p w14:paraId="1A59ED6A" w14:textId="77777777" w:rsidR="00711B94" w:rsidRDefault="00711B94" w:rsidP="00711B9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7"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06F5BF19" w14:textId="77777777" w:rsidR="00711B94" w:rsidRDefault="00711B94" w:rsidP="00711B94">
      <w:pPr>
        <w:jc w:val="both"/>
        <w:rPr>
          <w:rFonts w:cs="Times New Roman"/>
        </w:rPr>
      </w:pPr>
    </w:p>
    <w:p w14:paraId="1CB0CF6B" w14:textId="77777777" w:rsidR="00711B94" w:rsidRPr="0068569A"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786EA1A8" w14:textId="77777777" w:rsidR="00626746" w:rsidRDefault="00626746" w:rsidP="00626746">
      <w:pPr>
        <w:jc w:val="both"/>
        <w:rPr>
          <w:rFonts w:ascii="Book Antiqua" w:eastAsia="Times New Roman" w:hAnsi="Book Antiqua" w:cs="Times New Roman"/>
        </w:rPr>
      </w:pPr>
    </w:p>
    <w:p w14:paraId="473C8FEF"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796A9EDC" w14:textId="77777777" w:rsidR="00626746" w:rsidRDefault="00626746" w:rsidP="00626746">
      <w:pPr>
        <w:jc w:val="both"/>
        <w:rPr>
          <w:rFonts w:ascii="Book Antiqua" w:eastAsia="Times New Roman" w:hAnsi="Book Antiqua" w:cs="Times New Roman"/>
        </w:rPr>
      </w:pPr>
    </w:p>
    <w:p w14:paraId="0A5D525D" w14:textId="77777777" w:rsidR="00626746" w:rsidRDefault="00626746" w:rsidP="00626746">
      <w:pPr>
        <w:jc w:val="both"/>
      </w:pPr>
      <w:r w:rsidRPr="00D01FEB">
        <w:t>Students requesting accommodation for disabilities must first register with the Disability Resource Center  (</w:t>
      </w:r>
      <w:hyperlink r:id="rId8" w:history="1">
        <w:r w:rsidRPr="00D01FEB">
          <w:rPr>
            <w:rStyle w:val="Hyperlink"/>
          </w:rPr>
          <w:t>http</w:t>
        </w:r>
      </w:hyperlink>
      <w:hyperlink r:id="rId9" w:history="1">
        <w:r w:rsidRPr="00D01FEB">
          <w:rPr>
            <w:rStyle w:val="Hyperlink"/>
          </w:rPr>
          <w:t>://</w:t>
        </w:r>
      </w:hyperlink>
      <w:hyperlink r:id="rId10" w:history="1">
        <w:r w:rsidRPr="00D01FEB">
          <w:rPr>
            <w:rStyle w:val="Hyperlink"/>
          </w:rPr>
          <w:t>www</w:t>
        </w:r>
      </w:hyperlink>
      <w:hyperlink r:id="rId11" w:history="1">
        <w:r w:rsidRPr="00D01FEB">
          <w:rPr>
            <w:rStyle w:val="Hyperlink"/>
          </w:rPr>
          <w:t>.</w:t>
        </w:r>
      </w:hyperlink>
      <w:hyperlink r:id="rId12" w:history="1">
        <w:r w:rsidRPr="00D01FEB">
          <w:rPr>
            <w:rStyle w:val="Hyperlink"/>
          </w:rPr>
          <w:t>ds</w:t>
        </w:r>
      </w:hyperlink>
      <w:hyperlink r:id="rId13" w:history="1">
        <w:r w:rsidRPr="00D01FEB">
          <w:rPr>
            <w:rStyle w:val="Hyperlink"/>
          </w:rPr>
          <w:t>o</w:t>
        </w:r>
      </w:hyperlink>
      <w:hyperlink r:id="rId14" w:history="1">
        <w:r w:rsidRPr="00D01FEB">
          <w:rPr>
            <w:rStyle w:val="Hyperlink"/>
          </w:rPr>
          <w:t>.</w:t>
        </w:r>
      </w:hyperlink>
      <w:hyperlink r:id="rId15" w:history="1">
        <w:r w:rsidRPr="00D01FEB">
          <w:rPr>
            <w:rStyle w:val="Hyperlink"/>
          </w:rPr>
          <w:t>ufl</w:t>
        </w:r>
      </w:hyperlink>
      <w:hyperlink r:id="rId16" w:history="1">
        <w:r w:rsidRPr="00D01FEB">
          <w:rPr>
            <w:rStyle w:val="Hyperlink"/>
          </w:rPr>
          <w:t>.</w:t>
        </w:r>
      </w:hyperlink>
      <w:hyperlink r:id="rId17" w:history="1">
        <w:r w:rsidRPr="00D01FEB">
          <w:rPr>
            <w:rStyle w:val="Hyperlink"/>
          </w:rPr>
          <w:t>edu</w:t>
        </w:r>
      </w:hyperlink>
      <w:hyperlink r:id="rId18" w:history="1">
        <w:r w:rsidRPr="00D01FEB">
          <w:rPr>
            <w:rStyle w:val="Hyperlink"/>
          </w:rPr>
          <w:t>/</w:t>
        </w:r>
      </w:hyperlink>
      <w:hyperlink r:id="rId19" w:history="1">
        <w:r w:rsidRPr="00D01FEB">
          <w:rPr>
            <w:rStyle w:val="Hyperlink"/>
          </w:rPr>
          <w:t>drc</w:t>
        </w:r>
      </w:hyperlink>
      <w:hyperlink r:id="rId20"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92D77C0" w14:textId="77777777" w:rsidR="00626746" w:rsidRDefault="00626746" w:rsidP="00626746">
      <w:pPr>
        <w:jc w:val="both"/>
      </w:pPr>
    </w:p>
    <w:p w14:paraId="2057E2E9" w14:textId="77777777"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66A8B62C" w14:textId="77777777" w:rsidR="00626746" w:rsidRDefault="00626746" w:rsidP="00626746">
      <w:pPr>
        <w:jc w:val="both"/>
      </w:pPr>
    </w:p>
    <w:p w14:paraId="7161924B"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47363F0E" w14:textId="77777777" w:rsidR="00626746" w:rsidRDefault="00626746" w:rsidP="00626746">
      <w:pPr>
        <w:jc w:val="both"/>
        <w:rPr>
          <w:rFonts w:ascii="Book Antiqua" w:eastAsia="Times New Roman" w:hAnsi="Book Antiqua" w:cs="Times New Roman"/>
        </w:rPr>
      </w:pPr>
    </w:p>
    <w:p w14:paraId="071DE703"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1" w:history="1">
        <w:r w:rsidRPr="00D01FEB">
          <w:rPr>
            <w:rStyle w:val="Hyperlink"/>
          </w:rPr>
          <w:t>http</w:t>
        </w:r>
      </w:hyperlink>
      <w:hyperlink r:id="rId22" w:history="1">
        <w:r w:rsidRPr="00D01FEB">
          <w:rPr>
            <w:rStyle w:val="Hyperlink"/>
          </w:rPr>
          <w:t>://</w:t>
        </w:r>
      </w:hyperlink>
      <w:hyperlink r:id="rId23" w:history="1">
        <w:r w:rsidRPr="00D01FEB">
          <w:rPr>
            <w:rStyle w:val="Hyperlink"/>
          </w:rPr>
          <w:t>www</w:t>
        </w:r>
      </w:hyperlink>
      <w:hyperlink r:id="rId24" w:history="1">
        <w:r w:rsidRPr="00D01FEB">
          <w:rPr>
            <w:rStyle w:val="Hyperlink"/>
          </w:rPr>
          <w:t>.</w:t>
        </w:r>
      </w:hyperlink>
      <w:hyperlink r:id="rId25" w:history="1">
        <w:r w:rsidRPr="00D01FEB">
          <w:rPr>
            <w:rStyle w:val="Hyperlink"/>
          </w:rPr>
          <w:t>dso</w:t>
        </w:r>
      </w:hyperlink>
      <w:hyperlink r:id="rId26" w:history="1">
        <w:r w:rsidRPr="00D01FEB">
          <w:rPr>
            <w:rStyle w:val="Hyperlink"/>
          </w:rPr>
          <w:t>.</w:t>
        </w:r>
      </w:hyperlink>
      <w:hyperlink r:id="rId27" w:history="1">
        <w:r w:rsidRPr="00D01FEB">
          <w:rPr>
            <w:rStyle w:val="Hyperlink"/>
          </w:rPr>
          <w:t>ufl</w:t>
        </w:r>
      </w:hyperlink>
      <w:hyperlink r:id="rId28" w:history="1">
        <w:r w:rsidRPr="00D01FEB">
          <w:rPr>
            <w:rStyle w:val="Hyperlink"/>
          </w:rPr>
          <w:t>.</w:t>
        </w:r>
      </w:hyperlink>
      <w:hyperlink r:id="rId29" w:history="1">
        <w:r w:rsidRPr="00D01FEB">
          <w:rPr>
            <w:rStyle w:val="Hyperlink"/>
          </w:rPr>
          <w:t>edu</w:t>
        </w:r>
      </w:hyperlink>
      <w:hyperlink r:id="rId30" w:history="1">
        <w:r w:rsidRPr="00D01FEB">
          <w:rPr>
            <w:rStyle w:val="Hyperlink"/>
          </w:rPr>
          <w:t>/</w:t>
        </w:r>
      </w:hyperlink>
      <w:hyperlink r:id="rId31" w:history="1">
        <w:r w:rsidRPr="00D01FEB">
          <w:rPr>
            <w:rStyle w:val="Hyperlink"/>
          </w:rPr>
          <w:t>students</w:t>
        </w:r>
      </w:hyperlink>
      <w:hyperlink r:id="rId32" w:history="1">
        <w:r w:rsidRPr="00D01FEB">
          <w:rPr>
            <w:rStyle w:val="Hyperlink"/>
          </w:rPr>
          <w:t>.</w:t>
        </w:r>
      </w:hyperlink>
      <w:hyperlink r:id="rId33" w:history="1">
        <w:r w:rsidRPr="00D01FEB">
          <w:rPr>
            <w:rStyle w:val="Hyperlink"/>
          </w:rPr>
          <w:t>php</w:t>
        </w:r>
      </w:hyperlink>
      <w:r w:rsidRPr="00D01FEB">
        <w:t xml:space="preserve">. </w:t>
      </w:r>
    </w:p>
    <w:p w14:paraId="21341949" w14:textId="09E71542" w:rsidR="00F41ECE" w:rsidRDefault="00F41ECE" w:rsidP="00626746">
      <w:pPr>
        <w:jc w:val="both"/>
      </w:pPr>
    </w:p>
    <w:p w14:paraId="4D935F44" w14:textId="77777777" w:rsidR="003042DC" w:rsidRPr="00922676" w:rsidRDefault="003042DC" w:rsidP="003042DC">
      <w:pPr>
        <w:jc w:val="both"/>
        <w:rPr>
          <w:b/>
          <w:bCs/>
        </w:rPr>
      </w:pPr>
      <w:r w:rsidRPr="00922676">
        <w:rPr>
          <w:b/>
          <w:bCs/>
        </w:rPr>
        <w:t>ONLINE COURSE EVALUATIONS</w:t>
      </w:r>
    </w:p>
    <w:p w14:paraId="642EBCF3" w14:textId="77777777" w:rsidR="00B1412B" w:rsidRPr="00B1412B" w:rsidRDefault="00B1412B" w:rsidP="003042DC">
      <w:pPr>
        <w:jc w:val="both"/>
        <w:rPr>
          <w:rFonts w:cs="Times New Roman"/>
        </w:rPr>
      </w:pPr>
    </w:p>
    <w:p w14:paraId="29BA87A0" w14:textId="343EB190" w:rsidR="003042DC" w:rsidRPr="00B1412B" w:rsidRDefault="003042DC" w:rsidP="003042DC">
      <w:pPr>
        <w:jc w:val="both"/>
        <w:rPr>
          <w:rFonts w:cs="Times New Roman"/>
        </w:rPr>
      </w:pPr>
      <w:r w:rsidRPr="00B1412B">
        <w:rPr>
          <w:rFonts w:cs="Times New Roman"/>
        </w:rPr>
        <w:t xml:space="preserve">Students are expected to provide professional and respectful feedback on the quality of instruction in this course by completing course evaluations online via </w:t>
      </w:r>
      <w:proofErr w:type="spellStart"/>
      <w:r w:rsidRPr="00B1412B">
        <w:rPr>
          <w:rFonts w:cs="Times New Roman"/>
        </w:rPr>
        <w:t>GatorEvals</w:t>
      </w:r>
      <w:proofErr w:type="spellEnd"/>
      <w:r w:rsidRPr="00B1412B">
        <w:rPr>
          <w:rFonts w:cs="Times New Roman"/>
        </w:rPr>
        <w:t xml:space="preserve">. Guidance on how to give feedback in a professional and respectful manner can be found here: </w:t>
      </w:r>
      <w:hyperlink r:id="rId34" w:history="1">
        <w:r w:rsidRPr="00B1412B">
          <w:rPr>
            <w:rStyle w:val="Hyperlink"/>
            <w:rFonts w:cs="Times New Roman"/>
          </w:rPr>
          <w:t>https://gatorevals.aa.ufl.edu/students/</w:t>
        </w:r>
      </w:hyperlink>
      <w:r w:rsidRPr="00B1412B">
        <w:rPr>
          <w:rFonts w:cs="Times New Roman"/>
        </w:rPr>
        <w:t xml:space="preserve">. Students will be notified when the evaluation period opens, and can complete evaluations through the email they receive from </w:t>
      </w:r>
      <w:proofErr w:type="spellStart"/>
      <w:r w:rsidRPr="00B1412B">
        <w:rPr>
          <w:rFonts w:cs="Times New Roman"/>
        </w:rPr>
        <w:t>GatorEvals</w:t>
      </w:r>
      <w:proofErr w:type="spellEnd"/>
      <w:r w:rsidRPr="00B1412B">
        <w:rPr>
          <w:rFonts w:cs="Times New Roman"/>
        </w:rPr>
        <w:t xml:space="preserve">, in their Canvas course menu under </w:t>
      </w:r>
      <w:proofErr w:type="spellStart"/>
      <w:r w:rsidRPr="00B1412B">
        <w:rPr>
          <w:rFonts w:cs="Times New Roman"/>
        </w:rPr>
        <w:t>GatorEvals</w:t>
      </w:r>
      <w:proofErr w:type="spellEnd"/>
      <w:r w:rsidRPr="00B1412B">
        <w:rPr>
          <w:rFonts w:cs="Times New Roman"/>
        </w:rPr>
        <w:t xml:space="preserve">, or via </w:t>
      </w:r>
      <w:hyperlink r:id="rId35" w:history="1">
        <w:r w:rsidRPr="00B1412B">
          <w:rPr>
            <w:rStyle w:val="Hyperlink"/>
            <w:rFonts w:cs="Times New Roman"/>
          </w:rPr>
          <w:t>ufl.bluera.com/ufl/</w:t>
        </w:r>
      </w:hyperlink>
      <w:r w:rsidRPr="00B1412B">
        <w:rPr>
          <w:rFonts w:cs="Times New Roman"/>
        </w:rPr>
        <w:t>. Summaries of course evaluation results are available to students</w:t>
      </w:r>
      <w:r w:rsidRPr="00B1412B">
        <w:t xml:space="preserve"> can be found here: </w:t>
      </w:r>
      <w:hyperlink r:id="rId36" w:history="1">
        <w:r w:rsidRPr="00B1412B">
          <w:rPr>
            <w:rStyle w:val="Hyperlink"/>
          </w:rPr>
          <w:t>https://gatorevals.aa.ufl.edu/public-results/</w:t>
        </w:r>
      </w:hyperlink>
      <w:r w:rsidRPr="00B1412B">
        <w:t xml:space="preserve">. </w:t>
      </w:r>
    </w:p>
    <w:p w14:paraId="73F1C962" w14:textId="77777777" w:rsidR="003042DC" w:rsidRPr="00B1412B" w:rsidRDefault="003042DC" w:rsidP="003042DC">
      <w:pPr>
        <w:jc w:val="both"/>
      </w:pPr>
    </w:p>
    <w:p w14:paraId="1DC7A0A7" w14:textId="77777777" w:rsidR="003042DC" w:rsidRPr="0007750B" w:rsidRDefault="003042DC" w:rsidP="003042DC">
      <w:pPr>
        <w:jc w:val="both"/>
        <w:rPr>
          <w:b/>
          <w:bCs/>
        </w:rPr>
      </w:pPr>
      <w:r w:rsidRPr="0007750B">
        <w:rPr>
          <w:b/>
          <w:bCs/>
        </w:rPr>
        <w:t>COVID POLICY</w:t>
      </w:r>
    </w:p>
    <w:p w14:paraId="0E6AD773" w14:textId="77777777" w:rsidR="003042DC" w:rsidRPr="00B1412B" w:rsidRDefault="003042DC" w:rsidP="003042DC">
      <w:pPr>
        <w:jc w:val="both"/>
        <w:rPr>
          <w:rFonts w:ascii="Book Antiqua" w:hAnsi="Book Antiqua"/>
        </w:rPr>
      </w:pPr>
    </w:p>
    <w:p w14:paraId="2052C42B" w14:textId="705B573B" w:rsidR="003042DC" w:rsidRPr="00B1412B" w:rsidRDefault="003D56C3" w:rsidP="003D56C3">
      <w:pPr>
        <w:jc w:val="both"/>
        <w:rPr>
          <w:rFonts w:ascii="Book Antiqua" w:hAnsi="Book Antiqua" w:cs="Times New Roman"/>
        </w:rPr>
      </w:pPr>
      <w:r>
        <w:rPr>
          <w:rFonts w:ascii="Book Antiqua" w:hAnsi="Book Antiqua" w:cs="Times New Roman"/>
        </w:rPr>
        <w:t xml:space="preserve">The Covid-19 policy for the course is the prevailing University of Florida’s policy in effect during the </w:t>
      </w:r>
      <w:r w:rsidR="000D5898">
        <w:rPr>
          <w:rFonts w:ascii="Book Antiqua" w:hAnsi="Book Antiqua" w:cs="Times New Roman"/>
        </w:rPr>
        <w:t xml:space="preserve">entire </w:t>
      </w:r>
      <w:r>
        <w:rPr>
          <w:rFonts w:ascii="Book Antiqua" w:hAnsi="Book Antiqua" w:cs="Times New Roman"/>
        </w:rPr>
        <w:t xml:space="preserve">pendency of the course. </w:t>
      </w:r>
      <w:r w:rsidR="00871196">
        <w:rPr>
          <w:rFonts w:ascii="Book Antiqua" w:hAnsi="Book Antiqua" w:cs="Times New Roman"/>
        </w:rPr>
        <w:t xml:space="preserve">If the UF policy changes, the policy in effect for the course will also change. </w:t>
      </w:r>
      <w:r>
        <w:rPr>
          <w:rFonts w:ascii="Book Antiqua" w:hAnsi="Book Antiqua" w:cs="Times New Roman"/>
        </w:rPr>
        <w:t xml:space="preserve">Additionally, your professor kindly asks </w:t>
      </w:r>
      <w:r w:rsidR="000D5898">
        <w:rPr>
          <w:rFonts w:ascii="Book Antiqua" w:hAnsi="Book Antiqua" w:cs="Times New Roman"/>
        </w:rPr>
        <w:t xml:space="preserve">all participants of the course </w:t>
      </w:r>
      <w:r>
        <w:rPr>
          <w:rFonts w:ascii="Book Antiqua" w:hAnsi="Book Antiqua" w:cs="Times New Roman"/>
        </w:rPr>
        <w:t xml:space="preserve">that </w:t>
      </w:r>
      <w:r w:rsidR="00871196">
        <w:rPr>
          <w:rFonts w:ascii="Book Antiqua" w:hAnsi="Book Antiqua" w:cs="Times New Roman"/>
        </w:rPr>
        <w:t>we</w:t>
      </w:r>
      <w:r>
        <w:rPr>
          <w:rFonts w:ascii="Book Antiqua" w:hAnsi="Book Antiqua" w:cs="Times New Roman"/>
        </w:rPr>
        <w:t xml:space="preserve"> consider the circumstances of our times and respect public health and the safety of our community. </w:t>
      </w:r>
    </w:p>
    <w:p w14:paraId="223C793E" w14:textId="77777777" w:rsidR="003042DC" w:rsidRPr="00B1412B" w:rsidRDefault="003042DC" w:rsidP="00B1412B">
      <w:pPr>
        <w:jc w:val="both"/>
        <w:rPr>
          <w:rFonts w:ascii="Book Antiqua" w:hAnsi="Book Antiqua"/>
        </w:rPr>
      </w:pPr>
    </w:p>
    <w:p w14:paraId="05040E47" w14:textId="6C34EE82" w:rsidR="003042DC" w:rsidRPr="00D01FEB" w:rsidRDefault="003042DC" w:rsidP="003042DC">
      <w:pPr>
        <w:jc w:val="both"/>
        <w:rPr>
          <w:rFonts w:ascii="Book Antiqua" w:eastAsia="Times New Roman" w:hAnsi="Book Antiqua" w:cs="Times New Roman"/>
          <w:b/>
        </w:rPr>
      </w:pPr>
      <w:r>
        <w:rPr>
          <w:rFonts w:ascii="Book Antiqua" w:eastAsia="Times New Roman" w:hAnsi="Book Antiqua" w:cs="Times New Roman"/>
          <w:b/>
        </w:rPr>
        <w:t>RECORDING</w:t>
      </w:r>
      <w:r w:rsidR="00292FBF">
        <w:rPr>
          <w:rFonts w:ascii="Book Antiqua" w:eastAsia="Times New Roman" w:hAnsi="Book Antiqua" w:cs="Times New Roman"/>
          <w:b/>
        </w:rPr>
        <w:t xml:space="preserve"> CLASS SESSIONS</w:t>
      </w:r>
      <w:r>
        <w:rPr>
          <w:rFonts w:ascii="Book Antiqua" w:eastAsia="Times New Roman" w:hAnsi="Book Antiqua" w:cs="Times New Roman"/>
          <w:b/>
        </w:rPr>
        <w:t xml:space="preserve"> </w:t>
      </w:r>
    </w:p>
    <w:p w14:paraId="07A4699A" w14:textId="77777777" w:rsidR="003042DC" w:rsidRPr="00292FBF" w:rsidRDefault="003042DC" w:rsidP="00292FBF">
      <w:pPr>
        <w:jc w:val="both"/>
        <w:rPr>
          <w:rFonts w:ascii="Book Antiqua" w:hAnsi="Book Antiqua" w:cs="Times New Roman"/>
        </w:rPr>
      </w:pPr>
    </w:p>
    <w:p w14:paraId="1077D4B1" w14:textId="7B2E709C"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w:t>
      </w:r>
      <w:r w:rsidRPr="00292FBF">
        <w:rPr>
          <w:rFonts w:ascii="Book Antiqua" w:hAnsi="Book Antiqua" w:cs="Times New Roman"/>
        </w:rPr>
        <w:lastRenderedPageBreak/>
        <w:t xml:space="preserve">university, or (3) as evidence in, or in preparation for, a criminal or civil proceeding.  All other purposes are prohibited.  Specifically, students may not publish recorded lectures without the written consent of the instructor. </w:t>
      </w:r>
    </w:p>
    <w:p w14:paraId="78578260" w14:textId="77777777" w:rsidR="00292FBF" w:rsidRDefault="00292FBF" w:rsidP="00292FBF">
      <w:pPr>
        <w:jc w:val="both"/>
        <w:rPr>
          <w:rFonts w:ascii="Book Antiqua" w:hAnsi="Book Antiqua" w:cs="Times New Roman"/>
        </w:rPr>
      </w:pPr>
    </w:p>
    <w:p w14:paraId="60274F88" w14:textId="062C9B89"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F87216A" w14:textId="77777777" w:rsidR="00292FBF" w:rsidRDefault="00292FBF" w:rsidP="00292FBF">
      <w:pPr>
        <w:jc w:val="both"/>
        <w:rPr>
          <w:rFonts w:ascii="Book Antiqua" w:hAnsi="Book Antiqua" w:cs="Times New Roman"/>
        </w:rPr>
      </w:pPr>
    </w:p>
    <w:p w14:paraId="01272BDE" w14:textId="18C02CE6" w:rsidR="003042DC" w:rsidRPr="00292FBF" w:rsidRDefault="00292FBF" w:rsidP="00292FBF">
      <w:pPr>
        <w:jc w:val="both"/>
        <w:rPr>
          <w:rFonts w:ascii="Book Antiqua" w:hAnsi="Book Antiqua" w:cs="Times New Roman"/>
        </w:rPr>
      </w:pPr>
      <w:r w:rsidRPr="00292FBF">
        <w:rPr>
          <w:rFonts w:ascii="Book Antiqua" w:hAnsi="Book Antiqua"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92FBF">
        <w:rPr>
          <w:rFonts w:ascii="Book Antiqua" w:hAnsi="Book Antiqua" w:cs="Times New Roman"/>
        </w:rPr>
        <w:t>third party</w:t>
      </w:r>
      <w:proofErr w:type="gramEnd"/>
      <w:r w:rsidRPr="00292FBF">
        <w:rPr>
          <w:rFonts w:ascii="Book Antiqua" w:hAnsi="Book Antiqua" w:cs="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6A40653" w14:textId="77777777" w:rsidR="003042DC" w:rsidRPr="00292FBF" w:rsidRDefault="003042DC" w:rsidP="00292FBF">
      <w:pPr>
        <w:jc w:val="both"/>
        <w:rPr>
          <w:rFonts w:ascii="Book Antiqua" w:hAnsi="Book Antiqua" w:cs="Times New Roman"/>
        </w:rPr>
      </w:pPr>
    </w:p>
    <w:p w14:paraId="0F574011" w14:textId="77777777" w:rsidR="00711B94" w:rsidRPr="00D01FEB" w:rsidRDefault="00711B94" w:rsidP="00711B9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2141868C" w14:textId="77777777" w:rsidR="00711B94" w:rsidRDefault="00711B94" w:rsidP="00711B94">
      <w:pPr>
        <w:jc w:val="both"/>
        <w:rPr>
          <w:rFonts w:ascii="Book Antiqua" w:eastAsia="Times New Roman" w:hAnsi="Book Antiqua" w:cs="Times New Roman"/>
        </w:rPr>
      </w:pPr>
    </w:p>
    <w:p w14:paraId="71F45C36" w14:textId="77777777" w:rsidR="000D5898" w:rsidRDefault="00711B94" w:rsidP="000D5898">
      <w:pPr>
        <w:jc w:val="both"/>
      </w:pPr>
      <w:r>
        <w:t xml:space="preserve">Per law school policy, our course must </w:t>
      </w:r>
      <w:r w:rsidR="000D5898">
        <w:t>be mostly</w:t>
      </w:r>
      <w:r>
        <w:t xml:space="preserve"> in-person class sessions</w:t>
      </w:r>
      <w:r w:rsidR="000D5898">
        <w:t>, at least 2/3 of all class sessions</w:t>
      </w:r>
      <w:r>
        <w:t xml:space="preserve">. Consistent with this policy, we </w:t>
      </w:r>
      <w:r w:rsidR="000D5898">
        <w:t>can have at most 1/3 of class sessions online through Zoom or other means</w:t>
      </w:r>
      <w:r>
        <w:t>.</w:t>
      </w:r>
    </w:p>
    <w:p w14:paraId="15560014" w14:textId="77777777" w:rsidR="00871196" w:rsidRDefault="00871196" w:rsidP="000D5898">
      <w:pPr>
        <w:jc w:val="both"/>
      </w:pPr>
    </w:p>
    <w:p w14:paraId="028717EF" w14:textId="77777777" w:rsidR="00871196" w:rsidRDefault="00871196" w:rsidP="000D5898">
      <w:pPr>
        <w:jc w:val="both"/>
      </w:pPr>
    </w:p>
    <w:p w14:paraId="0E7C543F" w14:textId="77777777" w:rsidR="00871196" w:rsidRDefault="00871196" w:rsidP="000D5898">
      <w:pPr>
        <w:jc w:val="both"/>
      </w:pPr>
    </w:p>
    <w:p w14:paraId="0A93CAF9" w14:textId="13ADD2CA" w:rsidR="00871196" w:rsidRPr="000D5898" w:rsidRDefault="00871196" w:rsidP="000D5898">
      <w:pPr>
        <w:jc w:val="both"/>
        <w:sectPr w:rsidR="00871196" w:rsidRPr="000D5898">
          <w:pgSz w:w="12240" w:h="15840"/>
          <w:pgMar w:top="1440" w:right="1440" w:bottom="1440" w:left="1440" w:header="720" w:footer="720" w:gutter="0"/>
          <w:cols w:space="720"/>
          <w:docGrid w:linePitch="360"/>
        </w:sectPr>
      </w:pPr>
    </w:p>
    <w:p w14:paraId="62DE5BD1" w14:textId="77777777"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14:paraId="077544F5" w14:textId="77777777" w:rsidR="00AD33CD" w:rsidRDefault="00AD33CD" w:rsidP="00AD33CD">
      <w:pPr>
        <w:rPr>
          <w:rFonts w:ascii="Book Antiqua" w:hAnsi="Book Antiqua"/>
          <w:b/>
        </w:rPr>
      </w:pPr>
    </w:p>
    <w:p w14:paraId="38E3314A" w14:textId="77777777" w:rsidR="00AD33CD" w:rsidRPr="0048487B"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14:paraId="40E1FA44" w14:textId="77777777" w:rsidTr="00B57107">
        <w:trPr>
          <w:trHeight w:val="773"/>
        </w:trPr>
        <w:tc>
          <w:tcPr>
            <w:tcW w:w="810"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6660" w:type="dxa"/>
          </w:tcPr>
          <w:p w14:paraId="71771D00" w14:textId="77777777" w:rsidR="00AD33CD" w:rsidRPr="00E81769" w:rsidRDefault="00AD33CD" w:rsidP="00B57107">
            <w:pPr>
              <w:jc w:val="center"/>
              <w:rPr>
                <w:rFonts w:ascii="Book Antiqua" w:hAnsi="Book Antiqua"/>
                <w:b/>
              </w:rPr>
            </w:pPr>
          </w:p>
          <w:p w14:paraId="01A08EE7"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890" w:type="dxa"/>
            <w:vAlign w:val="center"/>
          </w:tcPr>
          <w:p w14:paraId="0796D7D0"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14:paraId="57ADEFD4" w14:textId="77777777" w:rsidTr="00B57107">
        <w:trPr>
          <w:trHeight w:val="692"/>
        </w:trPr>
        <w:tc>
          <w:tcPr>
            <w:tcW w:w="810" w:type="dxa"/>
            <w:shd w:val="clear" w:color="auto" w:fill="D9D9D9" w:themeFill="background1" w:themeFillShade="D9"/>
          </w:tcPr>
          <w:p w14:paraId="384ACE6B" w14:textId="77777777" w:rsidR="00AD33CD" w:rsidRPr="00E81769" w:rsidRDefault="009B774B" w:rsidP="00B57107">
            <w:pPr>
              <w:jc w:val="center"/>
              <w:rPr>
                <w:rFonts w:ascii="Book Antiqua" w:hAnsi="Book Antiqua"/>
              </w:rPr>
            </w:pPr>
            <w:r>
              <w:rPr>
                <w:rFonts w:ascii="Book Antiqua" w:hAnsi="Book Antiqua"/>
              </w:rPr>
              <w:t>1</w:t>
            </w:r>
          </w:p>
        </w:tc>
        <w:tc>
          <w:tcPr>
            <w:tcW w:w="6660" w:type="dxa"/>
            <w:shd w:val="clear" w:color="auto" w:fill="D9D9D9" w:themeFill="background1" w:themeFillShade="D9"/>
          </w:tcPr>
          <w:p w14:paraId="28DDBA96" w14:textId="77777777" w:rsidR="00FF1776" w:rsidRPr="00E81769" w:rsidRDefault="00FF1776" w:rsidP="00B57107">
            <w:pPr>
              <w:jc w:val="both"/>
              <w:rPr>
                <w:rFonts w:ascii="Book Antiqua" w:hAnsi="Book Antiqua"/>
              </w:rPr>
            </w:pPr>
            <w:r w:rsidRPr="00E81769">
              <w:rPr>
                <w:rFonts w:ascii="Book Antiqua" w:hAnsi="Book Antiqua"/>
              </w:rPr>
              <w:t>INTRODUCTION</w:t>
            </w:r>
          </w:p>
          <w:p w14:paraId="5D4BCC8E" w14:textId="77777777" w:rsidR="00FF1776" w:rsidRPr="00E81769" w:rsidRDefault="00FF1776" w:rsidP="00B57107">
            <w:pPr>
              <w:jc w:val="both"/>
              <w:rPr>
                <w:rFonts w:ascii="Book Antiqua" w:hAnsi="Book Antiqua"/>
              </w:rPr>
            </w:pPr>
          </w:p>
          <w:p w14:paraId="3FF3490A" w14:textId="77777777"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14:paraId="7345DC39" w14:textId="77777777"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14:paraId="5A1E5D82" w14:textId="77777777" w:rsidR="00583F99" w:rsidRPr="00E81769" w:rsidRDefault="00583F99" w:rsidP="00583F99">
            <w:pPr>
              <w:pStyle w:val="ListParagraph"/>
              <w:numPr>
                <w:ilvl w:val="1"/>
                <w:numId w:val="1"/>
              </w:numPr>
              <w:jc w:val="both"/>
              <w:rPr>
                <w:rFonts w:ascii="Book Antiqua" w:hAnsi="Book Antiqua"/>
                <w:i/>
              </w:rPr>
            </w:pPr>
            <w:r w:rsidRPr="00E81769">
              <w:rPr>
                <w:rFonts w:ascii="Book Antiqua" w:hAnsi="Book Antiqua"/>
                <w:i/>
              </w:rPr>
              <w:t>Bolt v. Merrimack Pharmaceuticals, Inc.</w:t>
            </w:r>
          </w:p>
          <w:p w14:paraId="59F62628"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14:paraId="5322B5E1" w14:textId="77777777" w:rsidR="00FF1776" w:rsidRPr="00E81769" w:rsidRDefault="00FF1776" w:rsidP="00FF1776">
            <w:pPr>
              <w:pStyle w:val="ListParagraph"/>
              <w:ind w:left="360"/>
              <w:jc w:val="both"/>
              <w:rPr>
                <w:rFonts w:ascii="Book Antiqua" w:hAnsi="Book Antiqua"/>
              </w:rPr>
            </w:pPr>
          </w:p>
        </w:tc>
        <w:tc>
          <w:tcPr>
            <w:tcW w:w="1890" w:type="dxa"/>
            <w:shd w:val="clear" w:color="auto" w:fill="D9D9D9" w:themeFill="background1" w:themeFillShade="D9"/>
          </w:tcPr>
          <w:p w14:paraId="75A86169" w14:textId="77777777"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-20</w:t>
            </w:r>
          </w:p>
        </w:tc>
      </w:tr>
      <w:tr w:rsidR="00AD33CD" w:rsidRPr="00420406" w14:paraId="6736307B" w14:textId="77777777" w:rsidTr="00B57107">
        <w:tc>
          <w:tcPr>
            <w:tcW w:w="810" w:type="dxa"/>
            <w:shd w:val="clear" w:color="auto" w:fill="D9D9D9" w:themeFill="background1" w:themeFillShade="D9"/>
          </w:tcPr>
          <w:p w14:paraId="46D68D6E" w14:textId="77777777" w:rsidR="00AD33CD" w:rsidRPr="00E81769" w:rsidRDefault="00AD33CD" w:rsidP="00B57107">
            <w:pPr>
              <w:jc w:val="center"/>
            </w:pPr>
            <w:r w:rsidRPr="00E81769">
              <w:t>2</w:t>
            </w:r>
          </w:p>
        </w:tc>
        <w:tc>
          <w:tcPr>
            <w:tcW w:w="6660" w:type="dxa"/>
            <w:shd w:val="clear" w:color="auto" w:fill="D9D9D9" w:themeFill="background1" w:themeFillShade="D9"/>
          </w:tcPr>
          <w:p w14:paraId="2FFC80A4" w14:textId="77777777"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14:paraId="04DFD897" w14:textId="77777777"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14:paraId="1A84D780"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14:paraId="754BF747"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14:paraId="7E5A5E51"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14:paraId="6BE14F9F" w14:textId="77777777" w:rsidR="00AD33CD" w:rsidRPr="00E81769" w:rsidRDefault="00AD33CD" w:rsidP="00B57107"/>
        </w:tc>
        <w:tc>
          <w:tcPr>
            <w:tcW w:w="1890" w:type="dxa"/>
            <w:shd w:val="clear" w:color="auto" w:fill="D9D9D9" w:themeFill="background1" w:themeFillShade="D9"/>
          </w:tcPr>
          <w:p w14:paraId="3DB86CE4" w14:textId="77777777" w:rsidR="00AD33CD" w:rsidRPr="00E81769" w:rsidRDefault="00583F99" w:rsidP="00B57107">
            <w:pPr>
              <w:jc w:val="center"/>
            </w:pPr>
            <w:r w:rsidRPr="00E81769">
              <w:t>20</w:t>
            </w:r>
            <w:r w:rsidR="00FF1776" w:rsidRPr="00E81769">
              <w:t>-</w:t>
            </w:r>
            <w:r w:rsidRPr="00E81769">
              <w:t>36</w:t>
            </w:r>
          </w:p>
        </w:tc>
      </w:tr>
      <w:tr w:rsidR="00AD33CD" w:rsidRPr="00420406" w14:paraId="6020CFFC" w14:textId="77777777" w:rsidTr="00B57107">
        <w:tc>
          <w:tcPr>
            <w:tcW w:w="810" w:type="dxa"/>
          </w:tcPr>
          <w:p w14:paraId="24EECDBB" w14:textId="77777777" w:rsidR="00AD33CD" w:rsidRPr="00E81769" w:rsidRDefault="009B774B" w:rsidP="00B57107">
            <w:pPr>
              <w:jc w:val="center"/>
            </w:pPr>
            <w:r>
              <w:t>3</w:t>
            </w:r>
          </w:p>
        </w:tc>
        <w:tc>
          <w:tcPr>
            <w:tcW w:w="6660" w:type="dxa"/>
          </w:tcPr>
          <w:p w14:paraId="785739C0" w14:textId="77777777"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14:paraId="454F6B24"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Alcoa financial statements   </w:t>
            </w:r>
          </w:p>
          <w:p w14:paraId="12CE2F9A" w14:textId="77777777" w:rsidR="00583F99" w:rsidRPr="00E81769" w:rsidRDefault="00583F99" w:rsidP="00B57107">
            <w:pPr>
              <w:jc w:val="both"/>
              <w:rPr>
                <w:rFonts w:ascii="Book Antiqua" w:hAnsi="Book Antiqua"/>
              </w:rPr>
            </w:pPr>
          </w:p>
          <w:p w14:paraId="0B04F387" w14:textId="77777777"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14:paraId="57FF2795"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14:paraId="729E590A"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3FCAD3A3" w14:textId="77777777" w:rsidR="00AD33CD" w:rsidRPr="00E81769" w:rsidRDefault="00AD33CD" w:rsidP="00DD3428">
            <w:pPr>
              <w:jc w:val="both"/>
            </w:pPr>
          </w:p>
        </w:tc>
        <w:tc>
          <w:tcPr>
            <w:tcW w:w="1890" w:type="dxa"/>
          </w:tcPr>
          <w:p w14:paraId="6325E98E" w14:textId="77777777" w:rsidR="00AD33CD" w:rsidRPr="00E81769" w:rsidRDefault="00583F99" w:rsidP="00B57107">
            <w:pPr>
              <w:jc w:val="center"/>
            </w:pPr>
            <w:r w:rsidRPr="00E81769">
              <w:t>37-40</w:t>
            </w:r>
          </w:p>
          <w:p w14:paraId="407DE885" w14:textId="77777777" w:rsidR="00AD33CD" w:rsidRPr="00E81769" w:rsidRDefault="00AD33CD" w:rsidP="00B57107">
            <w:pPr>
              <w:jc w:val="center"/>
            </w:pPr>
          </w:p>
          <w:p w14:paraId="394DFA6D" w14:textId="77777777" w:rsidR="00AD33CD" w:rsidRPr="00E81769" w:rsidRDefault="0039081C" w:rsidP="00B57107">
            <w:pPr>
              <w:jc w:val="center"/>
            </w:pPr>
            <w:r>
              <w:t>41-52</w:t>
            </w:r>
          </w:p>
          <w:p w14:paraId="7F8D05B4" w14:textId="77777777" w:rsidR="00AD33CD" w:rsidRPr="00E81769" w:rsidRDefault="00AD33CD" w:rsidP="00B57107">
            <w:pPr>
              <w:jc w:val="center"/>
            </w:pPr>
            <w:r w:rsidRPr="00E81769">
              <w:t xml:space="preserve"> </w:t>
            </w:r>
          </w:p>
        </w:tc>
      </w:tr>
      <w:tr w:rsidR="00E81769" w:rsidRPr="00420406" w14:paraId="7537E9FC" w14:textId="77777777" w:rsidTr="00B57107">
        <w:tc>
          <w:tcPr>
            <w:tcW w:w="810" w:type="dxa"/>
          </w:tcPr>
          <w:p w14:paraId="65D7F1A7" w14:textId="77777777" w:rsidR="00E81769" w:rsidRPr="00E81769" w:rsidRDefault="009B774B" w:rsidP="00B57107">
            <w:pPr>
              <w:jc w:val="center"/>
            </w:pPr>
            <w:r>
              <w:t>4</w:t>
            </w:r>
          </w:p>
        </w:tc>
        <w:tc>
          <w:tcPr>
            <w:tcW w:w="6660" w:type="dxa"/>
          </w:tcPr>
          <w:p w14:paraId="285E7E38" w14:textId="77777777" w:rsidR="00E81769" w:rsidRPr="00E81769" w:rsidRDefault="00E81769" w:rsidP="00E81769">
            <w:pPr>
              <w:jc w:val="both"/>
              <w:rPr>
                <w:rFonts w:ascii="Book Antiqua" w:hAnsi="Book Antiqua"/>
              </w:rPr>
            </w:pPr>
            <w:r w:rsidRPr="00E81769">
              <w:rPr>
                <w:rFonts w:ascii="Book Antiqua" w:hAnsi="Book Antiqua"/>
              </w:rPr>
              <w:t>CHAPTER 2:  FINANCE PRINCIPLES</w:t>
            </w:r>
          </w:p>
          <w:p w14:paraId="4C1CE90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0C25BF91"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Vanderveer</w:t>
            </w:r>
            <w:proofErr w:type="spellEnd"/>
            <w:r w:rsidRPr="00E81769">
              <w:rPr>
                <w:rFonts w:ascii="Book Antiqua" w:hAnsi="Book Antiqua"/>
                <w:i/>
              </w:rPr>
              <w:t xml:space="preserve"> Estates Holding, LLC</w:t>
            </w:r>
          </w:p>
          <w:p w14:paraId="1F32CC5C"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14:paraId="7AD69F1D"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16A3167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14:paraId="09A2BC77" w14:textId="77777777" w:rsidR="00E81769" w:rsidRPr="00E81769" w:rsidRDefault="00E81769" w:rsidP="00583F99">
            <w:pPr>
              <w:jc w:val="both"/>
              <w:rPr>
                <w:rFonts w:ascii="Book Antiqua" w:hAnsi="Book Antiqua"/>
              </w:rPr>
            </w:pPr>
          </w:p>
        </w:tc>
        <w:tc>
          <w:tcPr>
            <w:tcW w:w="1890" w:type="dxa"/>
          </w:tcPr>
          <w:p w14:paraId="4324C8CB" w14:textId="77777777" w:rsidR="00E81769" w:rsidRPr="00E81769" w:rsidRDefault="0039081C" w:rsidP="00B57107">
            <w:pPr>
              <w:jc w:val="center"/>
            </w:pPr>
            <w:r>
              <w:t>52</w:t>
            </w:r>
            <w:r w:rsidR="005B2893" w:rsidRPr="00E81769">
              <w:t>-79</w:t>
            </w:r>
          </w:p>
        </w:tc>
      </w:tr>
      <w:tr w:rsidR="00AD33CD" w:rsidRPr="00420406" w14:paraId="0C056AE5" w14:textId="77777777" w:rsidTr="00B57107">
        <w:tc>
          <w:tcPr>
            <w:tcW w:w="810" w:type="dxa"/>
            <w:shd w:val="clear" w:color="auto" w:fill="D9D9D9" w:themeFill="background1" w:themeFillShade="D9"/>
          </w:tcPr>
          <w:p w14:paraId="7D186B5E" w14:textId="77777777" w:rsidR="00AD33CD" w:rsidRPr="00E81769" w:rsidRDefault="009B774B" w:rsidP="00B57107">
            <w:pPr>
              <w:jc w:val="center"/>
            </w:pPr>
            <w:r>
              <w:t>5</w:t>
            </w:r>
          </w:p>
        </w:tc>
        <w:tc>
          <w:tcPr>
            <w:tcW w:w="6660" w:type="dxa"/>
            <w:shd w:val="clear" w:color="auto" w:fill="D9D9D9" w:themeFill="background1" w:themeFillShade="D9"/>
          </w:tcPr>
          <w:p w14:paraId="2CDBFB0C" w14:textId="77777777"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14:paraId="0E3AC59E"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14:paraId="7FBBF218" w14:textId="77777777"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14:paraId="68438FA8"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14:paraId="02EB1380" w14:textId="77777777"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0F57C575" w14:textId="77777777" w:rsidR="00DC05DE" w:rsidRPr="00E81769" w:rsidRDefault="00DC05DE" w:rsidP="00404778">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353ED693" w14:textId="77777777" w:rsidR="00CB50D2" w:rsidRPr="00CA6965" w:rsidRDefault="00DC05DE" w:rsidP="00E808EE">
            <w:pPr>
              <w:pStyle w:val="ListParagraph"/>
              <w:numPr>
                <w:ilvl w:val="0"/>
                <w:numId w:val="8"/>
              </w:numPr>
              <w:jc w:val="both"/>
              <w:rPr>
                <w:rFonts w:ascii="Book Antiqua" w:hAnsi="Book Antiqua"/>
              </w:rPr>
            </w:pPr>
            <w:r w:rsidRPr="00E81769">
              <w:rPr>
                <w:rFonts w:ascii="Book Antiqua" w:hAnsi="Book Antiqua"/>
              </w:rPr>
              <w:t xml:space="preserve">Valuation of bonds </w:t>
            </w:r>
          </w:p>
          <w:p w14:paraId="46BA914E" w14:textId="77777777" w:rsidR="0093203E" w:rsidRPr="00E81769" w:rsidRDefault="0093203E" w:rsidP="00DC05DE">
            <w:pPr>
              <w:pStyle w:val="ListParagraph"/>
              <w:ind w:left="360"/>
              <w:jc w:val="both"/>
            </w:pPr>
          </w:p>
        </w:tc>
        <w:tc>
          <w:tcPr>
            <w:tcW w:w="1890" w:type="dxa"/>
            <w:shd w:val="clear" w:color="auto" w:fill="D9D9D9" w:themeFill="background1" w:themeFillShade="D9"/>
          </w:tcPr>
          <w:p w14:paraId="7E65373F" w14:textId="77777777" w:rsidR="00AD33CD" w:rsidRPr="00E81769" w:rsidRDefault="00404778" w:rsidP="00B57107">
            <w:pPr>
              <w:jc w:val="center"/>
            </w:pPr>
            <w:r w:rsidRPr="00E81769">
              <w:t>81-</w:t>
            </w:r>
            <w:r w:rsidR="00DC05DE" w:rsidRPr="00E81769">
              <w:t>108</w:t>
            </w:r>
          </w:p>
        </w:tc>
      </w:tr>
      <w:tr w:rsidR="00AD33CD" w:rsidRPr="00420406" w14:paraId="3AD971CD" w14:textId="77777777" w:rsidTr="00B57107">
        <w:tc>
          <w:tcPr>
            <w:tcW w:w="810" w:type="dxa"/>
            <w:shd w:val="clear" w:color="auto" w:fill="FFFFFF" w:themeFill="background1"/>
          </w:tcPr>
          <w:p w14:paraId="46E2822C" w14:textId="77777777" w:rsidR="00AD33CD" w:rsidRPr="00E81769" w:rsidRDefault="009B774B" w:rsidP="00B57107">
            <w:pPr>
              <w:jc w:val="center"/>
            </w:pPr>
            <w:r>
              <w:t>6</w:t>
            </w:r>
          </w:p>
        </w:tc>
        <w:tc>
          <w:tcPr>
            <w:tcW w:w="6660" w:type="dxa"/>
            <w:shd w:val="clear" w:color="auto" w:fill="FFFFFF" w:themeFill="background1"/>
          </w:tcPr>
          <w:p w14:paraId="7AA8A78D"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330B6B2"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14:paraId="6EDDA8D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48A3730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4180F0D1" w14:textId="77777777" w:rsidR="00AD33CD" w:rsidRPr="00E81769" w:rsidRDefault="00AD33CD" w:rsidP="00DC05DE">
            <w:pPr>
              <w:jc w:val="both"/>
            </w:pPr>
          </w:p>
          <w:p w14:paraId="0AA365E2" w14:textId="77777777" w:rsidR="0052773E" w:rsidRPr="00E81769" w:rsidRDefault="0052773E" w:rsidP="00DC05DE">
            <w:pPr>
              <w:jc w:val="both"/>
            </w:pPr>
          </w:p>
          <w:p w14:paraId="39884E6B" w14:textId="77777777" w:rsidR="0052773E" w:rsidRPr="00E81769" w:rsidRDefault="0052773E" w:rsidP="00DC05DE">
            <w:pPr>
              <w:jc w:val="both"/>
            </w:pPr>
          </w:p>
        </w:tc>
        <w:tc>
          <w:tcPr>
            <w:tcW w:w="1890" w:type="dxa"/>
            <w:shd w:val="clear" w:color="auto" w:fill="FFFFFF" w:themeFill="background1"/>
          </w:tcPr>
          <w:p w14:paraId="3D352501" w14:textId="77777777" w:rsidR="00AD33CD" w:rsidRPr="00E81769" w:rsidRDefault="00DC05DE" w:rsidP="00B57107">
            <w:pPr>
              <w:jc w:val="center"/>
            </w:pPr>
            <w:r w:rsidRPr="00E81769">
              <w:t>108-136</w:t>
            </w:r>
          </w:p>
        </w:tc>
      </w:tr>
      <w:tr w:rsidR="00AD33CD" w:rsidRPr="00420406" w14:paraId="717AE92A" w14:textId="77777777" w:rsidTr="00B57107">
        <w:tc>
          <w:tcPr>
            <w:tcW w:w="810" w:type="dxa"/>
            <w:shd w:val="clear" w:color="auto" w:fill="FFFFFF" w:themeFill="background1"/>
          </w:tcPr>
          <w:p w14:paraId="42EFA887" w14:textId="77777777" w:rsidR="00AD33CD" w:rsidRPr="00E81769" w:rsidRDefault="009B774B" w:rsidP="00B57107">
            <w:pPr>
              <w:jc w:val="center"/>
            </w:pPr>
            <w:r>
              <w:lastRenderedPageBreak/>
              <w:t>7</w:t>
            </w:r>
          </w:p>
        </w:tc>
        <w:tc>
          <w:tcPr>
            <w:tcW w:w="6660" w:type="dxa"/>
            <w:shd w:val="clear" w:color="auto" w:fill="FFFFFF" w:themeFill="background1"/>
          </w:tcPr>
          <w:p w14:paraId="7F2121D3"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51B933D"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14:paraId="7DEC6119"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Basic, Inc. v. Levinson </w:t>
            </w:r>
          </w:p>
          <w:p w14:paraId="70560965"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West v. Prudential Securities, Inc. </w:t>
            </w:r>
          </w:p>
          <w:p w14:paraId="2FB357B6"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Polymedica</w:t>
            </w:r>
            <w:proofErr w:type="spellEnd"/>
            <w:r w:rsidRPr="00E81769">
              <w:rPr>
                <w:rFonts w:ascii="Book Antiqua" w:hAnsi="Book Antiqua"/>
                <w:i/>
              </w:rPr>
              <w:t xml:space="preserve"> Corp. Sec. Litig. </w:t>
            </w:r>
          </w:p>
          <w:p w14:paraId="0E38A9E0" w14:textId="77777777" w:rsidR="00AD33CD" w:rsidRPr="00E81769" w:rsidRDefault="00AD33CD" w:rsidP="00B57107">
            <w:pPr>
              <w:jc w:val="both"/>
            </w:pPr>
          </w:p>
        </w:tc>
        <w:tc>
          <w:tcPr>
            <w:tcW w:w="1890" w:type="dxa"/>
            <w:shd w:val="clear" w:color="auto" w:fill="FFFFFF" w:themeFill="background1"/>
          </w:tcPr>
          <w:p w14:paraId="2ED9B82A" w14:textId="77777777" w:rsidR="00AD33CD" w:rsidRPr="00E81769" w:rsidRDefault="00DC05DE" w:rsidP="00B57107">
            <w:pPr>
              <w:jc w:val="center"/>
            </w:pPr>
            <w:r w:rsidRPr="00E81769">
              <w:t>136-</w:t>
            </w:r>
            <w:r w:rsidR="001E7403" w:rsidRPr="00E81769">
              <w:t>166</w:t>
            </w:r>
          </w:p>
        </w:tc>
      </w:tr>
      <w:tr w:rsidR="00AD33CD" w:rsidRPr="00420406" w14:paraId="4F611CAC" w14:textId="77777777" w:rsidTr="00B57107">
        <w:tc>
          <w:tcPr>
            <w:tcW w:w="810" w:type="dxa"/>
            <w:shd w:val="clear" w:color="auto" w:fill="D9D9D9" w:themeFill="background1" w:themeFillShade="D9"/>
          </w:tcPr>
          <w:p w14:paraId="134FDC28" w14:textId="77777777" w:rsidR="00AD33CD" w:rsidRPr="00E81769" w:rsidRDefault="009B774B" w:rsidP="00B57107">
            <w:pPr>
              <w:jc w:val="center"/>
            </w:pPr>
            <w:r>
              <w:t>8</w:t>
            </w:r>
          </w:p>
        </w:tc>
        <w:tc>
          <w:tcPr>
            <w:tcW w:w="6660" w:type="dxa"/>
            <w:shd w:val="clear" w:color="auto" w:fill="D9D9D9" w:themeFill="background1" w:themeFillShade="D9"/>
          </w:tcPr>
          <w:p w14:paraId="79BDB395" w14:textId="77777777" w:rsidR="00802836" w:rsidRPr="00E81769" w:rsidRDefault="00802836" w:rsidP="00802836">
            <w:pPr>
              <w:jc w:val="both"/>
              <w:rPr>
                <w:rFonts w:ascii="Book Antiqua" w:hAnsi="Book Antiqua"/>
              </w:rPr>
            </w:pPr>
            <w:r w:rsidRPr="00E81769">
              <w:rPr>
                <w:rFonts w:ascii="Book Antiqua" w:hAnsi="Book Antiqua"/>
              </w:rPr>
              <w:t xml:space="preserve">CHAPTER 4:  CAPITAL TRANSACTIONS, STRUCTURE, AND MARKETS   </w:t>
            </w:r>
          </w:p>
          <w:p w14:paraId="7D9F5F26"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14:paraId="6612371A"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14:paraId="63D8DBDA"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14:paraId="11771A42"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14:paraId="21370436"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14:paraId="56A941DD" w14:textId="77777777" w:rsidR="00AD33CD" w:rsidRPr="00E81769" w:rsidRDefault="00AD33CD" w:rsidP="00802836">
            <w:pPr>
              <w:jc w:val="both"/>
            </w:pPr>
          </w:p>
        </w:tc>
        <w:tc>
          <w:tcPr>
            <w:tcW w:w="1890" w:type="dxa"/>
            <w:shd w:val="clear" w:color="auto" w:fill="D9D9D9" w:themeFill="background1" w:themeFillShade="D9"/>
          </w:tcPr>
          <w:p w14:paraId="3650A89B" w14:textId="77777777" w:rsidR="00AD33CD" w:rsidRPr="00E81769" w:rsidRDefault="00802836" w:rsidP="001E7403">
            <w:pPr>
              <w:jc w:val="center"/>
            </w:pPr>
            <w:r w:rsidRPr="00E81769">
              <w:t>167-195</w:t>
            </w:r>
          </w:p>
        </w:tc>
      </w:tr>
      <w:tr w:rsidR="00AD33CD" w:rsidRPr="00420406" w14:paraId="64581642" w14:textId="77777777" w:rsidTr="00B57107">
        <w:tc>
          <w:tcPr>
            <w:tcW w:w="810" w:type="dxa"/>
            <w:shd w:val="clear" w:color="auto" w:fill="D9D9D9" w:themeFill="background1" w:themeFillShade="D9"/>
          </w:tcPr>
          <w:p w14:paraId="5B95CE92" w14:textId="77777777" w:rsidR="00AD33CD" w:rsidRPr="00E81769" w:rsidRDefault="009B774B" w:rsidP="00B57107">
            <w:pPr>
              <w:jc w:val="center"/>
            </w:pPr>
            <w:r>
              <w:t>9</w:t>
            </w:r>
          </w:p>
        </w:tc>
        <w:tc>
          <w:tcPr>
            <w:tcW w:w="6660" w:type="dxa"/>
            <w:shd w:val="clear" w:color="auto" w:fill="D9D9D9" w:themeFill="background1" w:themeFillShade="D9"/>
          </w:tcPr>
          <w:p w14:paraId="1D2299F2" w14:textId="77777777"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 xml:space="preserve">CHAPTER 4:  CAPITAL TRANSACTIONS, STRUCTURE, AND MARKETS   </w:t>
            </w:r>
          </w:p>
          <w:p w14:paraId="5378A9C3"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14:paraId="5715774E"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14:paraId="6D8EC087" w14:textId="77777777" w:rsidR="00EF1FB2" w:rsidRPr="00E81769" w:rsidRDefault="00EF1FB2" w:rsidP="00EF1FB2">
            <w:pPr>
              <w:jc w:val="both"/>
              <w:rPr>
                <w:rFonts w:ascii="Book Antiqua" w:hAnsi="Book Antiqua"/>
              </w:rPr>
            </w:pPr>
          </w:p>
          <w:p w14:paraId="187CE90A"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B04F0FD"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579DD0E8" w14:textId="77777777" w:rsidR="00AD33CD" w:rsidRPr="00E81769" w:rsidRDefault="00AD33CD" w:rsidP="00B57107"/>
        </w:tc>
        <w:tc>
          <w:tcPr>
            <w:tcW w:w="1890" w:type="dxa"/>
            <w:shd w:val="clear" w:color="auto" w:fill="D9D9D9" w:themeFill="background1" w:themeFillShade="D9"/>
          </w:tcPr>
          <w:p w14:paraId="5C643A8F" w14:textId="77777777" w:rsidR="00AD33CD" w:rsidRPr="00E81769" w:rsidRDefault="00EF1FB2" w:rsidP="00B57107">
            <w:pPr>
              <w:jc w:val="center"/>
            </w:pPr>
            <w:r w:rsidRPr="00E81769">
              <w:t>195-224</w:t>
            </w:r>
          </w:p>
          <w:p w14:paraId="0C275778" w14:textId="77777777" w:rsidR="00EF1FB2" w:rsidRPr="00E81769" w:rsidRDefault="00EF1FB2" w:rsidP="00B57107">
            <w:pPr>
              <w:jc w:val="center"/>
            </w:pPr>
          </w:p>
          <w:p w14:paraId="5C535010" w14:textId="77777777" w:rsidR="00EF1FB2" w:rsidRPr="00E81769" w:rsidRDefault="00EF1FB2" w:rsidP="00B57107">
            <w:pPr>
              <w:jc w:val="center"/>
            </w:pPr>
            <w:r w:rsidRPr="00E81769">
              <w:t>225-229</w:t>
            </w:r>
          </w:p>
          <w:p w14:paraId="03335BDE" w14:textId="77777777" w:rsidR="00AD33CD" w:rsidRPr="00E81769" w:rsidRDefault="00AD33CD" w:rsidP="00B57107">
            <w:pPr>
              <w:jc w:val="center"/>
            </w:pPr>
          </w:p>
        </w:tc>
      </w:tr>
      <w:tr w:rsidR="00AD33CD" w:rsidRPr="00420406" w14:paraId="48C2440C" w14:textId="77777777" w:rsidTr="00B57107">
        <w:tc>
          <w:tcPr>
            <w:tcW w:w="810" w:type="dxa"/>
            <w:shd w:val="clear" w:color="auto" w:fill="FFFFFF" w:themeFill="background1"/>
          </w:tcPr>
          <w:p w14:paraId="225ACE2D" w14:textId="77777777" w:rsidR="00AD33CD" w:rsidRPr="00E81769" w:rsidRDefault="009B774B" w:rsidP="009B774B">
            <w:pPr>
              <w:jc w:val="center"/>
            </w:pPr>
            <w:r>
              <w:t>10</w:t>
            </w:r>
          </w:p>
        </w:tc>
        <w:tc>
          <w:tcPr>
            <w:tcW w:w="6660" w:type="dxa"/>
            <w:shd w:val="clear" w:color="auto" w:fill="FFFFFF" w:themeFill="background1"/>
          </w:tcPr>
          <w:p w14:paraId="10A469EB"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E80207C"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646AECCB" w14:textId="77777777"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14:paraId="750B06FA"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14:paraId="43179FDA" w14:textId="77777777"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14:paraId="7C5C51EC"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7CBFC1DE"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Kamin v. American Express Co. </w:t>
            </w:r>
          </w:p>
          <w:p w14:paraId="637D5AA8"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14:paraId="5B0BC65B" w14:textId="77777777" w:rsidR="00AD33CD" w:rsidRDefault="00AD33CD" w:rsidP="00B57107"/>
          <w:p w14:paraId="6DC57D67" w14:textId="77777777" w:rsidR="002E128E" w:rsidRPr="002E128E" w:rsidRDefault="000E4E45" w:rsidP="000E4E45">
            <w:pPr>
              <w:ind w:left="360"/>
            </w:pPr>
            <w:r w:rsidRPr="00E81769">
              <w:rPr>
                <w:rFonts w:ascii="Book Antiqua" w:hAnsi="Book Antiqua"/>
                <w:b/>
              </w:rPr>
              <w:t>Note:</w:t>
            </w:r>
            <w:r w:rsidRPr="00E81769">
              <w:rPr>
                <w:rFonts w:ascii="Book Antiqua" w:hAnsi="Book Antiqua"/>
              </w:rPr>
              <w:t xml:space="preserve">  </w:t>
            </w:r>
            <w:r w:rsidR="002E128E">
              <w:t xml:space="preserve">Do not read </w:t>
            </w:r>
            <w:proofErr w:type="gramStart"/>
            <w:r w:rsidR="002E128E" w:rsidRPr="00E81769">
              <w:rPr>
                <w:rFonts w:ascii="Book Antiqua" w:hAnsi="Book Antiqua"/>
                <w:i/>
              </w:rPr>
              <w:t>In</w:t>
            </w:r>
            <w:proofErr w:type="gramEnd"/>
            <w:r w:rsidR="002E128E" w:rsidRPr="00E81769">
              <w:rPr>
                <w:rFonts w:ascii="Book Antiqua" w:hAnsi="Book Antiqua"/>
                <w:i/>
              </w:rPr>
              <w:t xml:space="preserve"> re C-T of Virginia, Inc.</w:t>
            </w:r>
            <w:r w:rsidR="002E128E">
              <w:rPr>
                <w:rFonts w:ascii="Book Antiqua" w:hAnsi="Book Antiqua"/>
              </w:rPr>
              <w:t xml:space="preserve"> and </w:t>
            </w:r>
            <w:r w:rsidR="002E128E" w:rsidRPr="00E81769">
              <w:rPr>
                <w:rFonts w:ascii="Book Antiqua" w:hAnsi="Book Antiqua"/>
                <w:i/>
              </w:rPr>
              <w:t>Matter of Munford, Inc.</w:t>
            </w:r>
            <w:r w:rsidR="002E128E">
              <w:rPr>
                <w:rFonts w:ascii="Book Antiqua" w:hAnsi="Book Antiqua"/>
              </w:rPr>
              <w:t xml:space="preserve"> (skip these cases in the reading) </w:t>
            </w:r>
          </w:p>
          <w:p w14:paraId="4C68CB48" w14:textId="77777777" w:rsidR="002E128E" w:rsidRPr="00E81769" w:rsidRDefault="002E128E" w:rsidP="00B57107"/>
        </w:tc>
        <w:tc>
          <w:tcPr>
            <w:tcW w:w="1890" w:type="dxa"/>
            <w:shd w:val="clear" w:color="auto" w:fill="FFFFFF" w:themeFill="background1"/>
          </w:tcPr>
          <w:p w14:paraId="6B4B7487" w14:textId="77777777" w:rsidR="00AD33CD" w:rsidRPr="00E81769" w:rsidRDefault="00EF1FB2" w:rsidP="00B57107">
            <w:pPr>
              <w:jc w:val="center"/>
            </w:pPr>
            <w:r w:rsidRPr="00E81769">
              <w:t>229-</w:t>
            </w:r>
            <w:r w:rsidR="00137AD5" w:rsidRPr="00E81769">
              <w:t>256</w:t>
            </w:r>
          </w:p>
        </w:tc>
      </w:tr>
      <w:tr w:rsidR="00AD33CD" w:rsidRPr="00420406" w14:paraId="0245D598" w14:textId="77777777" w:rsidTr="00B57107">
        <w:tc>
          <w:tcPr>
            <w:tcW w:w="810" w:type="dxa"/>
          </w:tcPr>
          <w:p w14:paraId="5FB95481" w14:textId="77777777" w:rsidR="00AD33CD" w:rsidRPr="00E81769" w:rsidRDefault="009B774B" w:rsidP="00B57107">
            <w:pPr>
              <w:jc w:val="center"/>
            </w:pPr>
            <w:r>
              <w:t>11</w:t>
            </w:r>
          </w:p>
        </w:tc>
        <w:tc>
          <w:tcPr>
            <w:tcW w:w="6660" w:type="dxa"/>
          </w:tcPr>
          <w:p w14:paraId="63EBB207" w14:textId="77777777"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14:paraId="64199639"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44A50730"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Gabelli &amp; Co. Profit Sharing Plan v. Liggett Group, Inc. </w:t>
            </w:r>
          </w:p>
          <w:p w14:paraId="0A11874B" w14:textId="77777777"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14:paraId="5D800D54"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14:paraId="148C3B7E"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14:paraId="62D2FA6F" w14:textId="77777777" w:rsidR="0052773E" w:rsidRPr="005B2893" w:rsidRDefault="005F1D8D" w:rsidP="00B57107">
            <w:pPr>
              <w:pStyle w:val="ListParagraph"/>
              <w:numPr>
                <w:ilvl w:val="0"/>
                <w:numId w:val="34"/>
              </w:numPr>
              <w:jc w:val="both"/>
              <w:rPr>
                <w:rFonts w:ascii="Book Antiqua" w:hAnsi="Book Antiqua"/>
                <w:i/>
              </w:rPr>
            </w:pPr>
            <w:r w:rsidRPr="00E81769">
              <w:rPr>
                <w:rFonts w:ascii="Book Antiqua" w:hAnsi="Book Antiqua"/>
                <w:i/>
              </w:rPr>
              <w:t xml:space="preserve">Kahan v. United States Sugar Corp. </w:t>
            </w:r>
            <w:r w:rsidR="00137AD5" w:rsidRPr="00E81769">
              <w:rPr>
                <w:rFonts w:ascii="Book Antiqua" w:hAnsi="Book Antiqua"/>
                <w:i/>
              </w:rPr>
              <w:t xml:space="preserve">  </w:t>
            </w:r>
          </w:p>
          <w:p w14:paraId="52DE4DDD" w14:textId="77777777" w:rsidR="00CA6965" w:rsidRDefault="00CA6965" w:rsidP="0093203E"/>
          <w:p w14:paraId="355DF373" w14:textId="77777777" w:rsidR="00CA6965" w:rsidRDefault="00CA6965" w:rsidP="0093203E"/>
          <w:p w14:paraId="70514649" w14:textId="77777777" w:rsidR="00CA6965" w:rsidRDefault="00CA6965" w:rsidP="0093203E"/>
          <w:p w14:paraId="7902519B" w14:textId="77777777" w:rsidR="00CA6965" w:rsidRDefault="00CA6965" w:rsidP="0093203E"/>
          <w:p w14:paraId="6901A782" w14:textId="77777777" w:rsidR="002E128E" w:rsidRDefault="002E128E" w:rsidP="0093203E"/>
          <w:p w14:paraId="7F841E55" w14:textId="77777777" w:rsidR="002E128E" w:rsidRDefault="002E128E" w:rsidP="0093203E"/>
          <w:p w14:paraId="0A8CA99B" w14:textId="77777777" w:rsidR="00CA6965" w:rsidRPr="00E81769" w:rsidRDefault="00CA6965" w:rsidP="0093203E"/>
        </w:tc>
        <w:tc>
          <w:tcPr>
            <w:tcW w:w="1890" w:type="dxa"/>
          </w:tcPr>
          <w:p w14:paraId="51534333" w14:textId="77777777" w:rsidR="00AD33CD" w:rsidRPr="00E81769" w:rsidRDefault="00137AD5" w:rsidP="00B57107">
            <w:pPr>
              <w:jc w:val="center"/>
            </w:pPr>
            <w:r w:rsidRPr="00E81769">
              <w:t>256-</w:t>
            </w:r>
            <w:r w:rsidR="005F1D8D" w:rsidRPr="00E81769">
              <w:t>286</w:t>
            </w:r>
          </w:p>
        </w:tc>
      </w:tr>
      <w:tr w:rsidR="00AD33CD" w:rsidRPr="00420406" w14:paraId="280C8C09" w14:textId="77777777" w:rsidTr="00B57107">
        <w:tc>
          <w:tcPr>
            <w:tcW w:w="810" w:type="dxa"/>
            <w:shd w:val="clear" w:color="auto" w:fill="D9D9D9" w:themeFill="background1" w:themeFillShade="D9"/>
          </w:tcPr>
          <w:p w14:paraId="4C1FE86F" w14:textId="77777777" w:rsidR="00AD33CD" w:rsidRPr="00E81769" w:rsidRDefault="009B774B" w:rsidP="00B57107">
            <w:pPr>
              <w:jc w:val="center"/>
            </w:pPr>
            <w:r>
              <w:lastRenderedPageBreak/>
              <w:t>12</w:t>
            </w:r>
          </w:p>
        </w:tc>
        <w:tc>
          <w:tcPr>
            <w:tcW w:w="6660" w:type="dxa"/>
            <w:shd w:val="clear" w:color="auto" w:fill="D9D9D9" w:themeFill="background1" w:themeFillShade="D9"/>
          </w:tcPr>
          <w:p w14:paraId="7F24B759" w14:textId="77777777"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14:paraId="3E9ADE0C" w14:textId="77777777"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14:paraId="564550FE" w14:textId="77777777"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Schottenstein</w:t>
            </w:r>
          </w:p>
          <w:p w14:paraId="3C4109E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14:paraId="262680EC"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Applebaum v. Avaya, Inc.</w:t>
            </w:r>
          </w:p>
          <w:p w14:paraId="2E2C9D93" w14:textId="77777777"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14:paraId="00A5E0F4" w14:textId="77777777" w:rsidR="00AD33CD" w:rsidRPr="00E81769" w:rsidRDefault="00AD33CD" w:rsidP="0067297B">
            <w:pPr>
              <w:jc w:val="both"/>
              <w:rPr>
                <w:rFonts w:ascii="Book Antiqua" w:hAnsi="Book Antiqua"/>
              </w:rPr>
            </w:pPr>
          </w:p>
          <w:p w14:paraId="76B3AE3B"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662FF31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88E7148" w14:textId="77777777" w:rsidR="0067297B" w:rsidRPr="00E81769" w:rsidRDefault="0067297B" w:rsidP="0067297B">
            <w:pPr>
              <w:jc w:val="both"/>
              <w:rPr>
                <w:rFonts w:ascii="Book Antiqua" w:hAnsi="Book Antiqua"/>
              </w:rPr>
            </w:pPr>
          </w:p>
        </w:tc>
        <w:tc>
          <w:tcPr>
            <w:tcW w:w="1890" w:type="dxa"/>
            <w:shd w:val="clear" w:color="auto" w:fill="D9D9D9" w:themeFill="background1" w:themeFillShade="D9"/>
          </w:tcPr>
          <w:p w14:paraId="6B9CB783" w14:textId="77777777" w:rsidR="00AD33CD" w:rsidRPr="00E81769" w:rsidRDefault="002D6951" w:rsidP="00B57107">
            <w:pPr>
              <w:jc w:val="center"/>
            </w:pPr>
            <w:r w:rsidRPr="00E81769">
              <w:t>286-</w:t>
            </w:r>
            <w:r w:rsidR="0067297B" w:rsidRPr="00E81769">
              <w:t>309</w:t>
            </w:r>
          </w:p>
          <w:p w14:paraId="76390D0E" w14:textId="77777777" w:rsidR="0067297B" w:rsidRPr="00E81769" w:rsidRDefault="0067297B" w:rsidP="00B57107">
            <w:pPr>
              <w:jc w:val="center"/>
            </w:pPr>
          </w:p>
          <w:p w14:paraId="05B6C4A8" w14:textId="77777777" w:rsidR="0067297B" w:rsidRPr="00E81769" w:rsidRDefault="0067297B" w:rsidP="00B57107">
            <w:pPr>
              <w:jc w:val="center"/>
            </w:pPr>
            <w:r w:rsidRPr="00E81769">
              <w:t>311-315</w:t>
            </w:r>
          </w:p>
          <w:p w14:paraId="4FA30A2B" w14:textId="77777777" w:rsidR="00AD33CD" w:rsidRPr="00E81769" w:rsidRDefault="00AD33CD" w:rsidP="00B57107">
            <w:pPr>
              <w:jc w:val="center"/>
            </w:pPr>
          </w:p>
          <w:p w14:paraId="3CC9E2BF" w14:textId="77777777" w:rsidR="00AD33CD" w:rsidRPr="00E81769" w:rsidRDefault="00AD33CD" w:rsidP="00B57107">
            <w:pPr>
              <w:jc w:val="center"/>
            </w:pPr>
          </w:p>
        </w:tc>
      </w:tr>
      <w:tr w:rsidR="00AD33CD" w:rsidRPr="00420406" w14:paraId="20D23EC8" w14:textId="77777777" w:rsidTr="00B57107">
        <w:tc>
          <w:tcPr>
            <w:tcW w:w="810" w:type="dxa"/>
            <w:shd w:val="clear" w:color="auto" w:fill="D9D9D9" w:themeFill="background1" w:themeFillShade="D9"/>
          </w:tcPr>
          <w:p w14:paraId="0464F629" w14:textId="77777777" w:rsidR="00AD33CD" w:rsidRPr="00E81769" w:rsidRDefault="009B774B" w:rsidP="00B57107">
            <w:pPr>
              <w:jc w:val="center"/>
            </w:pPr>
            <w:r>
              <w:t>13</w:t>
            </w:r>
          </w:p>
        </w:tc>
        <w:tc>
          <w:tcPr>
            <w:tcW w:w="6660" w:type="dxa"/>
            <w:shd w:val="clear" w:color="auto" w:fill="D9D9D9" w:themeFill="background1" w:themeFillShade="D9"/>
          </w:tcPr>
          <w:p w14:paraId="304441E9"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45A15844"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9C413A0"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In the matter of the Appraisal of Ford Holdings, Inc. Preferred Stock</w:t>
            </w:r>
          </w:p>
          <w:p w14:paraId="5231C2AE"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5A067A1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Guttman v. Illinois Central R. Co.</w:t>
            </w:r>
          </w:p>
          <w:p w14:paraId="45864E8C"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14:paraId="4C801F4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14:paraId="6A3DFA5B"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14:paraId="66BA5B09"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14:paraId="16434A47" w14:textId="77777777"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14:paraId="2E854FC0" w14:textId="77777777" w:rsidR="00AD33CD" w:rsidRPr="00E81769" w:rsidRDefault="00AD33CD" w:rsidP="00B57107"/>
        </w:tc>
        <w:tc>
          <w:tcPr>
            <w:tcW w:w="1890" w:type="dxa"/>
            <w:shd w:val="clear" w:color="auto" w:fill="D9D9D9" w:themeFill="background1" w:themeFillShade="D9"/>
          </w:tcPr>
          <w:p w14:paraId="4B5136F1" w14:textId="77777777" w:rsidR="00AD33CD" w:rsidRPr="00E81769" w:rsidRDefault="0067297B" w:rsidP="00B57107">
            <w:pPr>
              <w:jc w:val="center"/>
            </w:pPr>
            <w:r w:rsidRPr="00E81769">
              <w:t>315-</w:t>
            </w:r>
            <w:r w:rsidR="007241D0" w:rsidRPr="00E81769">
              <w:t>346</w:t>
            </w:r>
          </w:p>
          <w:p w14:paraId="05B58C41" w14:textId="77777777" w:rsidR="00AD33CD" w:rsidRPr="00E81769" w:rsidRDefault="00AD33CD" w:rsidP="00B57107">
            <w:pPr>
              <w:jc w:val="center"/>
            </w:pPr>
          </w:p>
        </w:tc>
      </w:tr>
      <w:tr w:rsidR="00AD33CD" w:rsidRPr="00420406" w14:paraId="7B92F7D7" w14:textId="77777777" w:rsidTr="00B57107">
        <w:tc>
          <w:tcPr>
            <w:tcW w:w="810" w:type="dxa"/>
            <w:shd w:val="clear" w:color="auto" w:fill="FFFFFF" w:themeFill="background1"/>
          </w:tcPr>
          <w:p w14:paraId="3CBF35BB" w14:textId="77777777" w:rsidR="00AD33CD" w:rsidRPr="00E81769" w:rsidRDefault="009B774B" w:rsidP="00B57107">
            <w:pPr>
              <w:jc w:val="center"/>
            </w:pPr>
            <w:r>
              <w:t>14</w:t>
            </w:r>
          </w:p>
        </w:tc>
        <w:tc>
          <w:tcPr>
            <w:tcW w:w="6660" w:type="dxa"/>
            <w:shd w:val="clear" w:color="auto" w:fill="FFFFFF" w:themeFill="background1"/>
          </w:tcPr>
          <w:p w14:paraId="0E7D0DD2" w14:textId="77777777"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14:paraId="6E87DE52"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6D68CFF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Bove v. Community Hotel Corp. </w:t>
            </w:r>
          </w:p>
          <w:p w14:paraId="69004C2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14:paraId="4B76E211"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14:paraId="2ACB74D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Warner Communications v. Chris-Craft Industries, Inc. </w:t>
            </w:r>
          </w:p>
          <w:p w14:paraId="5A4E9E6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14:paraId="151F624F" w14:textId="77777777" w:rsidR="00AA0C33" w:rsidRPr="00E81769" w:rsidRDefault="00AA0C33" w:rsidP="00AA0C33">
            <w:pPr>
              <w:ind w:left="360"/>
              <w:jc w:val="both"/>
              <w:rPr>
                <w:rFonts w:ascii="Book Antiqua" w:hAnsi="Book Antiqua"/>
                <w:i/>
              </w:rPr>
            </w:pPr>
          </w:p>
          <w:p w14:paraId="700B2D77" w14:textId="77777777" w:rsidR="00AA0C33" w:rsidRPr="00E81769" w:rsidRDefault="00AA0C33" w:rsidP="00AA0C33">
            <w:pPr>
              <w:ind w:left="360"/>
              <w:jc w:val="both"/>
              <w:rPr>
                <w:rFonts w:ascii="Book Antiqua" w:hAnsi="Book Antiqua"/>
              </w:rPr>
            </w:pPr>
            <w:r w:rsidRPr="00E81769">
              <w:rPr>
                <w:rFonts w:ascii="Book Antiqua" w:hAnsi="Book Antiqua"/>
                <w:b/>
              </w:rPr>
              <w:t>Note:</w:t>
            </w:r>
            <w:r w:rsidRPr="00E81769">
              <w:rPr>
                <w:rFonts w:ascii="Book Antiqua" w:hAnsi="Book Antiqua"/>
              </w:rPr>
              <w:t xml:space="preserve">  Do not read </w:t>
            </w: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14:paraId="77DC13FB" w14:textId="77777777" w:rsidR="00AD33CD" w:rsidRPr="00E81769" w:rsidRDefault="00AD33CD" w:rsidP="00B57107"/>
        </w:tc>
        <w:tc>
          <w:tcPr>
            <w:tcW w:w="1890" w:type="dxa"/>
            <w:shd w:val="clear" w:color="auto" w:fill="FFFFFF" w:themeFill="background1"/>
          </w:tcPr>
          <w:p w14:paraId="50F777CC" w14:textId="77777777" w:rsidR="00AD33CD" w:rsidRPr="00E81769" w:rsidRDefault="007241D0" w:rsidP="00B57107">
            <w:pPr>
              <w:jc w:val="center"/>
            </w:pPr>
            <w:r w:rsidRPr="00E81769">
              <w:t>346-</w:t>
            </w:r>
            <w:r w:rsidR="00871688" w:rsidRPr="00E81769">
              <w:t>376</w:t>
            </w:r>
          </w:p>
          <w:p w14:paraId="40BBB170" w14:textId="77777777" w:rsidR="00AD33CD" w:rsidRPr="00E81769" w:rsidRDefault="00AD33CD" w:rsidP="00B57107">
            <w:pPr>
              <w:jc w:val="center"/>
            </w:pPr>
          </w:p>
        </w:tc>
      </w:tr>
      <w:tr w:rsidR="00AD33CD" w:rsidRPr="00420406" w14:paraId="22BF59BA" w14:textId="77777777" w:rsidTr="00B57107">
        <w:tc>
          <w:tcPr>
            <w:tcW w:w="810" w:type="dxa"/>
          </w:tcPr>
          <w:p w14:paraId="503AF15C" w14:textId="77777777" w:rsidR="00AD33CD" w:rsidRPr="00E81769" w:rsidRDefault="009B774B" w:rsidP="00B57107">
            <w:pPr>
              <w:jc w:val="center"/>
            </w:pPr>
            <w:r>
              <w:t>15</w:t>
            </w:r>
          </w:p>
        </w:tc>
        <w:tc>
          <w:tcPr>
            <w:tcW w:w="6660" w:type="dxa"/>
          </w:tcPr>
          <w:p w14:paraId="004A32D0" w14:textId="77777777"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14:paraId="398C079E" w14:textId="77777777"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14:paraId="4C0CF8C3" w14:textId="77777777" w:rsidR="00871688"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Dalton v. American Investment Co. </w:t>
            </w:r>
          </w:p>
          <w:p w14:paraId="28B03A31" w14:textId="77777777"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14:paraId="0BB52C1E"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14:paraId="406A24DC"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4314DAF9" w14:textId="77777777" w:rsidR="00AD33CD" w:rsidRPr="00E81769" w:rsidRDefault="00AD33CD" w:rsidP="00B57107"/>
        </w:tc>
        <w:tc>
          <w:tcPr>
            <w:tcW w:w="1890" w:type="dxa"/>
          </w:tcPr>
          <w:p w14:paraId="12214E23" w14:textId="77777777" w:rsidR="00AD33CD" w:rsidRPr="00E81769" w:rsidRDefault="00D83505" w:rsidP="00871688">
            <w:pPr>
              <w:jc w:val="center"/>
            </w:pPr>
            <w:r w:rsidRPr="00E81769">
              <w:t>382</w:t>
            </w:r>
            <w:r w:rsidR="00871688" w:rsidRPr="00E81769">
              <w:t>-</w:t>
            </w:r>
            <w:r w:rsidR="00DF56B9" w:rsidRPr="00E81769">
              <w:t>407</w:t>
            </w:r>
          </w:p>
        </w:tc>
      </w:tr>
      <w:tr w:rsidR="00AD33CD" w:rsidRPr="00420406" w14:paraId="73B10384" w14:textId="77777777" w:rsidTr="00B57107">
        <w:tc>
          <w:tcPr>
            <w:tcW w:w="810" w:type="dxa"/>
            <w:shd w:val="clear" w:color="auto" w:fill="D9D9D9" w:themeFill="background1" w:themeFillShade="D9"/>
          </w:tcPr>
          <w:p w14:paraId="21E1F336" w14:textId="77777777" w:rsidR="00AD33CD" w:rsidRPr="00E81769" w:rsidRDefault="009B774B" w:rsidP="00B57107">
            <w:pPr>
              <w:jc w:val="center"/>
            </w:pPr>
            <w:r>
              <w:t>16</w:t>
            </w:r>
          </w:p>
        </w:tc>
        <w:tc>
          <w:tcPr>
            <w:tcW w:w="6660" w:type="dxa"/>
            <w:shd w:val="clear" w:color="auto" w:fill="D9D9D9" w:themeFill="background1" w:themeFillShade="D9"/>
          </w:tcPr>
          <w:p w14:paraId="743C32C2"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44743C01"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Fiduciary duty </w:t>
            </w:r>
          </w:p>
          <w:p w14:paraId="3A2ED232" w14:textId="77777777" w:rsidR="00DF56B9" w:rsidRPr="00E81769" w:rsidRDefault="00DF56B9" w:rsidP="00DF56B9">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14:paraId="3142AE38"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Equity-Linked Investors, L.P. v. Adams </w:t>
            </w:r>
          </w:p>
          <w:p w14:paraId="66225CF4"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In re Trados, Inc. Shareholder Litigation </w:t>
            </w:r>
          </w:p>
          <w:p w14:paraId="4F54E8D6" w14:textId="77777777" w:rsidR="00AD33CD" w:rsidRPr="00E81769" w:rsidRDefault="00DF56B9" w:rsidP="00B57107">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14:paraId="07753EAD" w14:textId="77777777" w:rsidR="0052773E" w:rsidRPr="00E81769" w:rsidRDefault="0052773E" w:rsidP="00B57107"/>
          <w:p w14:paraId="37F219A9" w14:textId="77777777" w:rsidR="0052773E" w:rsidRPr="00E81769" w:rsidRDefault="0052773E" w:rsidP="00B57107"/>
        </w:tc>
        <w:tc>
          <w:tcPr>
            <w:tcW w:w="1890" w:type="dxa"/>
            <w:shd w:val="clear" w:color="auto" w:fill="D9D9D9" w:themeFill="background1" w:themeFillShade="D9"/>
          </w:tcPr>
          <w:p w14:paraId="5DCF45AE" w14:textId="77777777" w:rsidR="00AD33CD" w:rsidRPr="00E81769" w:rsidRDefault="00DF56B9" w:rsidP="00B57107">
            <w:pPr>
              <w:pStyle w:val="ListParagraph"/>
              <w:ind w:left="0"/>
              <w:jc w:val="center"/>
            </w:pPr>
            <w:r w:rsidRPr="00E81769">
              <w:t>407-446</w:t>
            </w:r>
          </w:p>
        </w:tc>
      </w:tr>
      <w:tr w:rsidR="00AD33CD" w:rsidRPr="00420406" w14:paraId="08EF0822" w14:textId="77777777" w:rsidTr="00B57107">
        <w:tc>
          <w:tcPr>
            <w:tcW w:w="810" w:type="dxa"/>
            <w:shd w:val="clear" w:color="auto" w:fill="D9D9D9" w:themeFill="background1" w:themeFillShade="D9"/>
          </w:tcPr>
          <w:p w14:paraId="68E0E0F4" w14:textId="77777777" w:rsidR="00AD33CD" w:rsidRPr="00E81769" w:rsidRDefault="009B774B" w:rsidP="00B57107">
            <w:pPr>
              <w:jc w:val="center"/>
            </w:pPr>
            <w:r>
              <w:lastRenderedPageBreak/>
              <w:t>17</w:t>
            </w:r>
          </w:p>
        </w:tc>
        <w:tc>
          <w:tcPr>
            <w:tcW w:w="6660" w:type="dxa"/>
            <w:shd w:val="clear" w:color="auto" w:fill="D9D9D9" w:themeFill="background1" w:themeFillShade="D9"/>
          </w:tcPr>
          <w:p w14:paraId="1622D02D"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50991887"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Goldman Sachs case study  </w:t>
            </w:r>
          </w:p>
          <w:p w14:paraId="1C4EC624" w14:textId="77777777" w:rsidR="00AD33CD" w:rsidRPr="00E81769" w:rsidRDefault="00AD33CD" w:rsidP="00B57107"/>
          <w:p w14:paraId="1514176A" w14:textId="77777777" w:rsidR="00DF56B9" w:rsidRPr="00E81769" w:rsidRDefault="00DF56B9" w:rsidP="00DF56B9">
            <w:pPr>
              <w:jc w:val="both"/>
              <w:rPr>
                <w:rFonts w:ascii="Book Antiqua" w:hAnsi="Book Antiqua"/>
              </w:rPr>
            </w:pPr>
            <w:r w:rsidRPr="00E81769">
              <w:rPr>
                <w:rFonts w:ascii="Book Antiqua" w:hAnsi="Book Antiqua"/>
              </w:rPr>
              <w:t xml:space="preserve">CHAPTER 7:  DEBT INSTRUMENTS    </w:t>
            </w:r>
          </w:p>
          <w:p w14:paraId="3ED30A29" w14:textId="77777777" w:rsidR="004301E1" w:rsidRPr="00E81769" w:rsidRDefault="00DF56B9" w:rsidP="004301E1">
            <w:pPr>
              <w:pStyle w:val="ListParagraph"/>
              <w:numPr>
                <w:ilvl w:val="0"/>
                <w:numId w:val="2"/>
              </w:numPr>
              <w:jc w:val="both"/>
              <w:rPr>
                <w:rFonts w:ascii="Book Antiqua" w:hAnsi="Book Antiqua"/>
              </w:rPr>
            </w:pPr>
            <w:r w:rsidRPr="00E81769">
              <w:rPr>
                <w:rFonts w:ascii="Book Antiqua" w:hAnsi="Book Antiqua"/>
              </w:rPr>
              <w:t xml:space="preserve">Debt financing   </w:t>
            </w:r>
          </w:p>
          <w:p w14:paraId="413999C4" w14:textId="77777777" w:rsidR="004301E1"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14:paraId="59CCC9FF"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Cred</w:t>
            </w:r>
            <w:r w:rsidR="00201147" w:rsidRPr="00E81769">
              <w:rPr>
                <w:rFonts w:ascii="Book Antiqua" w:hAnsi="Book Antiqua"/>
                <w:i/>
              </w:rPr>
              <w:t>it Lyonnais Bank Nederland</w:t>
            </w:r>
            <w:r w:rsidRPr="00E81769">
              <w:rPr>
                <w:rFonts w:ascii="Book Antiqua" w:hAnsi="Book Antiqua"/>
                <w:i/>
              </w:rPr>
              <w:t xml:space="preserve"> v. </w:t>
            </w:r>
            <w:proofErr w:type="spellStart"/>
            <w:r w:rsidRPr="00E81769">
              <w:rPr>
                <w:rFonts w:ascii="Book Antiqua" w:hAnsi="Book Antiqua"/>
                <w:i/>
              </w:rPr>
              <w:t>Pathe</w:t>
            </w:r>
            <w:proofErr w:type="spellEnd"/>
            <w:r w:rsidRPr="00E81769">
              <w:rPr>
                <w:rFonts w:ascii="Book Antiqua" w:hAnsi="Book Antiqua"/>
                <w:i/>
              </w:rPr>
              <w:t xml:space="preserve"> Comm’n Corp. </w:t>
            </w:r>
          </w:p>
          <w:p w14:paraId="206E14A7"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A1B1C6A"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3D1DEEDE" w14:textId="77777777" w:rsidR="00DF56B9"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406184C1" w14:textId="77777777" w:rsidR="00DF56B9" w:rsidRPr="00E81769" w:rsidRDefault="00DF56B9" w:rsidP="00B57107"/>
        </w:tc>
        <w:tc>
          <w:tcPr>
            <w:tcW w:w="1890" w:type="dxa"/>
            <w:shd w:val="clear" w:color="auto" w:fill="D9D9D9" w:themeFill="background1" w:themeFillShade="D9"/>
          </w:tcPr>
          <w:p w14:paraId="782EAC3D" w14:textId="77777777" w:rsidR="00AD33CD" w:rsidRPr="00E81769" w:rsidRDefault="00DF56B9" w:rsidP="00B57107">
            <w:pPr>
              <w:jc w:val="center"/>
            </w:pPr>
            <w:r w:rsidRPr="00E81769">
              <w:t>447-462</w:t>
            </w:r>
          </w:p>
          <w:p w14:paraId="31928EFB" w14:textId="77777777" w:rsidR="00DF56B9" w:rsidRPr="00E81769" w:rsidRDefault="00DF56B9" w:rsidP="00B57107">
            <w:pPr>
              <w:jc w:val="center"/>
            </w:pPr>
          </w:p>
          <w:p w14:paraId="5E83FF89" w14:textId="77777777" w:rsidR="00DF56B9" w:rsidRPr="00E81769" w:rsidRDefault="00DF56B9" w:rsidP="00B57107">
            <w:pPr>
              <w:jc w:val="center"/>
            </w:pPr>
            <w:r w:rsidRPr="00E81769">
              <w:t>463-</w:t>
            </w:r>
            <w:r w:rsidR="004301E1" w:rsidRPr="00E81769">
              <w:t>486</w:t>
            </w:r>
          </w:p>
        </w:tc>
      </w:tr>
      <w:tr w:rsidR="00AD33CD" w:rsidRPr="00420406" w14:paraId="623CA152" w14:textId="77777777" w:rsidTr="00B57107">
        <w:tc>
          <w:tcPr>
            <w:tcW w:w="810" w:type="dxa"/>
            <w:shd w:val="clear" w:color="auto" w:fill="FFFFFF" w:themeFill="background1"/>
          </w:tcPr>
          <w:p w14:paraId="5517C044" w14:textId="77777777" w:rsidR="00AD33CD" w:rsidRPr="00E81769" w:rsidRDefault="009B774B" w:rsidP="00B57107">
            <w:pPr>
              <w:jc w:val="center"/>
            </w:pPr>
            <w:r>
              <w:t>18</w:t>
            </w:r>
          </w:p>
        </w:tc>
        <w:tc>
          <w:tcPr>
            <w:tcW w:w="6660" w:type="dxa"/>
            <w:shd w:val="clear" w:color="auto" w:fill="FFFFFF" w:themeFill="background1"/>
          </w:tcPr>
          <w:p w14:paraId="0B37C839" w14:textId="77777777"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14:paraId="7608EC2D"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F596066" w14:textId="77777777" w:rsidR="004301E1"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 Co.</w:t>
            </w:r>
          </w:p>
          <w:p w14:paraId="32D4122E" w14:textId="77777777" w:rsidR="00F67952" w:rsidRPr="00E81769" w:rsidRDefault="00F67952" w:rsidP="00F67952">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0CCA427C"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N.A. </w:t>
            </w:r>
          </w:p>
          <w:p w14:paraId="4665455F"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UnitedHealth Group, Inc. v. Wilmington Trust Co. </w:t>
            </w:r>
          </w:p>
          <w:p w14:paraId="36231B70" w14:textId="77777777"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14:paraId="7BE06DED"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Rabinowitz v. Kaiser-Frazer Corp. </w:t>
            </w:r>
          </w:p>
          <w:p w14:paraId="6BE61FEC" w14:textId="77777777" w:rsidR="00AD33CD" w:rsidRPr="00E81769" w:rsidRDefault="00AD33CD" w:rsidP="00B57107">
            <w:pPr>
              <w:jc w:val="both"/>
            </w:pPr>
          </w:p>
        </w:tc>
        <w:tc>
          <w:tcPr>
            <w:tcW w:w="1890" w:type="dxa"/>
            <w:shd w:val="clear" w:color="auto" w:fill="FFFFFF" w:themeFill="background1"/>
          </w:tcPr>
          <w:p w14:paraId="76638044" w14:textId="77777777" w:rsidR="00AD33CD" w:rsidRPr="00E81769" w:rsidRDefault="004301E1" w:rsidP="00B57107">
            <w:pPr>
              <w:pStyle w:val="ListParagraph"/>
              <w:ind w:left="0"/>
              <w:jc w:val="center"/>
            </w:pPr>
            <w:r w:rsidRPr="00E81769">
              <w:t>486-</w:t>
            </w:r>
            <w:r w:rsidR="00F67952" w:rsidRPr="00E81769">
              <w:t>515</w:t>
            </w:r>
          </w:p>
        </w:tc>
      </w:tr>
      <w:tr w:rsidR="00AD33CD" w:rsidRPr="00420406" w14:paraId="6F578D30" w14:textId="77777777" w:rsidTr="00B57107">
        <w:tc>
          <w:tcPr>
            <w:tcW w:w="810" w:type="dxa"/>
            <w:shd w:val="clear" w:color="auto" w:fill="auto"/>
          </w:tcPr>
          <w:p w14:paraId="4B05A0ED" w14:textId="77777777" w:rsidR="00AD33CD" w:rsidRPr="00E81769" w:rsidRDefault="009B774B" w:rsidP="00B57107">
            <w:pPr>
              <w:jc w:val="center"/>
            </w:pPr>
            <w:r>
              <w:t>19</w:t>
            </w:r>
          </w:p>
        </w:tc>
        <w:tc>
          <w:tcPr>
            <w:tcW w:w="6660" w:type="dxa"/>
            <w:shd w:val="clear" w:color="auto" w:fill="auto"/>
          </w:tcPr>
          <w:p w14:paraId="31FB91A5" w14:textId="77777777"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14:paraId="1B0F2FD9" w14:textId="77777777"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0AB678F" w14:textId="77777777" w:rsidR="00F67952"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Morgan Stanley &amp; Co. v. Archer Daniels Midlands Co.</w:t>
            </w:r>
          </w:p>
          <w:p w14:paraId="3AB0969E"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14:paraId="238EF1AF"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Bank of</w:t>
            </w:r>
            <w:r w:rsidR="00201147" w:rsidRPr="00E81769">
              <w:rPr>
                <w:rFonts w:ascii="Book Antiqua" w:hAnsi="Book Antiqua"/>
                <w:i/>
              </w:rPr>
              <w:t xml:space="preserve"> New York Mellon Trust</w:t>
            </w:r>
            <w:r w:rsidRPr="00E81769">
              <w:rPr>
                <w:rFonts w:ascii="Book Antiqua" w:hAnsi="Book Antiqua"/>
                <w:i/>
              </w:rPr>
              <w:t xml:space="preserve"> v. Liberty Media Corp. </w:t>
            </w:r>
          </w:p>
          <w:p w14:paraId="3DDA8896"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14:paraId="03B6BD4F" w14:textId="77777777" w:rsidR="00AD33CD" w:rsidRPr="00E81769" w:rsidRDefault="00AD33CD" w:rsidP="00B57107"/>
        </w:tc>
        <w:tc>
          <w:tcPr>
            <w:tcW w:w="1890" w:type="dxa"/>
            <w:shd w:val="clear" w:color="auto" w:fill="auto"/>
          </w:tcPr>
          <w:p w14:paraId="148938DF" w14:textId="77777777" w:rsidR="00AD33CD" w:rsidRPr="00E81769" w:rsidRDefault="008F0309" w:rsidP="00B57107">
            <w:pPr>
              <w:jc w:val="center"/>
            </w:pPr>
            <w:r w:rsidRPr="00E81769">
              <w:t>515-544</w:t>
            </w:r>
          </w:p>
        </w:tc>
      </w:tr>
      <w:tr w:rsidR="00AD33CD" w:rsidRPr="00420406" w14:paraId="4A3076F8" w14:textId="77777777" w:rsidTr="00B57107">
        <w:tc>
          <w:tcPr>
            <w:tcW w:w="810" w:type="dxa"/>
            <w:shd w:val="clear" w:color="auto" w:fill="D9D9D9" w:themeFill="background1" w:themeFillShade="D9"/>
          </w:tcPr>
          <w:p w14:paraId="0CD063E6" w14:textId="77777777" w:rsidR="00AD33CD" w:rsidRPr="00E81769" w:rsidRDefault="009B774B" w:rsidP="00B57107">
            <w:pPr>
              <w:jc w:val="center"/>
            </w:pPr>
            <w:r>
              <w:t>20</w:t>
            </w:r>
          </w:p>
        </w:tc>
        <w:tc>
          <w:tcPr>
            <w:tcW w:w="6660" w:type="dxa"/>
            <w:shd w:val="clear" w:color="auto" w:fill="D9D9D9" w:themeFill="background1" w:themeFillShade="D9"/>
          </w:tcPr>
          <w:p w14:paraId="319532F7" w14:textId="77777777"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14:paraId="43D1015A"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42DA872"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14:paraId="26A3F395"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Rights of creditors </w:t>
            </w:r>
          </w:p>
          <w:p w14:paraId="7AC4709E"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Katz v. Oak Industries, Inc. </w:t>
            </w:r>
          </w:p>
          <w:p w14:paraId="5D216744"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Simons v. Cogan </w:t>
            </w:r>
          </w:p>
          <w:p w14:paraId="65837DEF" w14:textId="77777777" w:rsidR="00D47C38"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N. Am. Catholic </w:t>
            </w:r>
            <w:r w:rsidR="00201147" w:rsidRPr="00E81769">
              <w:rPr>
                <w:rFonts w:ascii="Book Antiqua" w:hAnsi="Book Antiqua"/>
                <w:i/>
              </w:rPr>
              <w:t>Educ. Programming Found.</w:t>
            </w:r>
            <w:r w:rsidRPr="00E81769">
              <w:rPr>
                <w:rFonts w:ascii="Book Antiqua" w:hAnsi="Book Antiqua"/>
                <w:i/>
              </w:rPr>
              <w:t xml:space="preserve"> v. </w:t>
            </w:r>
            <w:proofErr w:type="spellStart"/>
            <w:r w:rsidRPr="00E81769">
              <w:rPr>
                <w:rFonts w:ascii="Book Antiqua" w:hAnsi="Book Antiqua"/>
                <w:i/>
              </w:rPr>
              <w:t>Gheewalla</w:t>
            </w:r>
            <w:proofErr w:type="spellEnd"/>
            <w:r w:rsidRPr="00E81769">
              <w:rPr>
                <w:rFonts w:ascii="Book Antiqua" w:hAnsi="Book Antiqua"/>
                <w:i/>
              </w:rPr>
              <w:t xml:space="preserve"> </w:t>
            </w:r>
          </w:p>
          <w:p w14:paraId="008318B0" w14:textId="77777777" w:rsidR="008F0309" w:rsidRPr="00E81769" w:rsidRDefault="00D47C38" w:rsidP="00D47C38">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r w:rsidR="008F0309" w:rsidRPr="00E81769">
              <w:rPr>
                <w:rFonts w:ascii="Book Antiqua" w:hAnsi="Book Antiqua"/>
                <w:i/>
              </w:rPr>
              <w:t xml:space="preserve"> </w:t>
            </w:r>
          </w:p>
          <w:p w14:paraId="4056C9C4" w14:textId="77777777" w:rsidR="00AD33CD" w:rsidRPr="00E81769" w:rsidRDefault="00AD33CD" w:rsidP="00B57107"/>
        </w:tc>
        <w:tc>
          <w:tcPr>
            <w:tcW w:w="1890" w:type="dxa"/>
            <w:shd w:val="clear" w:color="auto" w:fill="D9D9D9" w:themeFill="background1" w:themeFillShade="D9"/>
          </w:tcPr>
          <w:p w14:paraId="5C873606" w14:textId="77777777" w:rsidR="00AD33CD" w:rsidRPr="00E81769" w:rsidRDefault="008F0309" w:rsidP="00B57107">
            <w:pPr>
              <w:jc w:val="center"/>
            </w:pPr>
            <w:r w:rsidRPr="00E81769">
              <w:t>545-</w:t>
            </w:r>
            <w:r w:rsidR="00D47C38" w:rsidRPr="00E81769">
              <w:t>571</w:t>
            </w:r>
          </w:p>
        </w:tc>
      </w:tr>
      <w:tr w:rsidR="00AD33CD" w:rsidRPr="00420406" w14:paraId="1724FD3F" w14:textId="77777777" w:rsidTr="00B57107">
        <w:tc>
          <w:tcPr>
            <w:tcW w:w="810" w:type="dxa"/>
            <w:shd w:val="clear" w:color="auto" w:fill="D9D9D9" w:themeFill="background1" w:themeFillShade="D9"/>
          </w:tcPr>
          <w:p w14:paraId="4050EC6C" w14:textId="77777777" w:rsidR="00AD33CD" w:rsidRPr="00E81769" w:rsidRDefault="009B774B" w:rsidP="00B57107">
            <w:pPr>
              <w:jc w:val="center"/>
            </w:pPr>
            <w:r>
              <w:t>21</w:t>
            </w:r>
          </w:p>
        </w:tc>
        <w:tc>
          <w:tcPr>
            <w:tcW w:w="6660" w:type="dxa"/>
            <w:shd w:val="clear" w:color="auto" w:fill="D9D9D9" w:themeFill="background1" w:themeFillShade="D9"/>
          </w:tcPr>
          <w:p w14:paraId="7B8ACD63" w14:textId="77777777"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14:paraId="16F64D39"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Overview of bankruptcy and reorganization </w:t>
            </w:r>
          </w:p>
          <w:p w14:paraId="01FD39BC"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Marriott Corp. case study </w:t>
            </w:r>
          </w:p>
          <w:p w14:paraId="6A9C9359" w14:textId="77777777" w:rsidR="00D47C38" w:rsidRPr="00E81769" w:rsidRDefault="00D47C38" w:rsidP="00D47C38">
            <w:pPr>
              <w:jc w:val="both"/>
              <w:rPr>
                <w:rFonts w:ascii="Book Antiqua" w:hAnsi="Book Antiqua"/>
              </w:rPr>
            </w:pPr>
          </w:p>
          <w:p w14:paraId="13CDA410" w14:textId="77777777" w:rsidR="00D47C38" w:rsidRPr="00E81769" w:rsidRDefault="00D47C38" w:rsidP="00D47C38">
            <w:pPr>
              <w:jc w:val="both"/>
              <w:rPr>
                <w:rFonts w:ascii="Book Antiqua" w:hAnsi="Book Antiqua"/>
              </w:rPr>
            </w:pPr>
            <w:r w:rsidRPr="00E81769">
              <w:rPr>
                <w:rFonts w:ascii="Book Antiqua" w:hAnsi="Book Antiqua"/>
              </w:rPr>
              <w:t xml:space="preserve">CHAPTER 8:  CONVERTIBLE SECURITIES    </w:t>
            </w:r>
          </w:p>
          <w:p w14:paraId="531BC56A"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14:paraId="6B7157E9" w14:textId="77777777" w:rsidR="00AD33CD" w:rsidRPr="00E81769" w:rsidRDefault="00AD33CD" w:rsidP="00B57107">
            <w:pPr>
              <w:pStyle w:val="ListParagraph"/>
              <w:ind w:left="360"/>
            </w:pPr>
          </w:p>
          <w:p w14:paraId="76466EC4" w14:textId="77777777" w:rsidR="0052773E" w:rsidRPr="00E81769" w:rsidRDefault="0052773E" w:rsidP="00B57107">
            <w:pPr>
              <w:pStyle w:val="ListParagraph"/>
              <w:ind w:left="360"/>
            </w:pPr>
          </w:p>
          <w:p w14:paraId="07144F6A" w14:textId="77777777" w:rsidR="0052773E" w:rsidRPr="00E81769" w:rsidRDefault="0052773E" w:rsidP="00B57107">
            <w:pPr>
              <w:pStyle w:val="ListParagraph"/>
              <w:ind w:left="360"/>
            </w:pPr>
          </w:p>
          <w:p w14:paraId="313752E0" w14:textId="77777777" w:rsidR="0052773E" w:rsidRPr="00E81769" w:rsidRDefault="0052773E" w:rsidP="00B57107">
            <w:pPr>
              <w:pStyle w:val="ListParagraph"/>
              <w:ind w:left="360"/>
            </w:pPr>
          </w:p>
          <w:p w14:paraId="32732C26" w14:textId="77777777" w:rsidR="0052773E" w:rsidRPr="00E81769" w:rsidRDefault="0052773E" w:rsidP="00B57107">
            <w:pPr>
              <w:pStyle w:val="ListParagraph"/>
              <w:ind w:left="360"/>
            </w:pPr>
          </w:p>
          <w:p w14:paraId="0771804E" w14:textId="77777777" w:rsidR="0052773E" w:rsidRPr="00E81769" w:rsidRDefault="0052773E" w:rsidP="00B57107">
            <w:pPr>
              <w:pStyle w:val="ListParagraph"/>
              <w:ind w:left="360"/>
            </w:pPr>
          </w:p>
        </w:tc>
        <w:tc>
          <w:tcPr>
            <w:tcW w:w="1890" w:type="dxa"/>
            <w:shd w:val="clear" w:color="auto" w:fill="D9D9D9" w:themeFill="background1" w:themeFillShade="D9"/>
          </w:tcPr>
          <w:p w14:paraId="2853E34A" w14:textId="77777777" w:rsidR="00AD33CD" w:rsidRPr="00E81769" w:rsidRDefault="00D47C38" w:rsidP="00B57107">
            <w:pPr>
              <w:jc w:val="center"/>
            </w:pPr>
            <w:r w:rsidRPr="00E81769">
              <w:t>571-586</w:t>
            </w:r>
          </w:p>
          <w:p w14:paraId="35435524" w14:textId="77777777" w:rsidR="00D47C38" w:rsidRPr="00E81769" w:rsidRDefault="00D47C38" w:rsidP="00B57107">
            <w:pPr>
              <w:jc w:val="center"/>
            </w:pPr>
          </w:p>
          <w:p w14:paraId="732615F3" w14:textId="77777777" w:rsidR="00D47C38" w:rsidRPr="00E81769" w:rsidRDefault="00D47C38" w:rsidP="00B57107">
            <w:pPr>
              <w:jc w:val="center"/>
            </w:pPr>
            <w:r w:rsidRPr="00E81769">
              <w:t>587-</w:t>
            </w:r>
            <w:r w:rsidR="000E2502" w:rsidRPr="00E81769">
              <w:t>592</w:t>
            </w:r>
          </w:p>
        </w:tc>
      </w:tr>
      <w:tr w:rsidR="00AD33CD" w:rsidRPr="00420406" w14:paraId="4F557512" w14:textId="77777777" w:rsidTr="00B57107">
        <w:tc>
          <w:tcPr>
            <w:tcW w:w="810" w:type="dxa"/>
            <w:shd w:val="clear" w:color="auto" w:fill="FFFFFF" w:themeFill="background1"/>
          </w:tcPr>
          <w:p w14:paraId="01141802" w14:textId="77777777" w:rsidR="00AD33CD" w:rsidRPr="00E81769" w:rsidRDefault="009B774B" w:rsidP="00B57107">
            <w:pPr>
              <w:jc w:val="center"/>
            </w:pPr>
            <w:r>
              <w:lastRenderedPageBreak/>
              <w:t>22</w:t>
            </w:r>
          </w:p>
        </w:tc>
        <w:tc>
          <w:tcPr>
            <w:tcW w:w="6660" w:type="dxa"/>
            <w:shd w:val="clear" w:color="auto" w:fill="FFFFFF" w:themeFill="background1"/>
          </w:tcPr>
          <w:p w14:paraId="7AE9A817"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70E2705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39FDAED3"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5428A50D"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3650B9BE"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51F27594" w14:textId="77777777" w:rsidR="00AD33CD" w:rsidRPr="00E81769" w:rsidRDefault="00AD33CD" w:rsidP="00A314FE">
            <w:pPr>
              <w:pStyle w:val="ListParagraph"/>
              <w:ind w:left="360"/>
              <w:jc w:val="both"/>
            </w:pPr>
          </w:p>
        </w:tc>
        <w:tc>
          <w:tcPr>
            <w:tcW w:w="1890" w:type="dxa"/>
            <w:shd w:val="clear" w:color="auto" w:fill="FFFFFF" w:themeFill="background1"/>
          </w:tcPr>
          <w:p w14:paraId="5D959A83" w14:textId="77777777" w:rsidR="00AD33CD" w:rsidRPr="00E81769" w:rsidRDefault="00A314FE" w:rsidP="00B57107">
            <w:pPr>
              <w:jc w:val="center"/>
            </w:pPr>
            <w:r w:rsidRPr="00E81769">
              <w:t>592-619</w:t>
            </w:r>
          </w:p>
        </w:tc>
      </w:tr>
      <w:tr w:rsidR="00AD33CD" w:rsidRPr="00420406" w14:paraId="2D7E6DC3" w14:textId="77777777" w:rsidTr="00B57107">
        <w:tc>
          <w:tcPr>
            <w:tcW w:w="810" w:type="dxa"/>
            <w:shd w:val="clear" w:color="auto" w:fill="FFFFFF" w:themeFill="background1"/>
          </w:tcPr>
          <w:p w14:paraId="1C791972" w14:textId="77777777" w:rsidR="00AD33CD" w:rsidRPr="00E81769" w:rsidRDefault="009B774B" w:rsidP="00B57107">
            <w:pPr>
              <w:jc w:val="center"/>
            </w:pPr>
            <w:r>
              <w:t>23</w:t>
            </w:r>
          </w:p>
        </w:tc>
        <w:tc>
          <w:tcPr>
            <w:tcW w:w="6660" w:type="dxa"/>
            <w:shd w:val="clear" w:color="auto" w:fill="FFFFFF" w:themeFill="background1"/>
          </w:tcPr>
          <w:p w14:paraId="6CD1DF16"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4A68436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1CEFB74B"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14:paraId="3357740A"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3D0B7B86"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Lorenz v. CSC Corp. </w:t>
            </w:r>
          </w:p>
          <w:p w14:paraId="7C8E9FFD"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069CA4B9" w14:textId="77777777" w:rsidR="00AD33CD" w:rsidRPr="00E81769" w:rsidRDefault="00AD33CD" w:rsidP="00B57107">
            <w:pPr>
              <w:pStyle w:val="ListParagraph"/>
            </w:pPr>
          </w:p>
        </w:tc>
        <w:tc>
          <w:tcPr>
            <w:tcW w:w="1890" w:type="dxa"/>
            <w:shd w:val="clear" w:color="auto" w:fill="FFFFFF" w:themeFill="background1"/>
          </w:tcPr>
          <w:p w14:paraId="426811C4" w14:textId="77777777" w:rsidR="00AD33CD" w:rsidRPr="00E81769" w:rsidRDefault="00A314FE" w:rsidP="00B57107">
            <w:pPr>
              <w:jc w:val="center"/>
            </w:pPr>
            <w:r w:rsidRPr="00E81769">
              <w:t>619-</w:t>
            </w:r>
            <w:r w:rsidR="00D66F61" w:rsidRPr="00E81769">
              <w:t>646</w:t>
            </w:r>
          </w:p>
        </w:tc>
      </w:tr>
      <w:tr w:rsidR="00AD33CD" w:rsidRPr="00420406" w14:paraId="49D6A3C0" w14:textId="77777777" w:rsidTr="00B57107">
        <w:tc>
          <w:tcPr>
            <w:tcW w:w="810" w:type="dxa"/>
            <w:shd w:val="clear" w:color="auto" w:fill="D9D9D9" w:themeFill="background1" w:themeFillShade="D9"/>
          </w:tcPr>
          <w:p w14:paraId="66459858" w14:textId="77777777" w:rsidR="00AD33CD" w:rsidRPr="00E81769" w:rsidRDefault="009B774B" w:rsidP="00B57107">
            <w:pPr>
              <w:jc w:val="center"/>
            </w:pPr>
            <w:r>
              <w:t>24</w:t>
            </w:r>
          </w:p>
        </w:tc>
        <w:tc>
          <w:tcPr>
            <w:tcW w:w="6660" w:type="dxa"/>
            <w:shd w:val="clear" w:color="auto" w:fill="D9D9D9" w:themeFill="background1" w:themeFillShade="D9"/>
          </w:tcPr>
          <w:p w14:paraId="16F26540" w14:textId="77777777"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14:paraId="6C2316B3"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14:paraId="192AB1B0"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14:paraId="15EF6CB4"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14:paraId="1D29FEF9" w14:textId="77777777"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14:paraId="6F27582B" w14:textId="77777777" w:rsidR="00AD33CD" w:rsidRPr="00E81769" w:rsidRDefault="00AD33CD" w:rsidP="00B57107">
            <w:pPr>
              <w:jc w:val="both"/>
            </w:pPr>
          </w:p>
        </w:tc>
        <w:tc>
          <w:tcPr>
            <w:tcW w:w="1890" w:type="dxa"/>
            <w:shd w:val="clear" w:color="auto" w:fill="D9D9D9" w:themeFill="background1" w:themeFillShade="D9"/>
          </w:tcPr>
          <w:p w14:paraId="536E4EEC" w14:textId="77777777" w:rsidR="00AD33CD" w:rsidRPr="00E81769" w:rsidRDefault="00D66F61" w:rsidP="00B57107">
            <w:pPr>
              <w:jc w:val="center"/>
            </w:pPr>
            <w:r w:rsidRPr="00E81769">
              <w:t>645-674</w:t>
            </w:r>
          </w:p>
        </w:tc>
      </w:tr>
      <w:tr w:rsidR="00AD33CD" w:rsidRPr="00420406" w14:paraId="3CDA18B4" w14:textId="77777777" w:rsidTr="00B57107">
        <w:tc>
          <w:tcPr>
            <w:tcW w:w="810" w:type="dxa"/>
            <w:shd w:val="clear" w:color="auto" w:fill="D9D9D9" w:themeFill="background1" w:themeFillShade="D9"/>
          </w:tcPr>
          <w:p w14:paraId="4A54EBCB" w14:textId="77777777" w:rsidR="00AD33CD" w:rsidRPr="00E81769" w:rsidRDefault="009B774B" w:rsidP="00B57107">
            <w:pPr>
              <w:jc w:val="center"/>
            </w:pPr>
            <w:r>
              <w:t>25</w:t>
            </w:r>
          </w:p>
        </w:tc>
        <w:tc>
          <w:tcPr>
            <w:tcW w:w="6660" w:type="dxa"/>
            <w:shd w:val="clear" w:color="auto" w:fill="D9D9D9" w:themeFill="background1" w:themeFillShade="D9"/>
          </w:tcPr>
          <w:p w14:paraId="36E6ABEE" w14:textId="77777777" w:rsidR="00D66F61" w:rsidRPr="00E81769" w:rsidRDefault="00D66F61" w:rsidP="00D66F61">
            <w:pPr>
              <w:jc w:val="both"/>
              <w:rPr>
                <w:rFonts w:ascii="Book Antiqua" w:hAnsi="Book Antiqua"/>
              </w:rPr>
            </w:pPr>
            <w:r w:rsidRPr="00E81769">
              <w:rPr>
                <w:rFonts w:ascii="Book Antiqua" w:hAnsi="Book Antiqua"/>
              </w:rPr>
              <w:t xml:space="preserve">CHAPTER 9:  DERIVATIVES    </w:t>
            </w:r>
          </w:p>
          <w:p w14:paraId="4A5E937D"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14:paraId="294D0DEF" w14:textId="77777777"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14:paraId="0C1C5668" w14:textId="77777777" w:rsidR="00AD33CD" w:rsidRPr="00E81769" w:rsidRDefault="00AD33CD" w:rsidP="00D66F61">
            <w:pPr>
              <w:jc w:val="both"/>
            </w:pPr>
          </w:p>
        </w:tc>
        <w:tc>
          <w:tcPr>
            <w:tcW w:w="1890" w:type="dxa"/>
            <w:shd w:val="clear" w:color="auto" w:fill="D9D9D9" w:themeFill="background1" w:themeFillShade="D9"/>
          </w:tcPr>
          <w:p w14:paraId="362B7952" w14:textId="77777777" w:rsidR="00AD33CD" w:rsidRPr="00E81769" w:rsidRDefault="009B774B" w:rsidP="00B57107">
            <w:pPr>
              <w:jc w:val="center"/>
            </w:pPr>
            <w:r>
              <w:t>675-686</w:t>
            </w:r>
          </w:p>
        </w:tc>
      </w:tr>
      <w:tr w:rsidR="00AD33CD" w:rsidRPr="00420406" w14:paraId="442F40F6" w14:textId="77777777" w:rsidTr="00B57107">
        <w:tc>
          <w:tcPr>
            <w:tcW w:w="810" w:type="dxa"/>
            <w:shd w:val="clear" w:color="auto" w:fill="FFFFFF" w:themeFill="background1"/>
          </w:tcPr>
          <w:p w14:paraId="15F28A09" w14:textId="77777777" w:rsidR="00AD33CD" w:rsidRPr="00E81769" w:rsidRDefault="009B774B" w:rsidP="00B57107">
            <w:pPr>
              <w:jc w:val="center"/>
            </w:pPr>
            <w:r>
              <w:t>26</w:t>
            </w:r>
          </w:p>
        </w:tc>
        <w:tc>
          <w:tcPr>
            <w:tcW w:w="6660" w:type="dxa"/>
            <w:shd w:val="clear" w:color="auto" w:fill="FFFFFF" w:themeFill="background1"/>
          </w:tcPr>
          <w:p w14:paraId="14A62A2D" w14:textId="77777777" w:rsidR="00D145E7" w:rsidRPr="009B774B" w:rsidRDefault="00381930" w:rsidP="009B774B">
            <w:pPr>
              <w:jc w:val="both"/>
              <w:rPr>
                <w:rFonts w:ascii="Book Antiqua" w:hAnsi="Book Antiqua"/>
              </w:rPr>
            </w:pPr>
            <w:r>
              <w:rPr>
                <w:rFonts w:ascii="Book Antiqua" w:hAnsi="Book Antiqua"/>
              </w:rPr>
              <w:t>OVERFLOW CLASS</w:t>
            </w:r>
          </w:p>
          <w:p w14:paraId="45ACCEF3" w14:textId="77777777" w:rsidR="00AD33CD" w:rsidRPr="00E81769" w:rsidRDefault="00AD33CD" w:rsidP="00B57107"/>
        </w:tc>
        <w:tc>
          <w:tcPr>
            <w:tcW w:w="1890" w:type="dxa"/>
            <w:shd w:val="clear" w:color="auto" w:fill="FFFFFF" w:themeFill="background1"/>
          </w:tcPr>
          <w:p w14:paraId="118C0883" w14:textId="77777777" w:rsidR="00AD33CD" w:rsidRPr="00E81769" w:rsidRDefault="00AD33CD" w:rsidP="00B57107">
            <w:pPr>
              <w:jc w:val="center"/>
            </w:pPr>
          </w:p>
        </w:tc>
      </w:tr>
      <w:tr w:rsidR="00D81728" w:rsidRPr="00420406" w14:paraId="7E7DCEDF" w14:textId="77777777" w:rsidTr="00B57107">
        <w:tc>
          <w:tcPr>
            <w:tcW w:w="810" w:type="dxa"/>
            <w:shd w:val="clear" w:color="auto" w:fill="FFFFFF" w:themeFill="background1"/>
          </w:tcPr>
          <w:p w14:paraId="700AAB38" w14:textId="77777777" w:rsidR="00D81728" w:rsidRDefault="00D81728" w:rsidP="00B57107">
            <w:pPr>
              <w:jc w:val="center"/>
            </w:pPr>
          </w:p>
        </w:tc>
        <w:tc>
          <w:tcPr>
            <w:tcW w:w="6660" w:type="dxa"/>
            <w:shd w:val="clear" w:color="auto" w:fill="FFFFFF" w:themeFill="background1"/>
          </w:tcPr>
          <w:p w14:paraId="4379E3AD" w14:textId="77777777" w:rsidR="00D81728" w:rsidRDefault="00D81728" w:rsidP="009B774B">
            <w:pPr>
              <w:jc w:val="both"/>
              <w:rPr>
                <w:rFonts w:ascii="Book Antiqua" w:hAnsi="Book Antiqua"/>
              </w:rPr>
            </w:pPr>
          </w:p>
          <w:p w14:paraId="36D2B76F" w14:textId="77777777" w:rsidR="003D56C3" w:rsidRDefault="00D81728" w:rsidP="009B774B">
            <w:pPr>
              <w:jc w:val="both"/>
              <w:rPr>
                <w:rFonts w:ascii="Book Antiqua" w:hAnsi="Book Antiqua"/>
                <w:b/>
                <w:bCs/>
                <w:sz w:val="40"/>
                <w:szCs w:val="40"/>
              </w:rPr>
            </w:pPr>
            <w:r w:rsidRPr="00D81728">
              <w:rPr>
                <w:rFonts w:ascii="Book Antiqua" w:hAnsi="Book Antiqua"/>
                <w:b/>
                <w:bCs/>
                <w:sz w:val="40"/>
                <w:szCs w:val="40"/>
              </w:rPr>
              <w:t xml:space="preserve">FINAL EXAM:  </w:t>
            </w:r>
          </w:p>
          <w:p w14:paraId="0BE8D1C3" w14:textId="2D67521F" w:rsidR="00D81728" w:rsidRPr="00D81728" w:rsidRDefault="003D56C3" w:rsidP="009B774B">
            <w:pPr>
              <w:jc w:val="both"/>
              <w:rPr>
                <w:rFonts w:ascii="Book Antiqua" w:hAnsi="Book Antiqua"/>
                <w:b/>
                <w:bCs/>
                <w:sz w:val="40"/>
                <w:szCs w:val="40"/>
              </w:rPr>
            </w:pPr>
            <w:r w:rsidRPr="003D56C3">
              <w:rPr>
                <w:rFonts w:ascii="Book Antiqua" w:hAnsi="Book Antiqua"/>
                <w:b/>
                <w:bCs/>
                <w:sz w:val="40"/>
                <w:szCs w:val="40"/>
              </w:rPr>
              <w:t>Friday, Dec. 10, 8:30am to 12:30pm</w:t>
            </w:r>
            <w:r w:rsidR="00D81728" w:rsidRPr="00D81728">
              <w:rPr>
                <w:rFonts w:ascii="Book Antiqua" w:hAnsi="Book Antiqua"/>
                <w:b/>
                <w:bCs/>
                <w:sz w:val="40"/>
                <w:szCs w:val="40"/>
              </w:rPr>
              <w:t xml:space="preserve"> </w:t>
            </w:r>
          </w:p>
          <w:p w14:paraId="645786EA" w14:textId="36203047" w:rsidR="00D81728" w:rsidRDefault="00D81728" w:rsidP="009B774B">
            <w:pPr>
              <w:jc w:val="both"/>
              <w:rPr>
                <w:rFonts w:ascii="Book Antiqua" w:hAnsi="Book Antiqua"/>
              </w:rPr>
            </w:pPr>
          </w:p>
        </w:tc>
        <w:tc>
          <w:tcPr>
            <w:tcW w:w="1890" w:type="dxa"/>
            <w:shd w:val="clear" w:color="auto" w:fill="FFFFFF" w:themeFill="background1"/>
          </w:tcPr>
          <w:p w14:paraId="0CDFBDB7" w14:textId="77777777" w:rsidR="00D81728" w:rsidRPr="00E81769" w:rsidRDefault="00D81728" w:rsidP="00B57107">
            <w:pPr>
              <w:jc w:val="center"/>
            </w:pPr>
          </w:p>
        </w:tc>
      </w:tr>
    </w:tbl>
    <w:p w14:paraId="7C19D6EF" w14:textId="77777777" w:rsidR="00AD33CD" w:rsidRPr="00200420" w:rsidRDefault="00AD33CD" w:rsidP="00AD33CD"/>
    <w:p w14:paraId="06578ECE"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D60D8"/>
    <w:multiLevelType w:val="multilevel"/>
    <w:tmpl w:val="23C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1"/>
  </w:num>
  <w:num w:numId="4">
    <w:abstractNumId w:val="25"/>
  </w:num>
  <w:num w:numId="5">
    <w:abstractNumId w:val="29"/>
  </w:num>
  <w:num w:numId="6">
    <w:abstractNumId w:val="33"/>
  </w:num>
  <w:num w:numId="7">
    <w:abstractNumId w:val="28"/>
  </w:num>
  <w:num w:numId="8">
    <w:abstractNumId w:val="17"/>
  </w:num>
  <w:num w:numId="9">
    <w:abstractNumId w:val="26"/>
  </w:num>
  <w:num w:numId="10">
    <w:abstractNumId w:val="4"/>
  </w:num>
  <w:num w:numId="11">
    <w:abstractNumId w:val="11"/>
  </w:num>
  <w:num w:numId="12">
    <w:abstractNumId w:val="6"/>
  </w:num>
  <w:num w:numId="13">
    <w:abstractNumId w:val="27"/>
  </w:num>
  <w:num w:numId="14">
    <w:abstractNumId w:val="1"/>
  </w:num>
  <w:num w:numId="15">
    <w:abstractNumId w:val="16"/>
  </w:num>
  <w:num w:numId="16">
    <w:abstractNumId w:val="9"/>
  </w:num>
  <w:num w:numId="17">
    <w:abstractNumId w:val="22"/>
  </w:num>
  <w:num w:numId="18">
    <w:abstractNumId w:val="30"/>
  </w:num>
  <w:num w:numId="19">
    <w:abstractNumId w:val="7"/>
  </w:num>
  <w:num w:numId="20">
    <w:abstractNumId w:val="15"/>
  </w:num>
  <w:num w:numId="21">
    <w:abstractNumId w:val="13"/>
  </w:num>
  <w:num w:numId="22">
    <w:abstractNumId w:val="23"/>
  </w:num>
  <w:num w:numId="23">
    <w:abstractNumId w:val="34"/>
  </w:num>
  <w:num w:numId="24">
    <w:abstractNumId w:val="12"/>
  </w:num>
  <w:num w:numId="25">
    <w:abstractNumId w:val="38"/>
  </w:num>
  <w:num w:numId="26">
    <w:abstractNumId w:val="18"/>
  </w:num>
  <w:num w:numId="27">
    <w:abstractNumId w:val="3"/>
  </w:num>
  <w:num w:numId="28">
    <w:abstractNumId w:val="37"/>
  </w:num>
  <w:num w:numId="29">
    <w:abstractNumId w:val="20"/>
  </w:num>
  <w:num w:numId="30">
    <w:abstractNumId w:val="19"/>
  </w:num>
  <w:num w:numId="31">
    <w:abstractNumId w:val="2"/>
  </w:num>
  <w:num w:numId="32">
    <w:abstractNumId w:val="35"/>
  </w:num>
  <w:num w:numId="33">
    <w:abstractNumId w:val="14"/>
  </w:num>
  <w:num w:numId="34">
    <w:abstractNumId w:val="5"/>
  </w:num>
  <w:num w:numId="35">
    <w:abstractNumId w:val="31"/>
  </w:num>
  <w:num w:numId="36">
    <w:abstractNumId w:val="0"/>
  </w:num>
  <w:num w:numId="37">
    <w:abstractNumId w:val="32"/>
  </w:num>
  <w:num w:numId="38">
    <w:abstractNumId w:val="36"/>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3A9A"/>
    <w:rsid w:val="000330D3"/>
    <w:rsid w:val="00035A2A"/>
    <w:rsid w:val="00045725"/>
    <w:rsid w:val="00052E7F"/>
    <w:rsid w:val="000564C3"/>
    <w:rsid w:val="00061D88"/>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D5898"/>
    <w:rsid w:val="000E2502"/>
    <w:rsid w:val="000E4E45"/>
    <w:rsid w:val="000F0767"/>
    <w:rsid w:val="00101C65"/>
    <w:rsid w:val="00120C66"/>
    <w:rsid w:val="001260ED"/>
    <w:rsid w:val="001261D0"/>
    <w:rsid w:val="00126A4C"/>
    <w:rsid w:val="001361E7"/>
    <w:rsid w:val="001362BB"/>
    <w:rsid w:val="00137AD5"/>
    <w:rsid w:val="00144788"/>
    <w:rsid w:val="00153DA6"/>
    <w:rsid w:val="00171036"/>
    <w:rsid w:val="001732D0"/>
    <w:rsid w:val="001733F5"/>
    <w:rsid w:val="001753D5"/>
    <w:rsid w:val="001838F3"/>
    <w:rsid w:val="001869BF"/>
    <w:rsid w:val="00195D7B"/>
    <w:rsid w:val="001A41C8"/>
    <w:rsid w:val="001A6B78"/>
    <w:rsid w:val="001B7BED"/>
    <w:rsid w:val="001C244A"/>
    <w:rsid w:val="001E7403"/>
    <w:rsid w:val="001E7C51"/>
    <w:rsid w:val="002003A3"/>
    <w:rsid w:val="00200420"/>
    <w:rsid w:val="00201147"/>
    <w:rsid w:val="002025F9"/>
    <w:rsid w:val="00220B91"/>
    <w:rsid w:val="00225031"/>
    <w:rsid w:val="002301F2"/>
    <w:rsid w:val="002347C4"/>
    <w:rsid w:val="002416C9"/>
    <w:rsid w:val="002430C3"/>
    <w:rsid w:val="00252706"/>
    <w:rsid w:val="0026339F"/>
    <w:rsid w:val="002709F6"/>
    <w:rsid w:val="00281625"/>
    <w:rsid w:val="0029181D"/>
    <w:rsid w:val="00292FBF"/>
    <w:rsid w:val="002967FE"/>
    <w:rsid w:val="002C4DE6"/>
    <w:rsid w:val="002D14A9"/>
    <w:rsid w:val="002D2666"/>
    <w:rsid w:val="002D2844"/>
    <w:rsid w:val="002D495B"/>
    <w:rsid w:val="002D5D65"/>
    <w:rsid w:val="002D6951"/>
    <w:rsid w:val="002E0053"/>
    <w:rsid w:val="002E128E"/>
    <w:rsid w:val="002F3457"/>
    <w:rsid w:val="00301C56"/>
    <w:rsid w:val="003042DC"/>
    <w:rsid w:val="003051E0"/>
    <w:rsid w:val="00305D29"/>
    <w:rsid w:val="00310CC4"/>
    <w:rsid w:val="0031131E"/>
    <w:rsid w:val="0031281A"/>
    <w:rsid w:val="00316B55"/>
    <w:rsid w:val="00317AE6"/>
    <w:rsid w:val="003422ED"/>
    <w:rsid w:val="003542BC"/>
    <w:rsid w:val="0035433A"/>
    <w:rsid w:val="00354D51"/>
    <w:rsid w:val="00360723"/>
    <w:rsid w:val="00381930"/>
    <w:rsid w:val="00386A01"/>
    <w:rsid w:val="0039081C"/>
    <w:rsid w:val="0039279E"/>
    <w:rsid w:val="003971C7"/>
    <w:rsid w:val="003D56C3"/>
    <w:rsid w:val="003E2986"/>
    <w:rsid w:val="003E3205"/>
    <w:rsid w:val="003E5957"/>
    <w:rsid w:val="003F1CD4"/>
    <w:rsid w:val="004016E5"/>
    <w:rsid w:val="00401A87"/>
    <w:rsid w:val="00403430"/>
    <w:rsid w:val="00404778"/>
    <w:rsid w:val="00407736"/>
    <w:rsid w:val="004151B5"/>
    <w:rsid w:val="00417B6C"/>
    <w:rsid w:val="00420F19"/>
    <w:rsid w:val="00423960"/>
    <w:rsid w:val="00423BF0"/>
    <w:rsid w:val="004300A5"/>
    <w:rsid w:val="004301E1"/>
    <w:rsid w:val="0043226E"/>
    <w:rsid w:val="00435D89"/>
    <w:rsid w:val="00441A68"/>
    <w:rsid w:val="00443556"/>
    <w:rsid w:val="004466FB"/>
    <w:rsid w:val="0045362F"/>
    <w:rsid w:val="004554F5"/>
    <w:rsid w:val="004604BC"/>
    <w:rsid w:val="004747EE"/>
    <w:rsid w:val="0048487B"/>
    <w:rsid w:val="00486C35"/>
    <w:rsid w:val="004A37DE"/>
    <w:rsid w:val="004B24C1"/>
    <w:rsid w:val="004C663A"/>
    <w:rsid w:val="004D360D"/>
    <w:rsid w:val="004E3745"/>
    <w:rsid w:val="005048D5"/>
    <w:rsid w:val="00512450"/>
    <w:rsid w:val="0051265E"/>
    <w:rsid w:val="00514426"/>
    <w:rsid w:val="00517ABF"/>
    <w:rsid w:val="00517ADB"/>
    <w:rsid w:val="0052773E"/>
    <w:rsid w:val="00527FAC"/>
    <w:rsid w:val="00535858"/>
    <w:rsid w:val="005379BC"/>
    <w:rsid w:val="00541A33"/>
    <w:rsid w:val="0056188F"/>
    <w:rsid w:val="00576215"/>
    <w:rsid w:val="00583F99"/>
    <w:rsid w:val="00594A8C"/>
    <w:rsid w:val="00595077"/>
    <w:rsid w:val="00595258"/>
    <w:rsid w:val="005A1552"/>
    <w:rsid w:val="005A1ABD"/>
    <w:rsid w:val="005A28D6"/>
    <w:rsid w:val="005B0D26"/>
    <w:rsid w:val="005B1F82"/>
    <w:rsid w:val="005B2893"/>
    <w:rsid w:val="005C14CC"/>
    <w:rsid w:val="005D01BE"/>
    <w:rsid w:val="005D111E"/>
    <w:rsid w:val="005D4119"/>
    <w:rsid w:val="005E69F1"/>
    <w:rsid w:val="005F1D8D"/>
    <w:rsid w:val="005F1DC5"/>
    <w:rsid w:val="005F4375"/>
    <w:rsid w:val="00610C4A"/>
    <w:rsid w:val="00625D10"/>
    <w:rsid w:val="00626746"/>
    <w:rsid w:val="00642696"/>
    <w:rsid w:val="00645F95"/>
    <w:rsid w:val="00655535"/>
    <w:rsid w:val="00660D57"/>
    <w:rsid w:val="00667C00"/>
    <w:rsid w:val="00670E2E"/>
    <w:rsid w:val="0067297B"/>
    <w:rsid w:val="006946BB"/>
    <w:rsid w:val="006A3BFD"/>
    <w:rsid w:val="006A5EE1"/>
    <w:rsid w:val="006B204F"/>
    <w:rsid w:val="006B2D85"/>
    <w:rsid w:val="006C69BB"/>
    <w:rsid w:val="006D09CC"/>
    <w:rsid w:val="006D32B0"/>
    <w:rsid w:val="006E16E2"/>
    <w:rsid w:val="006F3B92"/>
    <w:rsid w:val="006F5D3D"/>
    <w:rsid w:val="00701F14"/>
    <w:rsid w:val="00702CFB"/>
    <w:rsid w:val="00711B94"/>
    <w:rsid w:val="00713EC3"/>
    <w:rsid w:val="00723D80"/>
    <w:rsid w:val="007241D0"/>
    <w:rsid w:val="007549A0"/>
    <w:rsid w:val="00757C6D"/>
    <w:rsid w:val="0076530A"/>
    <w:rsid w:val="0076530F"/>
    <w:rsid w:val="00771173"/>
    <w:rsid w:val="007857CD"/>
    <w:rsid w:val="00786814"/>
    <w:rsid w:val="0078716A"/>
    <w:rsid w:val="007A0615"/>
    <w:rsid w:val="007A565E"/>
    <w:rsid w:val="007C4137"/>
    <w:rsid w:val="007C5947"/>
    <w:rsid w:val="007D43ED"/>
    <w:rsid w:val="007E1407"/>
    <w:rsid w:val="007E5E28"/>
    <w:rsid w:val="007E6BA2"/>
    <w:rsid w:val="007F3481"/>
    <w:rsid w:val="0080015B"/>
    <w:rsid w:val="00802836"/>
    <w:rsid w:val="008428F7"/>
    <w:rsid w:val="008707BC"/>
    <w:rsid w:val="00871196"/>
    <w:rsid w:val="00871688"/>
    <w:rsid w:val="00872C09"/>
    <w:rsid w:val="00877A58"/>
    <w:rsid w:val="008B60C9"/>
    <w:rsid w:val="008C137C"/>
    <w:rsid w:val="008C54A2"/>
    <w:rsid w:val="008C7F69"/>
    <w:rsid w:val="008D4815"/>
    <w:rsid w:val="008D7647"/>
    <w:rsid w:val="008F0309"/>
    <w:rsid w:val="008F148A"/>
    <w:rsid w:val="00906F45"/>
    <w:rsid w:val="0093203E"/>
    <w:rsid w:val="0093588A"/>
    <w:rsid w:val="00945779"/>
    <w:rsid w:val="00945C8C"/>
    <w:rsid w:val="0096364D"/>
    <w:rsid w:val="00964452"/>
    <w:rsid w:val="00972F70"/>
    <w:rsid w:val="00975B31"/>
    <w:rsid w:val="00987638"/>
    <w:rsid w:val="00992281"/>
    <w:rsid w:val="009A3411"/>
    <w:rsid w:val="009A535B"/>
    <w:rsid w:val="009A74D1"/>
    <w:rsid w:val="009B0433"/>
    <w:rsid w:val="009B1252"/>
    <w:rsid w:val="009B4BAD"/>
    <w:rsid w:val="009B774B"/>
    <w:rsid w:val="009D65E2"/>
    <w:rsid w:val="009E250D"/>
    <w:rsid w:val="009E532B"/>
    <w:rsid w:val="009F7171"/>
    <w:rsid w:val="00A005B4"/>
    <w:rsid w:val="00A02BF9"/>
    <w:rsid w:val="00A150C5"/>
    <w:rsid w:val="00A24B30"/>
    <w:rsid w:val="00A26C82"/>
    <w:rsid w:val="00A314FE"/>
    <w:rsid w:val="00A405F5"/>
    <w:rsid w:val="00A4415C"/>
    <w:rsid w:val="00A4530E"/>
    <w:rsid w:val="00A60609"/>
    <w:rsid w:val="00A63DE7"/>
    <w:rsid w:val="00A664FE"/>
    <w:rsid w:val="00A70139"/>
    <w:rsid w:val="00A73D01"/>
    <w:rsid w:val="00AA0C33"/>
    <w:rsid w:val="00AB3EBA"/>
    <w:rsid w:val="00AD33CD"/>
    <w:rsid w:val="00AD484D"/>
    <w:rsid w:val="00AF0459"/>
    <w:rsid w:val="00AF4122"/>
    <w:rsid w:val="00AF7915"/>
    <w:rsid w:val="00B00B82"/>
    <w:rsid w:val="00B1412B"/>
    <w:rsid w:val="00B149CC"/>
    <w:rsid w:val="00B25E2F"/>
    <w:rsid w:val="00B41954"/>
    <w:rsid w:val="00B441C8"/>
    <w:rsid w:val="00B456D9"/>
    <w:rsid w:val="00B57986"/>
    <w:rsid w:val="00B62669"/>
    <w:rsid w:val="00B62B65"/>
    <w:rsid w:val="00B77088"/>
    <w:rsid w:val="00B7731E"/>
    <w:rsid w:val="00B81F0D"/>
    <w:rsid w:val="00B82CF4"/>
    <w:rsid w:val="00BA57D8"/>
    <w:rsid w:val="00BC47BF"/>
    <w:rsid w:val="00BD0C6E"/>
    <w:rsid w:val="00BD23D0"/>
    <w:rsid w:val="00BD30AC"/>
    <w:rsid w:val="00BF00A2"/>
    <w:rsid w:val="00BF0B85"/>
    <w:rsid w:val="00C04395"/>
    <w:rsid w:val="00C05310"/>
    <w:rsid w:val="00C3525B"/>
    <w:rsid w:val="00C54B86"/>
    <w:rsid w:val="00C5659C"/>
    <w:rsid w:val="00C765BA"/>
    <w:rsid w:val="00C80152"/>
    <w:rsid w:val="00CA6965"/>
    <w:rsid w:val="00CB1DFC"/>
    <w:rsid w:val="00CB2A6A"/>
    <w:rsid w:val="00CB50D2"/>
    <w:rsid w:val="00CD1FC3"/>
    <w:rsid w:val="00CD499F"/>
    <w:rsid w:val="00CE15B0"/>
    <w:rsid w:val="00CF1962"/>
    <w:rsid w:val="00CF36E7"/>
    <w:rsid w:val="00D0169D"/>
    <w:rsid w:val="00D066BE"/>
    <w:rsid w:val="00D11EDB"/>
    <w:rsid w:val="00D145E7"/>
    <w:rsid w:val="00D27FC3"/>
    <w:rsid w:val="00D32178"/>
    <w:rsid w:val="00D47C38"/>
    <w:rsid w:val="00D517A6"/>
    <w:rsid w:val="00D65334"/>
    <w:rsid w:val="00D654F8"/>
    <w:rsid w:val="00D66F61"/>
    <w:rsid w:val="00D81728"/>
    <w:rsid w:val="00D819B2"/>
    <w:rsid w:val="00D81AF1"/>
    <w:rsid w:val="00D83505"/>
    <w:rsid w:val="00DA7AF1"/>
    <w:rsid w:val="00DB03D5"/>
    <w:rsid w:val="00DB19E4"/>
    <w:rsid w:val="00DC05DE"/>
    <w:rsid w:val="00DC13DD"/>
    <w:rsid w:val="00DC4835"/>
    <w:rsid w:val="00DD281C"/>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2630"/>
    <w:rsid w:val="00E85126"/>
    <w:rsid w:val="00E909F8"/>
    <w:rsid w:val="00E90EFF"/>
    <w:rsid w:val="00E9223C"/>
    <w:rsid w:val="00E93E0B"/>
    <w:rsid w:val="00E945E4"/>
    <w:rsid w:val="00EA16B7"/>
    <w:rsid w:val="00EA48F0"/>
    <w:rsid w:val="00EB0D11"/>
    <w:rsid w:val="00EB437C"/>
    <w:rsid w:val="00EF1635"/>
    <w:rsid w:val="00EF1FB2"/>
    <w:rsid w:val="00EF3940"/>
    <w:rsid w:val="00F01104"/>
    <w:rsid w:val="00F0703B"/>
    <w:rsid w:val="00F22093"/>
    <w:rsid w:val="00F24C50"/>
    <w:rsid w:val="00F26258"/>
    <w:rsid w:val="00F327DB"/>
    <w:rsid w:val="00F41A69"/>
    <w:rsid w:val="00F41ECE"/>
    <w:rsid w:val="00F463B9"/>
    <w:rsid w:val="00F47D1B"/>
    <w:rsid w:val="00F62A46"/>
    <w:rsid w:val="00F638DB"/>
    <w:rsid w:val="00F63938"/>
    <w:rsid w:val="00F67952"/>
    <w:rsid w:val="00F949D2"/>
    <w:rsid w:val="00F9742D"/>
    <w:rsid w:val="00FA6CDD"/>
    <w:rsid w:val="00FB295F"/>
    <w:rsid w:val="00FE0E57"/>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1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21" Type="http://schemas.openxmlformats.org/officeDocument/2006/relationships/hyperlink" Target="http://www.dso.ufl.edu/students.php" TargetMode="External"/><Relationship Id="rId34" Type="http://schemas.openxmlformats.org/officeDocument/2006/relationships/hyperlink" Target="https://gatorevals.aa.ufl.edu/students/"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fontTable" Target="fontTable.xml"/><Relationship Id="rId5" Type="http://schemas.openxmlformats.org/officeDocument/2006/relationships/hyperlink" Target="https://www.law.ufl.edu/life-at-uf-law/office-of-student-affairs/current-students/forms-applications/exam-delays-accommodations-form"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public-resul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file:///C:\Users\rmcilhenny\AppData\Local\Microsoft\Windows\INetCache\Content.Outlook\QH37XRU4\ufl.bluera.com\ufl\" TargetMode="External"/><Relationship Id="rId8" Type="http://schemas.openxmlformats.org/officeDocument/2006/relationships/hyperlink" Target="http://www.dso.ufl.edu/dr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2654</Words>
  <Characters>15133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2021-08-12T15:54:00Z</dcterms:created>
  <dcterms:modified xsi:type="dcterms:W3CDTF">2021-08-12T15:54:00Z</dcterms:modified>
</cp:coreProperties>
</file>