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F89B" w14:textId="77777777" w:rsidR="005B0D26" w:rsidRDefault="005B0D26">
      <w:bookmarkStart w:id="0" w:name="_GoBack"/>
      <w:bookmarkEnd w:id="0"/>
    </w:p>
    <w:p w14:paraId="728A368F" w14:textId="77777777" w:rsidR="00195D7B" w:rsidRPr="00423960" w:rsidRDefault="00195D7B" w:rsidP="00195D7B">
      <w:pPr>
        <w:jc w:val="center"/>
        <w:rPr>
          <w:rFonts w:eastAsia="Times New Roman" w:cs="Times New Roman"/>
          <w:b/>
          <w:sz w:val="28"/>
          <w:szCs w:val="28"/>
        </w:rPr>
      </w:pPr>
      <w:r w:rsidRPr="00423960">
        <w:rPr>
          <w:rFonts w:eastAsia="Times New Roman" w:cs="Times New Roman"/>
          <w:b/>
          <w:sz w:val="40"/>
          <w:szCs w:val="28"/>
        </w:rPr>
        <w:t>SYLLABUS</w:t>
      </w:r>
    </w:p>
    <w:p w14:paraId="3B5C0D80" w14:textId="16DB2A9F" w:rsidR="00195D7B" w:rsidRPr="00401A87" w:rsidRDefault="00195D7B" w:rsidP="00195D7B">
      <w:pPr>
        <w:jc w:val="center"/>
        <w:rPr>
          <w:rFonts w:eastAsia="Times New Roman" w:cs="Times New Roman"/>
          <w:b/>
          <w:sz w:val="28"/>
          <w:szCs w:val="28"/>
        </w:rPr>
      </w:pPr>
      <w:r>
        <w:rPr>
          <w:rFonts w:eastAsia="Times New Roman" w:cs="Times New Roman"/>
          <w:b/>
          <w:sz w:val="28"/>
          <w:szCs w:val="28"/>
        </w:rPr>
        <w:t>CORPORATE FINANCE (</w:t>
      </w:r>
      <w:r w:rsidR="00FF1C71">
        <w:rPr>
          <w:rFonts w:eastAsia="Times New Roman" w:cs="Times New Roman"/>
          <w:b/>
          <w:sz w:val="28"/>
          <w:szCs w:val="28"/>
        </w:rPr>
        <w:t>Spring 20</w:t>
      </w:r>
      <w:r w:rsidR="00711B94">
        <w:rPr>
          <w:rFonts w:eastAsia="Times New Roman" w:cs="Times New Roman"/>
          <w:b/>
          <w:sz w:val="28"/>
          <w:szCs w:val="28"/>
        </w:rPr>
        <w:t>21</w:t>
      </w:r>
      <w:r>
        <w:rPr>
          <w:rFonts w:eastAsia="Times New Roman" w:cs="Times New Roman"/>
          <w:b/>
          <w:sz w:val="28"/>
          <w:szCs w:val="28"/>
        </w:rPr>
        <w:t>)</w:t>
      </w:r>
    </w:p>
    <w:p w14:paraId="557EC396" w14:textId="77777777" w:rsidR="00195D7B" w:rsidRDefault="00195D7B" w:rsidP="00195D7B">
      <w:pPr>
        <w:ind w:right="-180"/>
        <w:jc w:val="both"/>
        <w:rPr>
          <w:rFonts w:ascii="Book Antiqua" w:eastAsia="Times New Roman" w:hAnsi="Book Antiqua" w:cs="Times New Roman"/>
          <w:sz w:val="26"/>
          <w:szCs w:val="26"/>
        </w:rPr>
      </w:pPr>
    </w:p>
    <w:p w14:paraId="7B223465"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A40FDE6" w14:textId="77777777" w:rsidR="00195D7B" w:rsidRDefault="00195D7B" w:rsidP="00195D7B">
      <w:pPr>
        <w:ind w:right="-180"/>
        <w:jc w:val="both"/>
        <w:rPr>
          <w:rFonts w:ascii="Book Antiqua" w:eastAsia="Times New Roman" w:hAnsi="Book Antiqua" w:cs="Times New Roman"/>
        </w:rPr>
      </w:pPr>
    </w:p>
    <w:p w14:paraId="5A596075" w14:textId="77777777" w:rsidR="00195D7B" w:rsidRPr="00423960" w:rsidRDefault="00195D7B" w:rsidP="002967FE">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r>
        <w:rPr>
          <w:rFonts w:ascii="Book Antiqua" w:eastAsia="Times New Roman" w:hAnsi="Book Antiqua" w:cs="Times New Roman"/>
        </w:rPr>
        <w:t xml:space="preserve">, </w:t>
      </w:r>
      <w:r w:rsidRPr="00423960">
        <w:rPr>
          <w:rFonts w:ascii="Book Antiqua" w:eastAsia="Times New Roman" w:hAnsi="Book Antiqua" w:cs="Times New Roman"/>
        </w:rPr>
        <w:t>352-273-</w:t>
      </w:r>
      <w:proofErr w:type="gramStart"/>
      <w:r w:rsidRPr="00423960">
        <w:rPr>
          <w:rFonts w:ascii="Book Antiqua" w:eastAsia="Times New Roman" w:hAnsi="Book Antiqua" w:cs="Times New Roman"/>
        </w:rPr>
        <w:t>0958</w:t>
      </w:r>
      <w:r w:rsidR="002967FE">
        <w:rPr>
          <w:rFonts w:ascii="Book Antiqua" w:eastAsia="Times New Roman" w:hAnsi="Book Antiqua" w:cs="Times New Roman"/>
        </w:rPr>
        <w:t xml:space="preserve">;  </w:t>
      </w:r>
      <w:r w:rsidRPr="00423960">
        <w:rPr>
          <w:rFonts w:ascii="Book Antiqua" w:eastAsia="Times New Roman" w:hAnsi="Book Antiqua" w:cs="Times New Roman"/>
        </w:rPr>
        <w:t>rhee@law.ufl.edu</w:t>
      </w:r>
      <w:proofErr w:type="gramEnd"/>
    </w:p>
    <w:p w14:paraId="31D644AB" w14:textId="77777777" w:rsidR="00195D7B" w:rsidRDefault="00195D7B" w:rsidP="00195D7B">
      <w:pPr>
        <w:ind w:right="-180"/>
        <w:jc w:val="both"/>
        <w:rPr>
          <w:rFonts w:ascii="Book Antiqua" w:eastAsia="Times New Roman" w:hAnsi="Book Antiqua" w:cs="Times New Roman"/>
        </w:rPr>
      </w:pPr>
    </w:p>
    <w:p w14:paraId="041517A3"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D066BE">
        <w:rPr>
          <w:rFonts w:ascii="Book Antiqua" w:eastAsia="Times New Roman" w:hAnsi="Book Antiqua" w:cs="Times New Roman"/>
        </w:rPr>
        <w:t>MCAC 209</w:t>
      </w:r>
    </w:p>
    <w:p w14:paraId="38386E94" w14:textId="77777777" w:rsidR="00195D7B" w:rsidRDefault="00195D7B" w:rsidP="00195D7B">
      <w:pPr>
        <w:ind w:right="-187"/>
        <w:jc w:val="both"/>
        <w:rPr>
          <w:rFonts w:ascii="Book Antiqua" w:eastAsia="Times New Roman" w:hAnsi="Book Antiqua" w:cs="Times New Roman"/>
        </w:rPr>
      </w:pPr>
    </w:p>
    <w:p w14:paraId="4420DA7F" w14:textId="301D0053"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t xml:space="preserve">Thursday &amp; Friday:  </w:t>
      </w:r>
      <w:r>
        <w:rPr>
          <w:rFonts w:ascii="Book Antiqua" w:eastAsia="Times New Roman" w:hAnsi="Book Antiqua" w:cs="Times New Roman"/>
        </w:rPr>
        <w:tab/>
        <w:t xml:space="preserve">1:00pm to 2:25pm </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14:paraId="3B6B1E9E" w14:textId="77777777" w:rsidR="00711B94" w:rsidRPr="00423960"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p>
    <w:p w14:paraId="17825D21" w14:textId="77777777"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t xml:space="preserve">Thursday &amp; Friday:  </w:t>
      </w:r>
      <w:r>
        <w:rPr>
          <w:rFonts w:ascii="Book Antiqua" w:eastAsia="Times New Roman" w:hAnsi="Book Antiqua" w:cs="Times New Roman"/>
        </w:rPr>
        <w:tab/>
        <w:t>12:00pm to 1:00 pm</w:t>
      </w:r>
    </w:p>
    <w:p w14:paraId="7F3B8AA2" w14:textId="77777777" w:rsidR="00711B94" w:rsidRPr="00423960"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t xml:space="preserve">Zoom or telephone call only </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14:paraId="2A426C47" w14:textId="77777777" w:rsidR="00711B94" w:rsidRPr="00423960" w:rsidRDefault="00711B94" w:rsidP="00711B94">
      <w:pPr>
        <w:ind w:right="-187"/>
        <w:jc w:val="both"/>
        <w:rPr>
          <w:rFonts w:ascii="Book Antiqua" w:eastAsia="Times New Roman" w:hAnsi="Book Antiqua" w:cs="Times New Roman"/>
        </w:rPr>
      </w:pPr>
    </w:p>
    <w:p w14:paraId="5140AA59" w14:textId="77777777" w:rsidR="00711B94" w:rsidRPr="00A664FE" w:rsidRDefault="00711B94" w:rsidP="00711B94">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t xml:space="preserve">TBD  </w:t>
      </w:r>
    </w:p>
    <w:p w14:paraId="399C9180" w14:textId="77777777" w:rsidR="0039279E" w:rsidRPr="00423960" w:rsidRDefault="0039279E" w:rsidP="00195D7B">
      <w:pPr>
        <w:jc w:val="both"/>
        <w:rPr>
          <w:rFonts w:ascii="Book Antiqua" w:eastAsia="Times New Roman" w:hAnsi="Book Antiqua" w:cs="Times New Roman"/>
        </w:rPr>
      </w:pPr>
    </w:p>
    <w:p w14:paraId="4686BC62"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14:paraId="39F5D01F" w14:textId="77777777" w:rsidR="00195D7B" w:rsidRPr="00423960" w:rsidRDefault="00195D7B" w:rsidP="00195D7B">
      <w:pPr>
        <w:jc w:val="both"/>
        <w:rPr>
          <w:rFonts w:ascii="Book Antiqua" w:eastAsia="Times New Roman" w:hAnsi="Book Antiqua" w:cs="Times New Roman"/>
          <w:b/>
        </w:rPr>
      </w:pPr>
    </w:p>
    <w:p w14:paraId="263E0AE8" w14:textId="77777777" w:rsidR="00195D7B" w:rsidRPr="00F41A69" w:rsidRDefault="00AD33CD" w:rsidP="00195D7B">
      <w:pPr>
        <w:jc w:val="both"/>
      </w:pPr>
      <w:r>
        <w:t xml:space="preserve">Robert J. Rhee, Corporate Finance (Wolters Kluwer 2016) </w:t>
      </w:r>
    </w:p>
    <w:p w14:paraId="57727787" w14:textId="77777777" w:rsidR="003042DC" w:rsidRDefault="003042DC" w:rsidP="003042DC">
      <w:pPr>
        <w:jc w:val="both"/>
        <w:rPr>
          <w:rFonts w:ascii="Book Antiqua" w:eastAsia="Times New Roman" w:hAnsi="Book Antiqua" w:cs="Times New Roman"/>
        </w:rPr>
      </w:pPr>
    </w:p>
    <w:p w14:paraId="5D6058F2" w14:textId="77777777" w:rsidR="003042DC" w:rsidRDefault="003042DC" w:rsidP="003042DC">
      <w:pPr>
        <w:jc w:val="both"/>
        <w:rPr>
          <w:rFonts w:ascii="Book Antiqua" w:eastAsia="Times New Roman" w:hAnsi="Book Antiqua" w:cs="Times New Roman"/>
          <w:b/>
        </w:rPr>
      </w:pPr>
      <w:r>
        <w:rPr>
          <w:rFonts w:ascii="Book Antiqua" w:eastAsia="Times New Roman" w:hAnsi="Book Antiqua" w:cs="Times New Roman"/>
          <w:b/>
        </w:rPr>
        <w:t>COURSE DESCRIPTION</w:t>
      </w:r>
    </w:p>
    <w:p w14:paraId="3478885D" w14:textId="77777777" w:rsidR="003042DC" w:rsidRDefault="003042DC" w:rsidP="003042DC">
      <w:pPr>
        <w:jc w:val="both"/>
        <w:rPr>
          <w:rFonts w:ascii="Georgia" w:eastAsia="Times New Roman" w:hAnsi="Georgia" w:cs="Times New Roman"/>
          <w:color w:val="333132"/>
          <w:sz w:val="27"/>
          <w:szCs w:val="27"/>
        </w:rPr>
      </w:pPr>
    </w:p>
    <w:p w14:paraId="64532C16" w14:textId="11B892B9" w:rsidR="003042DC" w:rsidRDefault="003042DC" w:rsidP="003042DC">
      <w:pPr>
        <w:jc w:val="both"/>
      </w:pPr>
      <w:r>
        <w:t xml:space="preserve">Corporate Finance </w:t>
      </w:r>
      <w:r w:rsidRPr="006B5B38">
        <w:t>(LAW 60</w:t>
      </w:r>
      <w:r>
        <w:t>64</w:t>
      </w:r>
      <w:r w:rsidRPr="006B5B38">
        <w:t>)</w:t>
      </w:r>
      <w:r>
        <w:t xml:space="preserve">: </w:t>
      </w:r>
      <w:r w:rsidRPr="003042DC">
        <w:t>This course examines the legal and financial economic aspects of corporate finance. Course coverage includes foundational finance theories, and legal aspects of capital structure (including analysis of debt securities, equities, structured finance, and derivatives). Combined with Corporations, this course is intended to provide students with a rigorous background in the legal and financial aspects of corporate business</w:t>
      </w:r>
      <w:r>
        <w:t xml:space="preserve">. </w:t>
      </w:r>
    </w:p>
    <w:p w14:paraId="3535315C" w14:textId="77777777" w:rsidR="00195D7B" w:rsidRDefault="00195D7B" w:rsidP="00195D7B">
      <w:pPr>
        <w:jc w:val="both"/>
        <w:rPr>
          <w:rFonts w:ascii="Book Antiqua" w:eastAsia="Times New Roman" w:hAnsi="Book Antiqua" w:cs="Times New Roman"/>
        </w:rPr>
      </w:pPr>
    </w:p>
    <w:p w14:paraId="54B37069"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02EC4BC2" w14:textId="77777777" w:rsidR="00DF53FF" w:rsidRPr="00423960" w:rsidRDefault="00DF53FF" w:rsidP="00DF53FF">
      <w:pPr>
        <w:jc w:val="both"/>
        <w:rPr>
          <w:rFonts w:ascii="Book Antiqua" w:eastAsia="Times New Roman" w:hAnsi="Book Antiqua" w:cs="Times New Roman"/>
        </w:rPr>
      </w:pPr>
    </w:p>
    <w:p w14:paraId="3E22FC43" w14:textId="77777777" w:rsidR="00DF53FF" w:rsidRDefault="00DF53FF" w:rsidP="00195D7B">
      <w:pPr>
        <w:jc w:val="both"/>
        <w:rPr>
          <w:rFonts w:ascii="Book Antiqua" w:eastAsia="Times New Roman" w:hAnsi="Book Antiqua" w:cs="Times New Roman"/>
        </w:rPr>
      </w:pPr>
      <w:r>
        <w:rPr>
          <w:rFonts w:ascii="Book Antiqua" w:eastAsia="Times New Roman" w:hAnsi="Book Antiqua" w:cs="Times New Roman"/>
        </w:rPr>
        <w:t xml:space="preserve">Corporate financing transactions are some of the common corporate transactions in the practice of business and corporate law. Whenever a corporate seeks financing, the laws of corporate finance are always involved. This course teaches the basic legal structures of corporate securities. </w:t>
      </w:r>
    </w:p>
    <w:p w14:paraId="5F346551" w14:textId="77777777" w:rsidR="00626746" w:rsidRDefault="00626746" w:rsidP="00626746">
      <w:pPr>
        <w:jc w:val="both"/>
      </w:pPr>
    </w:p>
    <w:p w14:paraId="781FB023" w14:textId="77777777" w:rsidR="00626746" w:rsidRDefault="00626746" w:rsidP="00626746">
      <w:pPr>
        <w:jc w:val="both"/>
      </w:pPr>
      <w:r w:rsidRPr="0068569A">
        <w:t>After completing this course, students should be able to:</w:t>
      </w:r>
    </w:p>
    <w:p w14:paraId="72B51524" w14:textId="77777777" w:rsidR="00626746" w:rsidRDefault="00626746" w:rsidP="00626746">
      <w:pPr>
        <w:pStyle w:val="ListParagraph"/>
        <w:numPr>
          <w:ilvl w:val="0"/>
          <w:numId w:val="36"/>
        </w:numPr>
        <w:jc w:val="both"/>
      </w:pPr>
      <w:r>
        <w:t xml:space="preserve">Know and analyze the legal </w:t>
      </w:r>
      <w:r w:rsidR="004300A5">
        <w:t>rights related to various financial instruments</w:t>
      </w:r>
      <w:r>
        <w:t xml:space="preserve"> and the laws applicable to </w:t>
      </w:r>
      <w:r w:rsidR="004300A5">
        <w:t>corporate finance</w:t>
      </w:r>
      <w:r w:rsidR="004B24C1">
        <w:t xml:space="preserve"> in general.</w:t>
      </w:r>
    </w:p>
    <w:p w14:paraId="27F8EB9C" w14:textId="77777777" w:rsidR="00626746" w:rsidRDefault="00626746" w:rsidP="00626746">
      <w:pPr>
        <w:pStyle w:val="ListParagraph"/>
        <w:numPr>
          <w:ilvl w:val="0"/>
          <w:numId w:val="36"/>
        </w:numPr>
        <w:jc w:val="both"/>
      </w:pPr>
      <w:r>
        <w:lastRenderedPageBreak/>
        <w:t xml:space="preserve">Consider issues related to advising the board and officers of matters arising under </w:t>
      </w:r>
      <w:r w:rsidR="004300A5">
        <w:t>corporate financing</w:t>
      </w:r>
      <w:r>
        <w:t>, including issues related to their fiduciary duties</w:t>
      </w:r>
      <w:r w:rsidR="004300A5">
        <w:t xml:space="preserve"> and financial contracting</w:t>
      </w:r>
      <w:r w:rsidR="004B24C1">
        <w:t>.</w:t>
      </w:r>
    </w:p>
    <w:p w14:paraId="137377F2" w14:textId="77777777" w:rsidR="00626746" w:rsidRDefault="00626746" w:rsidP="00626746">
      <w:pPr>
        <w:pStyle w:val="ListParagraph"/>
        <w:numPr>
          <w:ilvl w:val="0"/>
          <w:numId w:val="36"/>
        </w:numPr>
        <w:jc w:val="both"/>
      </w:pPr>
      <w:r>
        <w:t xml:space="preserve">Know basic aspects of </w:t>
      </w:r>
      <w:r w:rsidR="004B24C1">
        <w:t>financing</w:t>
      </w:r>
      <w:r>
        <w:t xml:space="preserve"> transactions, such as </w:t>
      </w:r>
      <w:r w:rsidR="004B24C1">
        <w:t>capital markets and capital structure</w:t>
      </w:r>
      <w:r>
        <w:t xml:space="preserve">. </w:t>
      </w:r>
    </w:p>
    <w:p w14:paraId="4FCD4233" w14:textId="77777777" w:rsidR="00626746" w:rsidRDefault="00626746" w:rsidP="00626746">
      <w:pPr>
        <w:pStyle w:val="ListParagraph"/>
        <w:numPr>
          <w:ilvl w:val="0"/>
          <w:numId w:val="36"/>
        </w:numPr>
        <w:jc w:val="both"/>
      </w:pPr>
      <w:r>
        <w:t xml:space="preserve">Know and apply basic business concepts in accounting, finance, and economics specifically relevant and related to the understanding of corporations and </w:t>
      </w:r>
      <w:r w:rsidR="004B24C1">
        <w:t>corporate finance</w:t>
      </w:r>
      <w:r>
        <w:t xml:space="preserve">. </w:t>
      </w:r>
    </w:p>
    <w:p w14:paraId="10717CB7" w14:textId="77777777" w:rsidR="00626746" w:rsidRDefault="00626746" w:rsidP="00626746">
      <w:pPr>
        <w:pStyle w:val="ListParagraph"/>
        <w:numPr>
          <w:ilvl w:val="0"/>
          <w:numId w:val="36"/>
        </w:numPr>
        <w:jc w:val="both"/>
      </w:pPr>
      <w:r>
        <w:t xml:space="preserve">Read and analyze essential corporate documents such as </w:t>
      </w:r>
      <w:r w:rsidR="004B24C1">
        <w:t>Form 10-Ks, certificate of incorporation, and bond indentures</w:t>
      </w:r>
      <w:r>
        <w:t xml:space="preserve">. </w:t>
      </w:r>
    </w:p>
    <w:p w14:paraId="6CCA3851" w14:textId="77777777" w:rsidR="00AB3EBA" w:rsidRPr="00800466" w:rsidRDefault="00AB3EBA" w:rsidP="00626746">
      <w:pPr>
        <w:pStyle w:val="ListParagraph"/>
        <w:numPr>
          <w:ilvl w:val="0"/>
          <w:numId w:val="36"/>
        </w:numPr>
        <w:jc w:val="both"/>
      </w:pPr>
      <w:r>
        <w:t xml:space="preserve">Work with financing documents and structures in corporate finance transactions. </w:t>
      </w:r>
    </w:p>
    <w:p w14:paraId="24DF7257" w14:textId="77777777" w:rsidR="00626746" w:rsidRPr="00DF53FF" w:rsidRDefault="00626746" w:rsidP="00195D7B">
      <w:pPr>
        <w:jc w:val="both"/>
      </w:pPr>
    </w:p>
    <w:p w14:paraId="2B323146" w14:textId="77777777" w:rsidR="00195D7B" w:rsidRPr="00423960" w:rsidRDefault="00195D7B" w:rsidP="00195D7B">
      <w:pPr>
        <w:rPr>
          <w:rFonts w:ascii="Book Antiqua" w:eastAsia="Times New Roman" w:hAnsi="Book Antiqua" w:cs="Times New Roman"/>
          <w:b/>
        </w:rPr>
      </w:pPr>
      <w:r w:rsidRPr="00423960">
        <w:rPr>
          <w:rFonts w:ascii="Book Antiqua" w:eastAsia="Times New Roman" w:hAnsi="Book Antiqua" w:cs="Times New Roman"/>
          <w:b/>
        </w:rPr>
        <w:t>GRADING</w:t>
      </w:r>
    </w:p>
    <w:p w14:paraId="3F9910B6" w14:textId="77777777" w:rsidR="00195D7B" w:rsidRPr="00423960" w:rsidRDefault="00195D7B" w:rsidP="00195D7B">
      <w:pPr>
        <w:jc w:val="both"/>
        <w:rPr>
          <w:rFonts w:ascii="Book Antiqua" w:eastAsia="Times New Roman" w:hAnsi="Book Antiqua" w:cs="Times New Roman"/>
        </w:rPr>
      </w:pPr>
    </w:p>
    <w:p w14:paraId="6E22FE7D" w14:textId="77777777" w:rsidR="001E7403" w:rsidRDefault="00DF53FF" w:rsidP="00AD33CD">
      <w:pPr>
        <w:jc w:val="both"/>
        <w:rPr>
          <w:rFonts w:ascii="Book Antiqua" w:eastAsia="Times New Roman" w:hAnsi="Book Antiqua" w:cs="Times New Roman"/>
        </w:rPr>
      </w:pPr>
      <w:r>
        <w:rPr>
          <w:rFonts w:ascii="Book Antiqua" w:eastAsia="Times New Roman" w:hAnsi="Book Antiqua" w:cs="Times New Roman"/>
        </w:rPr>
        <w:t xml:space="preserve">Grading will be consistent with College of Law policy. </w:t>
      </w:r>
      <w:r w:rsidR="00AD33CD" w:rsidRPr="00423960">
        <w:rPr>
          <w:rFonts w:ascii="Book Antiqua" w:eastAsia="Times New Roman" w:hAnsi="Book Antiqua" w:cs="Times New Roman"/>
        </w:rPr>
        <w:t xml:space="preserve">Your grade will be based on </w:t>
      </w:r>
      <w:r w:rsidR="00AD33CD">
        <w:rPr>
          <w:rFonts w:ascii="Book Antiqua" w:eastAsia="Times New Roman" w:hAnsi="Book Antiqua" w:cs="Times New Roman"/>
        </w:rPr>
        <w:t>a final exam (100% of the final grade)</w:t>
      </w:r>
      <w:r w:rsidR="00AD33CD"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4F8A0296" w14:textId="77777777" w:rsidR="00B62B65" w:rsidRPr="00B62B65" w:rsidRDefault="00B62B65" w:rsidP="00B62B65">
      <w:pPr>
        <w:rPr>
          <w:rFonts w:ascii="Book Antiqua" w:eastAsia="Times New Roman" w:hAnsi="Book Antiqua" w:cs="Times New Roman"/>
          <w:b/>
        </w:rPr>
      </w:pPr>
    </w:p>
    <w:p w14:paraId="7C921406"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0B171ABA" w14:textId="77777777" w:rsidR="00195D7B" w:rsidRDefault="00195D7B" w:rsidP="00195D7B">
      <w:pPr>
        <w:jc w:val="both"/>
        <w:rPr>
          <w:rFonts w:ascii="Book Antiqua" w:eastAsia="Times New Roman" w:hAnsi="Book Antiqua" w:cs="Times New Roman"/>
        </w:rPr>
      </w:pPr>
    </w:p>
    <w:p w14:paraId="403905C8" w14:textId="77777777" w:rsidR="00711B94" w:rsidRDefault="00711B94" w:rsidP="00711B94">
      <w:pPr>
        <w:jc w:val="both"/>
        <w:rPr>
          <w:rFonts w:ascii="Book Antiqua" w:eastAsia="Times New Roman" w:hAnsi="Book Antiqua" w:cs="Times New Roman"/>
        </w:rPr>
      </w:pPr>
      <w:r>
        <w:rPr>
          <w:rFonts w:ascii="Book Antiqua" w:eastAsia="Times New Roman" w:hAnsi="Book Antiqua" w:cs="Times New Roman"/>
        </w:rPr>
        <w:t xml:space="preserve">The final exam will be </w:t>
      </w:r>
      <w:r w:rsidRPr="00C94963">
        <w:rPr>
          <w:rFonts w:ascii="Book Antiqua" w:eastAsia="Times New Roman" w:hAnsi="Book Antiqua" w:cs="Times New Roman"/>
          <w:b/>
        </w:rPr>
        <w:t>open casebook</w:t>
      </w:r>
      <w:r>
        <w:rPr>
          <w:rFonts w:ascii="Book Antiqua" w:eastAsia="Times New Roman" w:hAnsi="Book Antiqua" w:cs="Times New Roman"/>
        </w:rPr>
        <w:t xml:space="preserve">. There are no restrictions on what you can write into the book. You will also be permitted to bring </w:t>
      </w:r>
      <w:r w:rsidRPr="005302A1">
        <w:rPr>
          <w:rFonts w:ascii="Book Antiqua" w:eastAsia="Times New Roman" w:hAnsi="Book Antiqua" w:cs="Times New Roman"/>
          <w:b/>
          <w:u w:val="single"/>
        </w:rPr>
        <w:t>any personal notes or outlines</w:t>
      </w:r>
      <w:r w:rsidRPr="005302A1">
        <w:rPr>
          <w:rFonts w:ascii="Book Antiqua" w:eastAsia="Times New Roman" w:hAnsi="Book Antiqua" w:cs="Times New Roman"/>
          <w:u w:val="single"/>
        </w:rPr>
        <w:t>,</w:t>
      </w:r>
      <w:r>
        <w:rPr>
          <w:rFonts w:ascii="Book Antiqua" w:eastAsia="Times New Roman" w:hAnsi="Book Antiqua" w:cs="Times New Roman"/>
        </w:rPr>
        <w:t xml:space="preserve"> </w:t>
      </w:r>
      <w:r w:rsidRPr="005302A1">
        <w:rPr>
          <w:rFonts w:ascii="Book Antiqua" w:eastAsia="Times New Roman" w:hAnsi="Book Antiqua" w:cs="Times New Roman"/>
          <w:b/>
          <w:u w:val="single"/>
        </w:rPr>
        <w:t>written by you</w:t>
      </w:r>
      <w:r>
        <w:rPr>
          <w:rFonts w:ascii="Book Antiqua" w:eastAsia="Times New Roman" w:hAnsi="Book Antiqua" w:cs="Times New Roman"/>
          <w:b/>
          <w:u w:val="single"/>
        </w:rPr>
        <w:t xml:space="preserve"> as </w:t>
      </w:r>
      <w:proofErr w:type="spellStart"/>
      <w:r>
        <w:rPr>
          <w:rFonts w:ascii="Book Antiqua" w:eastAsia="Times New Roman" w:hAnsi="Book Antiqua" w:cs="Times New Roman"/>
          <w:b/>
          <w:u w:val="single"/>
        </w:rPr>
        <w:t>your</w:t>
      </w:r>
      <w:proofErr w:type="spellEnd"/>
      <w:r>
        <w:rPr>
          <w:rFonts w:ascii="Book Antiqua" w:eastAsia="Times New Roman" w:hAnsi="Book Antiqua" w:cs="Times New Roman"/>
          <w:b/>
          <w:u w:val="single"/>
        </w:rPr>
        <w:t xml:space="preserve"> or your study group’s </w:t>
      </w:r>
      <w:proofErr w:type="spellStart"/>
      <w:r>
        <w:rPr>
          <w:rFonts w:ascii="Book Antiqua" w:eastAsia="Times New Roman" w:hAnsi="Book Antiqua" w:cs="Times New Roman"/>
          <w:b/>
          <w:u w:val="single"/>
        </w:rPr>
        <w:t>workproduct</w:t>
      </w:r>
      <w:proofErr w:type="spellEnd"/>
      <w:r>
        <w:rPr>
          <w:rFonts w:ascii="Book Antiqua" w:eastAsia="Times New Roman" w:hAnsi="Book Antiqua" w:cs="Times New Roman"/>
        </w:rPr>
        <w:t xml:space="preserve"> (i.e., no commercial outlines or any other published materials other than your textbook). There is no limitation on page count. Your notes and outline may include the statutory provisions that you believe will be necessary for the exam. The assembly of statutory materials, which is at your discretion, is recommended since this course is statute based. </w:t>
      </w:r>
    </w:p>
    <w:p w14:paraId="26F67A6A" w14:textId="77777777" w:rsidR="00195D7B" w:rsidRDefault="00195D7B" w:rsidP="00195D7B">
      <w:pPr>
        <w:jc w:val="both"/>
        <w:rPr>
          <w:rFonts w:ascii="Book Antiqua" w:eastAsia="Times New Roman" w:hAnsi="Book Antiqua" w:cs="Times New Roman"/>
        </w:rPr>
      </w:pPr>
    </w:p>
    <w:p w14:paraId="0902D5C2" w14:textId="77777777" w:rsidR="00711B94" w:rsidRDefault="00711B94" w:rsidP="00711B94">
      <w:pPr>
        <w:jc w:val="both"/>
        <w:rPr>
          <w:rFonts w:ascii="Book Antiqua" w:eastAsia="Times New Roman" w:hAnsi="Book Antiqua" w:cs="Times New Roman"/>
        </w:rPr>
      </w:pPr>
      <w:r>
        <w:rPr>
          <w:rFonts w:ascii="Book Antiqua" w:eastAsia="Times New Roman" w:hAnsi="Book Antiqua" w:cs="Times New Roman"/>
        </w:rPr>
        <w:t xml:space="preserve">The final exam may have essay, short answer, and </w:t>
      </w:r>
      <w:proofErr w:type="gramStart"/>
      <w:r>
        <w:rPr>
          <w:rFonts w:ascii="Book Antiqua" w:eastAsia="Times New Roman" w:hAnsi="Book Antiqua" w:cs="Times New Roman"/>
        </w:rPr>
        <w:t>multiple 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There are no prior exams.   </w:t>
      </w:r>
    </w:p>
    <w:p w14:paraId="655AA1B2" w14:textId="2B4275D0" w:rsidR="0048487B" w:rsidRDefault="0048487B" w:rsidP="00EB437C">
      <w:pPr>
        <w:rPr>
          <w:rFonts w:ascii="Book Antiqua" w:hAnsi="Book Antiqua"/>
        </w:rPr>
      </w:pPr>
    </w:p>
    <w:p w14:paraId="2FAE832E" w14:textId="513F4CEC" w:rsidR="003042DC" w:rsidRPr="003042DC" w:rsidRDefault="003042DC" w:rsidP="003042DC">
      <w:pPr>
        <w:jc w:val="both"/>
        <w:rPr>
          <w:rFonts w:ascii="Book Antiqua" w:eastAsia="Times New Roman" w:hAnsi="Book Antiqua" w:cs="Times New Roman"/>
        </w:rPr>
      </w:pPr>
      <w:r w:rsidRPr="00922676">
        <w:rPr>
          <w:rFonts w:ascii="Book Antiqua" w:eastAsia="Times New Roman" w:hAnsi="Book Antiqua" w:cs="Times New Roman"/>
          <w:i/>
          <w:iCs/>
        </w:rPr>
        <w:t>Makeup Exam Policy</w:t>
      </w:r>
      <w:r>
        <w:rPr>
          <w:rFonts w:ascii="Book Antiqua" w:eastAsia="Times New Roman" w:hAnsi="Book Antiqua" w:cs="Times New Roman"/>
        </w:rPr>
        <w:t xml:space="preserve">:  </w:t>
      </w:r>
      <w:r w:rsidRPr="00AC2C9A">
        <w:rPr>
          <w:rFonts w:ascii="Times New Roman" w:hAnsi="Times New Roman" w:cs="Times New Roman"/>
        </w:rPr>
        <w:t xml:space="preserve">The law school policy on exam delays and accommodations can be found </w:t>
      </w:r>
      <w:r>
        <w:t xml:space="preserve">at: </w:t>
      </w:r>
      <w:hyperlink r:id="rId5" w:history="1">
        <w:r w:rsidRPr="007A785F">
          <w:rPr>
            <w:rStyle w:val="Hyperlink"/>
          </w:rPr>
          <w:t>https://www.law.ufl.edu/life-at-uf-law/office-of-student-affairs/current-students/forms-applications/exam-delays-accommodations-form</w:t>
        </w:r>
      </w:hyperlink>
      <w:r>
        <w:t xml:space="preserve">. </w:t>
      </w:r>
    </w:p>
    <w:p w14:paraId="631B5572" w14:textId="77777777" w:rsidR="003042DC" w:rsidRDefault="003042DC" w:rsidP="00EB437C">
      <w:pPr>
        <w:rPr>
          <w:rFonts w:ascii="Book Antiqua" w:hAnsi="Book Antiqua"/>
        </w:rPr>
      </w:pPr>
    </w:p>
    <w:p w14:paraId="60FA2837" w14:textId="77777777" w:rsidR="00626746" w:rsidRPr="00D01FEB" w:rsidRDefault="00626746" w:rsidP="00626746">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14:paraId="77E5BE2A" w14:textId="77777777" w:rsidR="00626746" w:rsidRPr="00D01FEB" w:rsidRDefault="00626746" w:rsidP="00626746"/>
    <w:p w14:paraId="548AADA1" w14:textId="77777777" w:rsidR="00711B94" w:rsidRDefault="00711B94" w:rsidP="00711B94">
      <w:pPr>
        <w:jc w:val="both"/>
      </w:pPr>
      <w:r w:rsidRPr="00D01FEB">
        <w:lastRenderedPageBreak/>
        <w:t>The Levin College of Law’s mean and mandatory distributions are posted on the College’s website and this class adheres to that posted grading policy. The following chart describes the specific letter grade/grade point equivalent in place:</w:t>
      </w:r>
    </w:p>
    <w:p w14:paraId="6733E41C" w14:textId="77777777" w:rsidR="00711B94" w:rsidRDefault="00711B94" w:rsidP="00711B94">
      <w:pPr>
        <w:jc w:val="both"/>
      </w:pPr>
    </w:p>
    <w:tbl>
      <w:tblPr>
        <w:tblStyle w:val="TableGrid"/>
        <w:tblW w:w="8406" w:type="dxa"/>
        <w:tblInd w:w="198" w:type="dxa"/>
        <w:tblLook w:val="04A0" w:firstRow="1" w:lastRow="0" w:firstColumn="1" w:lastColumn="0" w:noHBand="0" w:noVBand="1"/>
      </w:tblPr>
      <w:tblGrid>
        <w:gridCol w:w="2070"/>
        <w:gridCol w:w="2106"/>
        <w:gridCol w:w="2142"/>
        <w:gridCol w:w="2088"/>
      </w:tblGrid>
      <w:tr w:rsidR="00711B94" w14:paraId="481AD4D0" w14:textId="77777777" w:rsidTr="00292BB6">
        <w:tc>
          <w:tcPr>
            <w:tcW w:w="2070" w:type="dxa"/>
          </w:tcPr>
          <w:p w14:paraId="4CC2F238" w14:textId="77777777" w:rsidR="00711B94" w:rsidRPr="005302A1" w:rsidRDefault="00711B94" w:rsidP="00292BB6">
            <w:pPr>
              <w:jc w:val="center"/>
              <w:rPr>
                <w:b/>
                <w:bCs/>
              </w:rPr>
            </w:pPr>
            <w:r w:rsidRPr="005302A1">
              <w:rPr>
                <w:b/>
                <w:bCs/>
              </w:rPr>
              <w:t>Letter Grade</w:t>
            </w:r>
          </w:p>
        </w:tc>
        <w:tc>
          <w:tcPr>
            <w:tcW w:w="2106" w:type="dxa"/>
          </w:tcPr>
          <w:p w14:paraId="6DD32555" w14:textId="77777777" w:rsidR="00711B94" w:rsidRPr="005302A1" w:rsidRDefault="00711B94" w:rsidP="00292BB6">
            <w:pPr>
              <w:jc w:val="center"/>
              <w:rPr>
                <w:b/>
                <w:bCs/>
              </w:rPr>
            </w:pPr>
            <w:r w:rsidRPr="005302A1">
              <w:rPr>
                <w:b/>
                <w:bCs/>
              </w:rPr>
              <w:t>Point Equivalent</w:t>
            </w:r>
          </w:p>
        </w:tc>
        <w:tc>
          <w:tcPr>
            <w:tcW w:w="2142" w:type="dxa"/>
          </w:tcPr>
          <w:p w14:paraId="584C29A9" w14:textId="77777777" w:rsidR="00711B94" w:rsidRPr="005302A1" w:rsidRDefault="00711B94" w:rsidP="00292BB6">
            <w:pPr>
              <w:jc w:val="center"/>
              <w:rPr>
                <w:b/>
                <w:bCs/>
              </w:rPr>
            </w:pPr>
            <w:r w:rsidRPr="005302A1">
              <w:rPr>
                <w:b/>
                <w:bCs/>
              </w:rPr>
              <w:t>Letter Grade</w:t>
            </w:r>
          </w:p>
        </w:tc>
        <w:tc>
          <w:tcPr>
            <w:tcW w:w="2088" w:type="dxa"/>
          </w:tcPr>
          <w:p w14:paraId="7CE714ED" w14:textId="77777777" w:rsidR="00711B94" w:rsidRPr="005302A1" w:rsidRDefault="00711B94" w:rsidP="00292BB6">
            <w:pPr>
              <w:jc w:val="center"/>
              <w:rPr>
                <w:b/>
                <w:bCs/>
              </w:rPr>
            </w:pPr>
            <w:r w:rsidRPr="005302A1">
              <w:rPr>
                <w:b/>
                <w:bCs/>
              </w:rPr>
              <w:t>Point Equivalent</w:t>
            </w:r>
          </w:p>
        </w:tc>
      </w:tr>
      <w:tr w:rsidR="00711B94" w14:paraId="428D4467" w14:textId="77777777" w:rsidTr="00292BB6">
        <w:tc>
          <w:tcPr>
            <w:tcW w:w="2070" w:type="dxa"/>
          </w:tcPr>
          <w:p w14:paraId="48630E32" w14:textId="77777777" w:rsidR="00711B94" w:rsidRDefault="00711B94" w:rsidP="00292BB6">
            <w:pPr>
              <w:jc w:val="center"/>
            </w:pPr>
            <w:r w:rsidRPr="00D01FEB">
              <w:t>A (Excellent)</w:t>
            </w:r>
          </w:p>
        </w:tc>
        <w:tc>
          <w:tcPr>
            <w:tcW w:w="2106" w:type="dxa"/>
          </w:tcPr>
          <w:p w14:paraId="1B247DD1" w14:textId="77777777" w:rsidR="00711B94" w:rsidRDefault="00711B94" w:rsidP="00292BB6">
            <w:pPr>
              <w:jc w:val="center"/>
            </w:pPr>
            <w:r w:rsidRPr="00D01FEB">
              <w:t>4.0</w:t>
            </w:r>
            <w:r>
              <w:t>0</w:t>
            </w:r>
          </w:p>
        </w:tc>
        <w:tc>
          <w:tcPr>
            <w:tcW w:w="2142" w:type="dxa"/>
          </w:tcPr>
          <w:p w14:paraId="61FB72BF" w14:textId="77777777" w:rsidR="00711B94" w:rsidRDefault="00711B94" w:rsidP="00292BB6">
            <w:pPr>
              <w:jc w:val="center"/>
            </w:pPr>
            <w:r w:rsidRPr="00D01FEB">
              <w:t>C (Satisfactory)</w:t>
            </w:r>
          </w:p>
        </w:tc>
        <w:tc>
          <w:tcPr>
            <w:tcW w:w="2088" w:type="dxa"/>
          </w:tcPr>
          <w:p w14:paraId="066DEF98" w14:textId="77777777" w:rsidR="00711B94" w:rsidRDefault="00711B94" w:rsidP="00292BB6">
            <w:pPr>
              <w:jc w:val="center"/>
            </w:pPr>
            <w:r w:rsidRPr="00D01FEB">
              <w:t>2.0</w:t>
            </w:r>
            <w:r>
              <w:t>0</w:t>
            </w:r>
          </w:p>
        </w:tc>
      </w:tr>
      <w:tr w:rsidR="00711B94" w14:paraId="2EAF3265" w14:textId="77777777" w:rsidTr="00292BB6">
        <w:tc>
          <w:tcPr>
            <w:tcW w:w="2070" w:type="dxa"/>
          </w:tcPr>
          <w:p w14:paraId="4086075F" w14:textId="77777777" w:rsidR="00711B94" w:rsidRDefault="00711B94" w:rsidP="00292BB6">
            <w:pPr>
              <w:jc w:val="center"/>
            </w:pPr>
            <w:r w:rsidRPr="00D01FEB">
              <w:t>A-</w:t>
            </w:r>
          </w:p>
        </w:tc>
        <w:tc>
          <w:tcPr>
            <w:tcW w:w="2106" w:type="dxa"/>
          </w:tcPr>
          <w:p w14:paraId="70D5AD30" w14:textId="77777777" w:rsidR="00711B94" w:rsidRDefault="00711B94" w:rsidP="00292BB6">
            <w:pPr>
              <w:jc w:val="center"/>
            </w:pPr>
            <w:r w:rsidRPr="00D01FEB">
              <w:t>3.67</w:t>
            </w:r>
          </w:p>
        </w:tc>
        <w:tc>
          <w:tcPr>
            <w:tcW w:w="2142" w:type="dxa"/>
          </w:tcPr>
          <w:p w14:paraId="5061F6EF" w14:textId="77777777" w:rsidR="00711B94" w:rsidRDefault="00711B94" w:rsidP="00292BB6">
            <w:pPr>
              <w:jc w:val="center"/>
            </w:pPr>
            <w:r w:rsidRPr="00D01FEB">
              <w:t>C-</w:t>
            </w:r>
          </w:p>
        </w:tc>
        <w:tc>
          <w:tcPr>
            <w:tcW w:w="2088" w:type="dxa"/>
          </w:tcPr>
          <w:p w14:paraId="594B0943" w14:textId="77777777" w:rsidR="00711B94" w:rsidRDefault="00711B94" w:rsidP="00292BB6">
            <w:pPr>
              <w:jc w:val="center"/>
            </w:pPr>
            <w:r w:rsidRPr="00D01FEB">
              <w:t>1.67</w:t>
            </w:r>
          </w:p>
        </w:tc>
      </w:tr>
      <w:tr w:rsidR="00711B94" w14:paraId="2C290216" w14:textId="77777777" w:rsidTr="00292BB6">
        <w:tc>
          <w:tcPr>
            <w:tcW w:w="2070" w:type="dxa"/>
          </w:tcPr>
          <w:p w14:paraId="122D2B7B" w14:textId="77777777" w:rsidR="00711B94" w:rsidRDefault="00711B94" w:rsidP="00292BB6">
            <w:pPr>
              <w:jc w:val="center"/>
            </w:pPr>
            <w:r w:rsidRPr="00D01FEB">
              <w:t>B+</w:t>
            </w:r>
          </w:p>
        </w:tc>
        <w:tc>
          <w:tcPr>
            <w:tcW w:w="2106" w:type="dxa"/>
          </w:tcPr>
          <w:p w14:paraId="69E9B88A" w14:textId="77777777" w:rsidR="00711B94" w:rsidRDefault="00711B94" w:rsidP="00292BB6">
            <w:pPr>
              <w:jc w:val="center"/>
            </w:pPr>
            <w:r w:rsidRPr="00D01FEB">
              <w:t>3.33</w:t>
            </w:r>
          </w:p>
        </w:tc>
        <w:tc>
          <w:tcPr>
            <w:tcW w:w="2142" w:type="dxa"/>
          </w:tcPr>
          <w:p w14:paraId="46598270" w14:textId="77777777" w:rsidR="00711B94" w:rsidRDefault="00711B94" w:rsidP="00292BB6">
            <w:pPr>
              <w:jc w:val="center"/>
            </w:pPr>
            <w:r w:rsidRPr="00D01FEB">
              <w:t>D+</w:t>
            </w:r>
          </w:p>
        </w:tc>
        <w:tc>
          <w:tcPr>
            <w:tcW w:w="2088" w:type="dxa"/>
          </w:tcPr>
          <w:p w14:paraId="72EDE9A3" w14:textId="77777777" w:rsidR="00711B94" w:rsidRDefault="00711B94" w:rsidP="00292BB6">
            <w:pPr>
              <w:jc w:val="center"/>
            </w:pPr>
            <w:r w:rsidRPr="00D01FEB">
              <w:t>1.33</w:t>
            </w:r>
          </w:p>
        </w:tc>
      </w:tr>
      <w:tr w:rsidR="00711B94" w14:paraId="782E73D3" w14:textId="77777777" w:rsidTr="00292BB6">
        <w:tc>
          <w:tcPr>
            <w:tcW w:w="2070" w:type="dxa"/>
          </w:tcPr>
          <w:p w14:paraId="3C41C0D0" w14:textId="77777777" w:rsidR="00711B94" w:rsidRDefault="00711B94" w:rsidP="00292BB6">
            <w:pPr>
              <w:jc w:val="center"/>
            </w:pPr>
            <w:r w:rsidRPr="00D01FEB">
              <w:t>B</w:t>
            </w:r>
          </w:p>
        </w:tc>
        <w:tc>
          <w:tcPr>
            <w:tcW w:w="2106" w:type="dxa"/>
          </w:tcPr>
          <w:p w14:paraId="418EB598" w14:textId="77777777" w:rsidR="00711B94" w:rsidRDefault="00711B94" w:rsidP="00292BB6">
            <w:pPr>
              <w:jc w:val="center"/>
            </w:pPr>
            <w:r w:rsidRPr="00D01FEB">
              <w:t>3.0</w:t>
            </w:r>
            <w:r>
              <w:t>0</w:t>
            </w:r>
          </w:p>
        </w:tc>
        <w:tc>
          <w:tcPr>
            <w:tcW w:w="2142" w:type="dxa"/>
          </w:tcPr>
          <w:p w14:paraId="1AD94D61" w14:textId="77777777" w:rsidR="00711B94" w:rsidRDefault="00711B94" w:rsidP="00292BB6">
            <w:pPr>
              <w:jc w:val="center"/>
            </w:pPr>
            <w:r w:rsidRPr="00D01FEB">
              <w:t>D (Poor)</w:t>
            </w:r>
          </w:p>
        </w:tc>
        <w:tc>
          <w:tcPr>
            <w:tcW w:w="2088" w:type="dxa"/>
          </w:tcPr>
          <w:p w14:paraId="1D7A4ED1" w14:textId="77777777" w:rsidR="00711B94" w:rsidRDefault="00711B94" w:rsidP="00292BB6">
            <w:pPr>
              <w:jc w:val="center"/>
            </w:pPr>
            <w:r w:rsidRPr="00D01FEB">
              <w:t>1.0</w:t>
            </w:r>
            <w:r>
              <w:t>0</w:t>
            </w:r>
          </w:p>
        </w:tc>
      </w:tr>
      <w:tr w:rsidR="00711B94" w14:paraId="24A16ADD" w14:textId="77777777" w:rsidTr="00292BB6">
        <w:tc>
          <w:tcPr>
            <w:tcW w:w="2070" w:type="dxa"/>
          </w:tcPr>
          <w:p w14:paraId="291E65EE" w14:textId="77777777" w:rsidR="00711B94" w:rsidRDefault="00711B94" w:rsidP="00292BB6">
            <w:pPr>
              <w:jc w:val="center"/>
            </w:pPr>
            <w:r w:rsidRPr="00D01FEB">
              <w:t>B-</w:t>
            </w:r>
          </w:p>
        </w:tc>
        <w:tc>
          <w:tcPr>
            <w:tcW w:w="2106" w:type="dxa"/>
          </w:tcPr>
          <w:p w14:paraId="0E39341B" w14:textId="77777777" w:rsidR="00711B94" w:rsidRDefault="00711B94" w:rsidP="00292BB6">
            <w:pPr>
              <w:jc w:val="center"/>
            </w:pPr>
            <w:r w:rsidRPr="00D01FEB">
              <w:t>2.67</w:t>
            </w:r>
          </w:p>
        </w:tc>
        <w:tc>
          <w:tcPr>
            <w:tcW w:w="2142" w:type="dxa"/>
          </w:tcPr>
          <w:p w14:paraId="43909EB7" w14:textId="77777777" w:rsidR="00711B94" w:rsidRDefault="00711B94" w:rsidP="00292BB6">
            <w:pPr>
              <w:jc w:val="center"/>
            </w:pPr>
            <w:r w:rsidRPr="00D01FEB">
              <w:t>D-</w:t>
            </w:r>
          </w:p>
        </w:tc>
        <w:tc>
          <w:tcPr>
            <w:tcW w:w="2088" w:type="dxa"/>
          </w:tcPr>
          <w:p w14:paraId="1E25A115" w14:textId="77777777" w:rsidR="00711B94" w:rsidRDefault="00711B94" w:rsidP="00292BB6">
            <w:pPr>
              <w:jc w:val="center"/>
            </w:pPr>
            <w:r w:rsidRPr="00D01FEB">
              <w:t>0.67</w:t>
            </w:r>
          </w:p>
        </w:tc>
      </w:tr>
      <w:tr w:rsidR="00711B94" w14:paraId="79F4E515" w14:textId="77777777" w:rsidTr="00292BB6">
        <w:tc>
          <w:tcPr>
            <w:tcW w:w="2070" w:type="dxa"/>
          </w:tcPr>
          <w:p w14:paraId="5F8D57A8" w14:textId="77777777" w:rsidR="00711B94" w:rsidRDefault="00711B94" w:rsidP="00292BB6">
            <w:pPr>
              <w:jc w:val="center"/>
            </w:pPr>
            <w:r w:rsidRPr="00D01FEB">
              <w:t>C+</w:t>
            </w:r>
          </w:p>
        </w:tc>
        <w:tc>
          <w:tcPr>
            <w:tcW w:w="2106" w:type="dxa"/>
          </w:tcPr>
          <w:p w14:paraId="4C68AAC9" w14:textId="77777777" w:rsidR="00711B94" w:rsidRDefault="00711B94" w:rsidP="00292BB6">
            <w:pPr>
              <w:jc w:val="center"/>
            </w:pPr>
            <w:r w:rsidRPr="00D01FEB">
              <w:t>2.33</w:t>
            </w:r>
          </w:p>
        </w:tc>
        <w:tc>
          <w:tcPr>
            <w:tcW w:w="2142" w:type="dxa"/>
          </w:tcPr>
          <w:p w14:paraId="666CCA4B" w14:textId="77777777" w:rsidR="00711B94" w:rsidRDefault="00711B94" w:rsidP="00292BB6">
            <w:pPr>
              <w:jc w:val="center"/>
            </w:pPr>
            <w:r w:rsidRPr="00D01FEB">
              <w:t>E (Failure)</w:t>
            </w:r>
          </w:p>
        </w:tc>
        <w:tc>
          <w:tcPr>
            <w:tcW w:w="2088" w:type="dxa"/>
          </w:tcPr>
          <w:p w14:paraId="769980F3" w14:textId="77777777" w:rsidR="00711B94" w:rsidRDefault="00711B94" w:rsidP="00292BB6">
            <w:pPr>
              <w:jc w:val="center"/>
            </w:pPr>
            <w:r w:rsidRPr="00D01FEB">
              <w:t>0.0</w:t>
            </w:r>
            <w:r>
              <w:t>0</w:t>
            </w:r>
          </w:p>
        </w:tc>
      </w:tr>
    </w:tbl>
    <w:p w14:paraId="43054BBE" w14:textId="77777777" w:rsidR="00711B94" w:rsidRDefault="00711B94" w:rsidP="00711B94">
      <w:pPr>
        <w:jc w:val="both"/>
      </w:pPr>
    </w:p>
    <w:p w14:paraId="3D378E44" w14:textId="77777777" w:rsidR="00711B94" w:rsidRPr="00D01FEB" w:rsidRDefault="00711B94" w:rsidP="00711B94">
      <w:pPr>
        <w:jc w:val="both"/>
      </w:pPr>
      <w:r w:rsidRPr="00D01FEB">
        <w:t xml:space="preserve">The law school grading policy is available at: </w:t>
      </w:r>
      <w:hyperlink r:id="rId6" w:anchor="9" w:history="1">
        <w:r w:rsidRPr="00D01FEB">
          <w:rPr>
            <w:rStyle w:val="Hyperlink"/>
          </w:rPr>
          <w:t>http://www.law.ufl.edu/student-affairs/current-students/academic-policies#9</w:t>
        </w:r>
      </w:hyperlink>
      <w:r w:rsidRPr="00D01FEB">
        <w:t>.</w:t>
      </w:r>
    </w:p>
    <w:p w14:paraId="30BA674D" w14:textId="77777777" w:rsidR="00626746" w:rsidRDefault="00626746" w:rsidP="00626746">
      <w:pPr>
        <w:jc w:val="both"/>
        <w:rPr>
          <w:rFonts w:ascii="Book Antiqua" w:eastAsia="Times New Roman" w:hAnsi="Book Antiqua" w:cs="Times New Roman"/>
        </w:rPr>
      </w:pPr>
    </w:p>
    <w:p w14:paraId="7A19CDC2"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14:paraId="4AF7950B" w14:textId="77777777" w:rsidR="00626746" w:rsidRDefault="00626746" w:rsidP="00626746">
      <w:pPr>
        <w:jc w:val="both"/>
        <w:rPr>
          <w:rFonts w:ascii="Book Antiqua" w:eastAsia="Times New Roman" w:hAnsi="Book Antiqua" w:cs="Times New Roman"/>
        </w:rPr>
      </w:pPr>
    </w:p>
    <w:p w14:paraId="171DB3B8" w14:textId="77777777" w:rsidR="00626746" w:rsidRDefault="00626746" w:rsidP="00626746">
      <w:pPr>
        <w:jc w:val="both"/>
      </w:pPr>
      <w:r w:rsidRPr="00800466">
        <w:t>It is anticipated that you will spend approximately 2 hours out of class reading and/or preparing for in class assignments for every 1 hour in class.</w:t>
      </w:r>
    </w:p>
    <w:p w14:paraId="698462D2" w14:textId="77777777" w:rsidR="00626746" w:rsidRPr="00800466" w:rsidRDefault="00626746" w:rsidP="00626746">
      <w:pPr>
        <w:jc w:val="both"/>
      </w:pPr>
    </w:p>
    <w:p w14:paraId="16D00F59" w14:textId="77777777" w:rsidR="00626746" w:rsidRPr="006B2D85" w:rsidRDefault="00626746" w:rsidP="00626746">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14:paraId="46E982E0" w14:textId="77777777" w:rsidR="00626746" w:rsidRPr="006B2D85" w:rsidRDefault="00626746" w:rsidP="00626746">
      <w:pPr>
        <w:jc w:val="both"/>
        <w:rPr>
          <w:rFonts w:ascii="Book Antiqua" w:eastAsia="Times New Roman" w:hAnsi="Book Antiqua" w:cs="Times New Roman"/>
        </w:rPr>
      </w:pPr>
    </w:p>
    <w:p w14:paraId="1A59ED6A" w14:textId="77777777" w:rsidR="00711B94" w:rsidRDefault="00711B94" w:rsidP="00711B94">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7"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14:paraId="06F5BF19" w14:textId="77777777" w:rsidR="00711B94" w:rsidRDefault="00711B94" w:rsidP="00711B94">
      <w:pPr>
        <w:jc w:val="both"/>
        <w:rPr>
          <w:rFonts w:cs="Times New Roman"/>
        </w:rPr>
      </w:pPr>
    </w:p>
    <w:p w14:paraId="1CB0CF6B" w14:textId="77777777" w:rsidR="00711B94" w:rsidRPr="0068569A" w:rsidRDefault="00711B94" w:rsidP="00711B94">
      <w:pPr>
        <w:jc w:val="both"/>
        <w:rPr>
          <w:rFonts w:ascii="Book Antiqua" w:eastAsia="Times New Roman" w:hAnsi="Book Antiqua" w:cs="Times New Roman"/>
        </w:rPr>
      </w:pPr>
      <w:r>
        <w:rPr>
          <w:rFonts w:ascii="Book Antiqua" w:eastAsia="Times New Roman" w:hAnsi="Book Antiqua" w:cs="Times New Roman"/>
        </w:rPr>
        <w:t xml:space="preserve">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786EA1A8" w14:textId="77777777" w:rsidR="00626746" w:rsidRDefault="00626746" w:rsidP="00626746">
      <w:pPr>
        <w:jc w:val="both"/>
        <w:rPr>
          <w:rFonts w:ascii="Book Antiqua" w:eastAsia="Times New Roman" w:hAnsi="Book Antiqua" w:cs="Times New Roman"/>
        </w:rPr>
      </w:pPr>
    </w:p>
    <w:p w14:paraId="473C8FEF" w14:textId="77777777" w:rsidR="00626746" w:rsidRPr="008A5251" w:rsidRDefault="00626746" w:rsidP="00626746">
      <w:pPr>
        <w:jc w:val="both"/>
        <w:rPr>
          <w:rFonts w:ascii="Book Antiqua" w:eastAsia="Times New Roman" w:hAnsi="Book Antiqua" w:cs="Times New Roman"/>
          <w:b/>
        </w:rPr>
      </w:pPr>
      <w:r>
        <w:rPr>
          <w:rFonts w:ascii="Book Antiqua" w:eastAsia="Times New Roman" w:hAnsi="Book Antiqua" w:cs="Times New Roman"/>
          <w:b/>
        </w:rPr>
        <w:t>ACCOMMODATIONS</w:t>
      </w:r>
    </w:p>
    <w:p w14:paraId="796A9EDC" w14:textId="77777777" w:rsidR="00626746" w:rsidRDefault="00626746" w:rsidP="00626746">
      <w:pPr>
        <w:jc w:val="both"/>
        <w:rPr>
          <w:rFonts w:ascii="Book Antiqua" w:eastAsia="Times New Roman" w:hAnsi="Book Antiqua" w:cs="Times New Roman"/>
        </w:rPr>
      </w:pPr>
    </w:p>
    <w:p w14:paraId="0A5D525D" w14:textId="77777777" w:rsidR="00626746" w:rsidRDefault="00626746" w:rsidP="00626746">
      <w:pPr>
        <w:jc w:val="both"/>
      </w:pPr>
      <w:r w:rsidRPr="00D01FEB">
        <w:t>Students requesting accommodation for disabilities must first register with the Disability Resource Center  (</w:t>
      </w:r>
      <w:hyperlink r:id="rId8" w:history="1">
        <w:r w:rsidRPr="00D01FEB">
          <w:rPr>
            <w:rStyle w:val="Hyperlink"/>
          </w:rPr>
          <w:t>http</w:t>
        </w:r>
      </w:hyperlink>
      <w:hyperlink r:id="rId9" w:history="1">
        <w:r w:rsidRPr="00D01FEB">
          <w:rPr>
            <w:rStyle w:val="Hyperlink"/>
          </w:rPr>
          <w:t>://</w:t>
        </w:r>
      </w:hyperlink>
      <w:hyperlink r:id="rId10" w:history="1">
        <w:r w:rsidRPr="00D01FEB">
          <w:rPr>
            <w:rStyle w:val="Hyperlink"/>
          </w:rPr>
          <w:t>www</w:t>
        </w:r>
      </w:hyperlink>
      <w:hyperlink r:id="rId11" w:history="1">
        <w:r w:rsidRPr="00D01FEB">
          <w:rPr>
            <w:rStyle w:val="Hyperlink"/>
          </w:rPr>
          <w:t>.</w:t>
        </w:r>
      </w:hyperlink>
      <w:hyperlink r:id="rId12" w:history="1">
        <w:r w:rsidRPr="00D01FEB">
          <w:rPr>
            <w:rStyle w:val="Hyperlink"/>
          </w:rPr>
          <w:t>ds</w:t>
        </w:r>
      </w:hyperlink>
      <w:hyperlink r:id="rId13" w:history="1">
        <w:r w:rsidRPr="00D01FEB">
          <w:rPr>
            <w:rStyle w:val="Hyperlink"/>
          </w:rPr>
          <w:t>o</w:t>
        </w:r>
      </w:hyperlink>
      <w:hyperlink r:id="rId14" w:history="1">
        <w:r w:rsidRPr="00D01FEB">
          <w:rPr>
            <w:rStyle w:val="Hyperlink"/>
          </w:rPr>
          <w:t>.</w:t>
        </w:r>
      </w:hyperlink>
      <w:hyperlink r:id="rId15" w:history="1">
        <w:r w:rsidRPr="00D01FEB">
          <w:rPr>
            <w:rStyle w:val="Hyperlink"/>
          </w:rPr>
          <w:t>ufl</w:t>
        </w:r>
      </w:hyperlink>
      <w:hyperlink r:id="rId16" w:history="1">
        <w:r w:rsidRPr="00D01FEB">
          <w:rPr>
            <w:rStyle w:val="Hyperlink"/>
          </w:rPr>
          <w:t>.</w:t>
        </w:r>
      </w:hyperlink>
      <w:hyperlink r:id="rId17" w:history="1">
        <w:r w:rsidRPr="00D01FEB">
          <w:rPr>
            <w:rStyle w:val="Hyperlink"/>
          </w:rPr>
          <w:t>edu</w:t>
        </w:r>
      </w:hyperlink>
      <w:hyperlink r:id="rId18" w:history="1">
        <w:r w:rsidRPr="00D01FEB">
          <w:rPr>
            <w:rStyle w:val="Hyperlink"/>
          </w:rPr>
          <w:t>/</w:t>
        </w:r>
      </w:hyperlink>
      <w:hyperlink r:id="rId19" w:history="1">
        <w:r w:rsidRPr="00D01FEB">
          <w:rPr>
            <w:rStyle w:val="Hyperlink"/>
          </w:rPr>
          <w:t>drc</w:t>
        </w:r>
      </w:hyperlink>
      <w:hyperlink r:id="rId20"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92D77C0" w14:textId="77777777" w:rsidR="00626746" w:rsidRDefault="00626746" w:rsidP="00626746">
      <w:pPr>
        <w:jc w:val="both"/>
      </w:pPr>
    </w:p>
    <w:p w14:paraId="2057E2E9" w14:textId="77777777" w:rsidR="00626746" w:rsidRDefault="00626746" w:rsidP="00626746">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w:t>
      </w:r>
      <w:r w:rsidRPr="00E1609C">
        <w:rPr>
          <w:rFonts w:cs="Times New Roman"/>
        </w:rPr>
        <w:lastRenderedPageBreak/>
        <w:t xml:space="preserve">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14:paraId="66A8B62C" w14:textId="77777777" w:rsidR="00626746" w:rsidRDefault="00626746" w:rsidP="00626746">
      <w:pPr>
        <w:jc w:val="both"/>
      </w:pPr>
    </w:p>
    <w:p w14:paraId="7161924B" w14:textId="77777777" w:rsidR="00626746" w:rsidRPr="00D01FEB" w:rsidRDefault="00626746" w:rsidP="0062674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47363F0E" w14:textId="77777777" w:rsidR="00626746" w:rsidRDefault="00626746" w:rsidP="00626746">
      <w:pPr>
        <w:jc w:val="both"/>
        <w:rPr>
          <w:rFonts w:ascii="Book Antiqua" w:eastAsia="Times New Roman" w:hAnsi="Book Antiqua" w:cs="Times New Roman"/>
        </w:rPr>
      </w:pPr>
    </w:p>
    <w:p w14:paraId="071DE703" w14:textId="77777777" w:rsidR="00626746" w:rsidRDefault="00626746" w:rsidP="00626746">
      <w:pPr>
        <w:jc w:val="both"/>
      </w:pPr>
      <w:r w:rsidRPr="00D01FEB">
        <w:t xml:space="preserve">Academic honesty and integrity are fundamental values of the University community. Students should be sure that they understand the UF Student Honor Code at </w:t>
      </w:r>
      <w:hyperlink r:id="rId21" w:history="1">
        <w:r w:rsidRPr="00D01FEB">
          <w:rPr>
            <w:rStyle w:val="Hyperlink"/>
          </w:rPr>
          <w:t>http</w:t>
        </w:r>
      </w:hyperlink>
      <w:hyperlink r:id="rId22" w:history="1">
        <w:r w:rsidRPr="00D01FEB">
          <w:rPr>
            <w:rStyle w:val="Hyperlink"/>
          </w:rPr>
          <w:t>://</w:t>
        </w:r>
      </w:hyperlink>
      <w:hyperlink r:id="rId23" w:history="1">
        <w:r w:rsidRPr="00D01FEB">
          <w:rPr>
            <w:rStyle w:val="Hyperlink"/>
          </w:rPr>
          <w:t>www</w:t>
        </w:r>
      </w:hyperlink>
      <w:hyperlink r:id="rId24" w:history="1">
        <w:r w:rsidRPr="00D01FEB">
          <w:rPr>
            <w:rStyle w:val="Hyperlink"/>
          </w:rPr>
          <w:t>.</w:t>
        </w:r>
      </w:hyperlink>
      <w:hyperlink r:id="rId25" w:history="1">
        <w:r w:rsidRPr="00D01FEB">
          <w:rPr>
            <w:rStyle w:val="Hyperlink"/>
          </w:rPr>
          <w:t>dso</w:t>
        </w:r>
      </w:hyperlink>
      <w:hyperlink r:id="rId26" w:history="1">
        <w:r w:rsidRPr="00D01FEB">
          <w:rPr>
            <w:rStyle w:val="Hyperlink"/>
          </w:rPr>
          <w:t>.</w:t>
        </w:r>
      </w:hyperlink>
      <w:hyperlink r:id="rId27" w:history="1">
        <w:r w:rsidRPr="00D01FEB">
          <w:rPr>
            <w:rStyle w:val="Hyperlink"/>
          </w:rPr>
          <w:t>ufl</w:t>
        </w:r>
      </w:hyperlink>
      <w:hyperlink r:id="rId28" w:history="1">
        <w:r w:rsidRPr="00D01FEB">
          <w:rPr>
            <w:rStyle w:val="Hyperlink"/>
          </w:rPr>
          <w:t>.</w:t>
        </w:r>
      </w:hyperlink>
      <w:hyperlink r:id="rId29" w:history="1">
        <w:r w:rsidRPr="00D01FEB">
          <w:rPr>
            <w:rStyle w:val="Hyperlink"/>
          </w:rPr>
          <w:t>edu</w:t>
        </w:r>
      </w:hyperlink>
      <w:hyperlink r:id="rId30" w:history="1">
        <w:r w:rsidRPr="00D01FEB">
          <w:rPr>
            <w:rStyle w:val="Hyperlink"/>
          </w:rPr>
          <w:t>/</w:t>
        </w:r>
      </w:hyperlink>
      <w:hyperlink r:id="rId31" w:history="1">
        <w:r w:rsidRPr="00D01FEB">
          <w:rPr>
            <w:rStyle w:val="Hyperlink"/>
          </w:rPr>
          <w:t>students</w:t>
        </w:r>
      </w:hyperlink>
      <w:hyperlink r:id="rId32" w:history="1">
        <w:r w:rsidRPr="00D01FEB">
          <w:rPr>
            <w:rStyle w:val="Hyperlink"/>
          </w:rPr>
          <w:t>.</w:t>
        </w:r>
      </w:hyperlink>
      <w:hyperlink r:id="rId33" w:history="1">
        <w:r w:rsidRPr="00D01FEB">
          <w:rPr>
            <w:rStyle w:val="Hyperlink"/>
          </w:rPr>
          <w:t>php</w:t>
        </w:r>
      </w:hyperlink>
      <w:r w:rsidRPr="00D01FEB">
        <w:t xml:space="preserve">. </w:t>
      </w:r>
    </w:p>
    <w:p w14:paraId="21341949" w14:textId="09E71542" w:rsidR="00F41ECE" w:rsidRDefault="00F41ECE" w:rsidP="00626746">
      <w:pPr>
        <w:jc w:val="both"/>
      </w:pPr>
    </w:p>
    <w:p w14:paraId="4D935F44" w14:textId="77777777" w:rsidR="003042DC" w:rsidRPr="00922676" w:rsidRDefault="003042DC" w:rsidP="003042DC">
      <w:pPr>
        <w:jc w:val="both"/>
        <w:rPr>
          <w:b/>
          <w:bCs/>
        </w:rPr>
      </w:pPr>
      <w:r w:rsidRPr="00922676">
        <w:rPr>
          <w:b/>
          <w:bCs/>
        </w:rPr>
        <w:t>ONLINE COURSE EVALUATIONS</w:t>
      </w:r>
    </w:p>
    <w:p w14:paraId="29BA87A0" w14:textId="77777777" w:rsidR="003042DC" w:rsidRDefault="003042DC" w:rsidP="003042DC">
      <w:pPr>
        <w:jc w:val="both"/>
        <w:rPr>
          <w:rFonts w:ascii="Times New Roman" w:hAnsi="Times New Roman" w:cs="Times New Roman"/>
        </w:rPr>
      </w:pPr>
      <w:r w:rsidRPr="00AC2C9A">
        <w:rPr>
          <w:rFonts w:ascii="Times New Roman" w:hAnsi="Times New Roman" w:cs="Times New Roman"/>
        </w:rPr>
        <w:t xml:space="preserve">Students are expected to provide professional and respectful feedback on the quality of instruction in this course by completing course evaluations online via </w:t>
      </w:r>
      <w:proofErr w:type="spellStart"/>
      <w:r w:rsidRPr="00AC2C9A">
        <w:rPr>
          <w:rFonts w:ascii="Times New Roman" w:hAnsi="Times New Roman" w:cs="Times New Roman"/>
        </w:rPr>
        <w:t>GatorEvals</w:t>
      </w:r>
      <w:proofErr w:type="spellEnd"/>
      <w:r w:rsidRPr="00AC2C9A">
        <w:rPr>
          <w:rFonts w:ascii="Times New Roman" w:hAnsi="Times New Roman" w:cs="Times New Roman"/>
        </w:rPr>
        <w:t xml:space="preserve">. </w:t>
      </w:r>
      <w:r>
        <w:rPr>
          <w:rFonts w:ascii="Times New Roman" w:hAnsi="Times New Roman" w:cs="Times New Roman"/>
        </w:rPr>
        <w:t>G</w:t>
      </w:r>
      <w:r w:rsidRPr="00AC2C9A">
        <w:rPr>
          <w:rFonts w:ascii="Times New Roman" w:hAnsi="Times New Roman" w:cs="Times New Roman"/>
        </w:rPr>
        <w:t>uidance on how to give feedback in a professional and respectful manner</w:t>
      </w:r>
      <w:r>
        <w:rPr>
          <w:rFonts w:ascii="Times New Roman" w:hAnsi="Times New Roman" w:cs="Times New Roman"/>
        </w:rPr>
        <w:t xml:space="preserve"> can be found here: </w:t>
      </w:r>
      <w:hyperlink r:id="rId34" w:history="1">
        <w:r w:rsidRPr="007A785F">
          <w:rPr>
            <w:rStyle w:val="Hyperlink"/>
            <w:rFonts w:ascii="Times New Roman" w:hAnsi="Times New Roman" w:cs="Times New Roman"/>
          </w:rPr>
          <w:t>https://gatorevals.aa.ufl.edu/students/</w:t>
        </w:r>
      </w:hyperlink>
      <w:r>
        <w:rPr>
          <w:rFonts w:ascii="Times New Roman" w:hAnsi="Times New Roman" w:cs="Times New Roman"/>
        </w:rPr>
        <w:t>.</w:t>
      </w:r>
      <w:r w:rsidRPr="00AC2C9A">
        <w:rPr>
          <w:rFonts w:ascii="Times New Roman" w:hAnsi="Times New Roman" w:cs="Times New Roman"/>
        </w:rPr>
        <w:t xml:space="preserve"> Students will be notified when the evaluation period opens, and can complete evaluations through the email they receive from </w:t>
      </w:r>
      <w:proofErr w:type="spellStart"/>
      <w:r w:rsidRPr="00AC2C9A">
        <w:rPr>
          <w:rFonts w:ascii="Times New Roman" w:hAnsi="Times New Roman" w:cs="Times New Roman"/>
        </w:rPr>
        <w:t>GatorEvals</w:t>
      </w:r>
      <w:proofErr w:type="spellEnd"/>
      <w:r w:rsidRPr="00AC2C9A">
        <w:rPr>
          <w:rFonts w:ascii="Times New Roman" w:hAnsi="Times New Roman" w:cs="Times New Roman"/>
        </w:rPr>
        <w:t xml:space="preserve">, in their Canvas course menu under </w:t>
      </w:r>
      <w:proofErr w:type="spellStart"/>
      <w:r w:rsidRPr="00AC2C9A">
        <w:rPr>
          <w:rFonts w:ascii="Times New Roman" w:hAnsi="Times New Roman" w:cs="Times New Roman"/>
        </w:rPr>
        <w:t>GatorEvals</w:t>
      </w:r>
      <w:proofErr w:type="spellEnd"/>
      <w:r w:rsidRPr="00AC2C9A">
        <w:rPr>
          <w:rFonts w:ascii="Times New Roman" w:hAnsi="Times New Roman" w:cs="Times New Roman"/>
        </w:rPr>
        <w:t xml:space="preserve">, or via </w:t>
      </w:r>
      <w:hyperlink r:id="rId35" w:history="1">
        <w:r w:rsidRPr="00AC2C9A">
          <w:rPr>
            <w:rStyle w:val="Hyperlink"/>
            <w:rFonts w:ascii="Times New Roman" w:hAnsi="Times New Roman" w:cs="Times New Roman"/>
          </w:rPr>
          <w:t>ufl.bluera.com/ufl/</w:t>
        </w:r>
      </w:hyperlink>
      <w:r w:rsidRPr="00AC2C9A">
        <w:rPr>
          <w:rFonts w:ascii="Times New Roman" w:hAnsi="Times New Roman" w:cs="Times New Roman"/>
        </w:rPr>
        <w:t>. Summaries of course evaluation results are available to students</w:t>
      </w:r>
      <w:r>
        <w:t xml:space="preserve"> can be found here: </w:t>
      </w:r>
      <w:hyperlink r:id="rId36" w:history="1">
        <w:r w:rsidRPr="007A785F">
          <w:rPr>
            <w:rStyle w:val="Hyperlink"/>
          </w:rPr>
          <w:t>https://gatorevals.aa.ufl.edu/public-results/</w:t>
        </w:r>
      </w:hyperlink>
      <w:r>
        <w:t xml:space="preserve">. </w:t>
      </w:r>
    </w:p>
    <w:p w14:paraId="73F1C962" w14:textId="77777777" w:rsidR="003042DC" w:rsidRDefault="003042DC" w:rsidP="003042DC">
      <w:pPr>
        <w:jc w:val="both"/>
      </w:pPr>
    </w:p>
    <w:p w14:paraId="1DC7A0A7" w14:textId="77777777" w:rsidR="003042DC" w:rsidRPr="0007750B" w:rsidRDefault="003042DC" w:rsidP="003042DC">
      <w:pPr>
        <w:jc w:val="both"/>
        <w:rPr>
          <w:b/>
          <w:bCs/>
        </w:rPr>
      </w:pPr>
      <w:r w:rsidRPr="0007750B">
        <w:rPr>
          <w:b/>
          <w:bCs/>
        </w:rPr>
        <w:t>COVID POLICY</w:t>
      </w:r>
    </w:p>
    <w:p w14:paraId="0E6AD773" w14:textId="77777777" w:rsidR="003042DC" w:rsidRDefault="003042DC" w:rsidP="003042DC">
      <w:pPr>
        <w:jc w:val="both"/>
      </w:pPr>
    </w:p>
    <w:p w14:paraId="33D813C5" w14:textId="77777777" w:rsidR="003042DC" w:rsidRPr="0007750B" w:rsidRDefault="003042DC" w:rsidP="003042DC">
      <w:pPr>
        <w:spacing w:after="160" w:line="259" w:lineRule="auto"/>
        <w:rPr>
          <w:rFonts w:ascii="Times New Roman" w:hAnsi="Times New Roman" w:cs="Times New Roman"/>
        </w:rPr>
      </w:pPr>
      <w:r w:rsidRPr="0007750B">
        <w:rPr>
          <w:rFonts w:ascii="Times New Roman" w:hAnsi="Times New Roman" w:cs="Times New Roman"/>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037B40DD" w14:textId="77777777" w:rsidR="003042DC" w:rsidRPr="00AC2C9A" w:rsidRDefault="003042DC" w:rsidP="003042DC">
      <w:pPr>
        <w:pStyle w:val="ListParagraph"/>
        <w:numPr>
          <w:ilvl w:val="0"/>
          <w:numId w:val="38"/>
        </w:numPr>
        <w:spacing w:after="160" w:line="259" w:lineRule="auto"/>
        <w:ind w:left="360"/>
        <w:rPr>
          <w:rFonts w:ascii="Times New Roman" w:hAnsi="Times New Roman" w:cs="Times New Roman"/>
        </w:rPr>
      </w:pPr>
      <w:r w:rsidRPr="00AC2C9A">
        <w:rPr>
          <w:rFonts w:ascii="Times New Roman" w:hAnsi="Times New Roman" w:cs="Times New Roman"/>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2A741F06" w14:textId="77777777" w:rsidR="003042DC" w:rsidRPr="00AC2C9A" w:rsidRDefault="003042DC" w:rsidP="003042DC">
      <w:pPr>
        <w:numPr>
          <w:ilvl w:val="0"/>
          <w:numId w:val="38"/>
        </w:numPr>
        <w:ind w:left="360"/>
        <w:rPr>
          <w:rFonts w:ascii="Times New Roman" w:hAnsi="Times New Roman" w:cs="Times New Roman"/>
        </w:rPr>
      </w:pPr>
      <w:r w:rsidRPr="00AC2C9A">
        <w:rPr>
          <w:rFonts w:ascii="Times New Roman" w:hAnsi="Times New Roman" w:cs="Times New Roman"/>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3D7009F" w14:textId="77777777" w:rsidR="003042DC" w:rsidRPr="00AC2C9A" w:rsidRDefault="003042DC" w:rsidP="003042DC">
      <w:pPr>
        <w:ind w:left="360"/>
        <w:rPr>
          <w:rFonts w:ascii="Times New Roman" w:hAnsi="Times New Roman" w:cs="Times New Roman"/>
        </w:rPr>
      </w:pPr>
    </w:p>
    <w:p w14:paraId="2A3FACA1" w14:textId="77777777" w:rsidR="003042DC" w:rsidRPr="00AC2C9A" w:rsidRDefault="003042DC" w:rsidP="003042DC">
      <w:pPr>
        <w:numPr>
          <w:ilvl w:val="0"/>
          <w:numId w:val="38"/>
        </w:numPr>
        <w:ind w:left="360"/>
        <w:rPr>
          <w:rFonts w:ascii="Times New Roman" w:hAnsi="Times New Roman" w:cs="Times New Roman"/>
        </w:rPr>
      </w:pPr>
      <w:r w:rsidRPr="00AC2C9A">
        <w:rPr>
          <w:rFonts w:ascii="Times New Roman" w:hAnsi="Times New Roman" w:cs="Times New Roman"/>
        </w:rPr>
        <w:t>Sanitizing supplies are available in the classroom if you wish to wipe down your desks prior to sitting down and at the end of the class.</w:t>
      </w:r>
    </w:p>
    <w:p w14:paraId="67CE604C" w14:textId="77777777" w:rsidR="003042DC" w:rsidRPr="00AC2C9A" w:rsidRDefault="003042DC" w:rsidP="003042DC">
      <w:pPr>
        <w:rPr>
          <w:rFonts w:ascii="Times New Roman" w:hAnsi="Times New Roman" w:cs="Times New Roman"/>
        </w:rPr>
      </w:pPr>
    </w:p>
    <w:p w14:paraId="73512C35" w14:textId="77777777" w:rsidR="003042DC" w:rsidRPr="00AC2C9A" w:rsidRDefault="003042DC" w:rsidP="003042DC">
      <w:pPr>
        <w:numPr>
          <w:ilvl w:val="0"/>
          <w:numId w:val="38"/>
        </w:numPr>
        <w:ind w:left="360"/>
        <w:rPr>
          <w:rFonts w:ascii="Times New Roman" w:hAnsi="Times New Roman" w:cs="Times New Roman"/>
        </w:rPr>
      </w:pPr>
      <w:r w:rsidRPr="00AC2C9A">
        <w:rPr>
          <w:rFonts w:ascii="Times New Roman" w:hAnsi="Times New Roman" w:cs="Times New Roman"/>
        </w:rPr>
        <w:t>Be mindful of how to properly enter and exit the classroom.  Practice physical distancing to the extent possible when entering and exiting the classroom.</w:t>
      </w:r>
    </w:p>
    <w:p w14:paraId="0C19DCFA" w14:textId="77777777" w:rsidR="003042DC" w:rsidRPr="00AC2C9A" w:rsidRDefault="003042DC" w:rsidP="003042DC">
      <w:pPr>
        <w:ind w:left="360"/>
        <w:rPr>
          <w:rFonts w:ascii="Times New Roman" w:hAnsi="Times New Roman" w:cs="Times New Roman"/>
        </w:rPr>
      </w:pPr>
    </w:p>
    <w:p w14:paraId="573F0FB4" w14:textId="77777777" w:rsidR="003042DC" w:rsidRPr="00AC2C9A" w:rsidRDefault="003042DC" w:rsidP="003042DC">
      <w:pPr>
        <w:numPr>
          <w:ilvl w:val="0"/>
          <w:numId w:val="38"/>
        </w:numPr>
        <w:ind w:left="360"/>
        <w:rPr>
          <w:rFonts w:ascii="Times New Roman" w:hAnsi="Times New Roman" w:cs="Times New Roman"/>
        </w:rPr>
      </w:pPr>
      <w:r w:rsidRPr="00AC2C9A">
        <w:rPr>
          <w:rFonts w:ascii="Times New Roman" w:hAnsi="Times New Roman" w:cs="Times New Roman"/>
        </w:rPr>
        <w:t>If you are experiencing COVID-19 symptoms (</w:t>
      </w:r>
      <w:hyperlink r:id="rId37" w:history="1">
        <w:r w:rsidRPr="00AC2C9A">
          <w:rPr>
            <w:rStyle w:val="Hyperlink"/>
            <w:rFonts w:ascii="Times New Roman" w:hAnsi="Times New Roman" w:cs="Times New Roman"/>
          </w:rPr>
          <w:t>https://www.cdc.gov/coronavirus/2019-ncov/symptoms-testing/symptoms.html</w:t>
        </w:r>
      </w:hyperlink>
      <w:r w:rsidRPr="00AC2C9A">
        <w:rPr>
          <w:rFonts w:ascii="Times New Roman" w:hAnsi="Times New Roman" w:cs="Times New Roman"/>
        </w:rPr>
        <w:t xml:space="preserve">), please do not come to campus or, if you are already </w:t>
      </w:r>
      <w:r w:rsidRPr="00AC2C9A">
        <w:rPr>
          <w:rFonts w:ascii="Times New Roman" w:hAnsi="Times New Roman" w:cs="Times New Roman"/>
        </w:rPr>
        <w:lastRenderedPageBreak/>
        <w:t xml:space="preserve">on campus, please immediately leave campus.  Please use the UF Health screening system and follow the instructions about when you are able to return to campus.  </w:t>
      </w:r>
      <w:hyperlink r:id="rId38" w:history="1">
        <w:r w:rsidRPr="00AC2C9A">
          <w:rPr>
            <w:rStyle w:val="Hyperlink"/>
            <w:rFonts w:ascii="Times New Roman" w:hAnsi="Times New Roman" w:cs="Times New Roman"/>
          </w:rPr>
          <w:t>https://coronavirus.ufhealth.org/screen-test-protect/covid-19-exposure-and-symptoms-who-do-i-call-if/</w:t>
        </w:r>
      </w:hyperlink>
      <w:r w:rsidRPr="00AC2C9A">
        <w:rPr>
          <w:rFonts w:ascii="Times New Roman" w:hAnsi="Times New Roman" w:cs="Times New Roman"/>
        </w:rPr>
        <w:t>.</w:t>
      </w:r>
    </w:p>
    <w:p w14:paraId="294A3EAA" w14:textId="77777777" w:rsidR="003042DC" w:rsidRPr="00AC2C9A" w:rsidRDefault="003042DC" w:rsidP="003042DC">
      <w:pPr>
        <w:ind w:left="360"/>
        <w:rPr>
          <w:rFonts w:ascii="Times New Roman" w:hAnsi="Times New Roman" w:cs="Times New Roman"/>
        </w:rPr>
      </w:pPr>
    </w:p>
    <w:p w14:paraId="2052C42B" w14:textId="77777777" w:rsidR="003042DC" w:rsidRPr="00AC2C9A" w:rsidRDefault="003042DC" w:rsidP="003042DC">
      <w:pPr>
        <w:numPr>
          <w:ilvl w:val="0"/>
          <w:numId w:val="38"/>
        </w:numPr>
        <w:ind w:left="360"/>
        <w:rPr>
          <w:rFonts w:ascii="Times New Roman" w:hAnsi="Times New Roman" w:cs="Times New Roman"/>
        </w:rPr>
      </w:pPr>
      <w:r w:rsidRPr="00AC2C9A">
        <w:rPr>
          <w:rFonts w:ascii="Times New Roman" w:hAnsi="Times New Roman" w:cs="Times New Roman"/>
        </w:rPr>
        <w:t>Course materials will be provided to you with an excused absence, and you will be given a reasonable amount of time to make up work.</w:t>
      </w:r>
      <w:hyperlink r:id="rId39" w:history="1">
        <w:r w:rsidRPr="00AC2C9A">
          <w:rPr>
            <w:rStyle w:val="Hyperlink"/>
            <w:rFonts w:ascii="Times New Roman" w:hAnsi="Times New Roman" w:cs="Times New Roman"/>
          </w:rPr>
          <w:t>https://catalog.ufl.edu/UGRD/academic-regulations/attendance-policies/</w:t>
        </w:r>
      </w:hyperlink>
      <w:r w:rsidRPr="00AC2C9A">
        <w:rPr>
          <w:rFonts w:ascii="Times New Roman" w:hAnsi="Times New Roman" w:cs="Times New Roman"/>
        </w:rPr>
        <w:t>.”</w:t>
      </w:r>
    </w:p>
    <w:p w14:paraId="223C793E" w14:textId="77777777" w:rsidR="003042DC" w:rsidRDefault="003042DC" w:rsidP="003042DC">
      <w:pPr>
        <w:jc w:val="both"/>
      </w:pPr>
    </w:p>
    <w:p w14:paraId="05040E47" w14:textId="77777777" w:rsidR="003042DC" w:rsidRPr="00D01FEB" w:rsidRDefault="003042DC" w:rsidP="003042DC">
      <w:pPr>
        <w:jc w:val="both"/>
        <w:rPr>
          <w:rFonts w:ascii="Book Antiqua" w:eastAsia="Times New Roman" w:hAnsi="Book Antiqua" w:cs="Times New Roman"/>
          <w:b/>
        </w:rPr>
      </w:pPr>
      <w:r>
        <w:rPr>
          <w:rFonts w:ascii="Book Antiqua" w:eastAsia="Times New Roman" w:hAnsi="Book Antiqua" w:cs="Times New Roman"/>
          <w:b/>
        </w:rPr>
        <w:t xml:space="preserve">CLASS DISCUSSION AND RECORDING </w:t>
      </w:r>
    </w:p>
    <w:p w14:paraId="07A4699A" w14:textId="77777777" w:rsidR="003042DC" w:rsidRDefault="003042DC" w:rsidP="003042DC">
      <w:pPr>
        <w:jc w:val="both"/>
      </w:pPr>
    </w:p>
    <w:p w14:paraId="01272BDE" w14:textId="1000F7EF" w:rsidR="003042DC" w:rsidRDefault="003042DC" w:rsidP="00626746">
      <w:pPr>
        <w:jc w:val="both"/>
      </w:pPr>
      <w:r w:rsidRPr="00AC2C9A">
        <w:rPr>
          <w:rFonts w:ascii="Times New Roman" w:hAnsi="Times New Roman" w:cs="Times New Roman"/>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36A40653" w14:textId="77777777" w:rsidR="003042DC" w:rsidRDefault="003042DC" w:rsidP="00626746">
      <w:pPr>
        <w:jc w:val="both"/>
      </w:pPr>
    </w:p>
    <w:p w14:paraId="0F574011" w14:textId="77777777" w:rsidR="00711B94" w:rsidRPr="00D01FEB" w:rsidRDefault="00711B94" w:rsidP="00711B94">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2141868C" w14:textId="77777777" w:rsidR="00711B94" w:rsidRDefault="00711B94" w:rsidP="00711B94">
      <w:pPr>
        <w:jc w:val="both"/>
        <w:rPr>
          <w:rFonts w:ascii="Book Antiqua" w:eastAsia="Times New Roman" w:hAnsi="Book Antiqua" w:cs="Times New Roman"/>
        </w:rPr>
      </w:pPr>
    </w:p>
    <w:p w14:paraId="490CC950" w14:textId="62410484" w:rsidR="00DF53FF" w:rsidRPr="00711B94" w:rsidRDefault="00711B94" w:rsidP="00711B94">
      <w:pPr>
        <w:jc w:val="both"/>
      </w:pPr>
      <w:r>
        <w:t xml:space="preserve">Per law school policy, our course must have a majority of in-person class sessions. Consistent with this policy, we will try to have more in-person class sessions during the early part of the course, thus permitting us to “bank” the possibility of online sessions during the latter part of this course. Zoom class sessions will be announced ahead of time. </w:t>
      </w:r>
    </w:p>
    <w:p w14:paraId="0A93CAF9" w14:textId="77777777" w:rsidR="00DF53FF" w:rsidRPr="00423960" w:rsidRDefault="00DF53FF" w:rsidP="00EB437C">
      <w:pPr>
        <w:rPr>
          <w:rFonts w:ascii="Book Antiqua" w:hAnsi="Book Antiqua"/>
        </w:rPr>
        <w:sectPr w:rsidR="00DF53FF" w:rsidRPr="00423960">
          <w:pgSz w:w="12240" w:h="15840"/>
          <w:pgMar w:top="1440" w:right="1440" w:bottom="1440" w:left="1440" w:header="720" w:footer="720" w:gutter="0"/>
          <w:cols w:space="720"/>
          <w:docGrid w:linePitch="360"/>
        </w:sectPr>
      </w:pPr>
    </w:p>
    <w:p w14:paraId="62DE5BD1" w14:textId="77777777" w:rsidR="00AD33CD" w:rsidRDefault="00AD33CD" w:rsidP="00AD33CD">
      <w:pPr>
        <w:jc w:val="center"/>
        <w:rPr>
          <w:rFonts w:ascii="Book Antiqua" w:hAnsi="Book Antiqua"/>
          <w:b/>
          <w:sz w:val="40"/>
        </w:rPr>
      </w:pPr>
      <w:r w:rsidRPr="00DE7D4F">
        <w:rPr>
          <w:rFonts w:ascii="Book Antiqua" w:hAnsi="Book Antiqua"/>
          <w:b/>
          <w:sz w:val="40"/>
        </w:rPr>
        <w:lastRenderedPageBreak/>
        <w:t xml:space="preserve">ASSIGNMENTS </w:t>
      </w:r>
    </w:p>
    <w:p w14:paraId="077544F5" w14:textId="77777777" w:rsidR="00AD33CD" w:rsidRDefault="00AD33CD" w:rsidP="00AD33CD">
      <w:pPr>
        <w:rPr>
          <w:rFonts w:ascii="Book Antiqua" w:hAnsi="Book Antiqua"/>
          <w:b/>
        </w:rPr>
      </w:pPr>
    </w:p>
    <w:p w14:paraId="38E3314A" w14:textId="77777777" w:rsidR="00AD33CD" w:rsidRPr="0048487B" w:rsidRDefault="00AD33CD" w:rsidP="00AD33CD">
      <w:pPr>
        <w:rPr>
          <w:rFonts w:ascii="Book Antiqua" w:hAnsi="Book Antiqua"/>
          <w:b/>
        </w:rPr>
      </w:pPr>
    </w:p>
    <w:tbl>
      <w:tblPr>
        <w:tblStyle w:val="TableGrid"/>
        <w:tblW w:w="9360" w:type="dxa"/>
        <w:tblInd w:w="-5" w:type="dxa"/>
        <w:tblLayout w:type="fixed"/>
        <w:tblLook w:val="04A0" w:firstRow="1" w:lastRow="0" w:firstColumn="1" w:lastColumn="0" w:noHBand="0" w:noVBand="1"/>
      </w:tblPr>
      <w:tblGrid>
        <w:gridCol w:w="810"/>
        <w:gridCol w:w="6660"/>
        <w:gridCol w:w="1890"/>
      </w:tblGrid>
      <w:tr w:rsidR="00AD33CD" w14:paraId="40E1FA44" w14:textId="77777777" w:rsidTr="00B57107">
        <w:trPr>
          <w:trHeight w:val="773"/>
        </w:trPr>
        <w:tc>
          <w:tcPr>
            <w:tcW w:w="810" w:type="dxa"/>
            <w:vAlign w:val="center"/>
          </w:tcPr>
          <w:p w14:paraId="7EE6A5E4" w14:textId="77777777" w:rsidR="00AD33CD" w:rsidRPr="00E81769" w:rsidRDefault="00AD33CD" w:rsidP="00B57107">
            <w:pPr>
              <w:jc w:val="center"/>
              <w:rPr>
                <w:rFonts w:ascii="Book Antiqua" w:hAnsi="Book Antiqua"/>
                <w:b/>
              </w:rPr>
            </w:pPr>
            <w:r w:rsidRPr="00E81769">
              <w:rPr>
                <w:rFonts w:ascii="Book Antiqua" w:hAnsi="Book Antiqua"/>
                <w:b/>
              </w:rPr>
              <w:t>Class #</w:t>
            </w:r>
          </w:p>
        </w:tc>
        <w:tc>
          <w:tcPr>
            <w:tcW w:w="6660" w:type="dxa"/>
          </w:tcPr>
          <w:p w14:paraId="71771D00" w14:textId="77777777" w:rsidR="00AD33CD" w:rsidRPr="00E81769" w:rsidRDefault="00AD33CD" w:rsidP="00B57107">
            <w:pPr>
              <w:jc w:val="center"/>
              <w:rPr>
                <w:rFonts w:ascii="Book Antiqua" w:hAnsi="Book Antiqua"/>
                <w:b/>
              </w:rPr>
            </w:pPr>
          </w:p>
          <w:p w14:paraId="01A08EE7" w14:textId="77777777" w:rsidR="00AD33CD" w:rsidRPr="00E81769" w:rsidRDefault="00AD33CD" w:rsidP="00B57107">
            <w:pPr>
              <w:jc w:val="center"/>
              <w:rPr>
                <w:rFonts w:ascii="Book Antiqua" w:hAnsi="Book Antiqua"/>
                <w:b/>
              </w:rPr>
            </w:pPr>
            <w:r w:rsidRPr="00E81769">
              <w:rPr>
                <w:rFonts w:ascii="Book Antiqua" w:hAnsi="Book Antiqua"/>
                <w:b/>
              </w:rPr>
              <w:t>Topics, Issues, and Cases</w:t>
            </w:r>
          </w:p>
        </w:tc>
        <w:tc>
          <w:tcPr>
            <w:tcW w:w="1890" w:type="dxa"/>
            <w:vAlign w:val="center"/>
          </w:tcPr>
          <w:p w14:paraId="0796D7D0" w14:textId="77777777" w:rsidR="00AD33CD" w:rsidRPr="00E81769" w:rsidRDefault="006A3BFD" w:rsidP="006A3BFD">
            <w:pPr>
              <w:jc w:val="center"/>
              <w:rPr>
                <w:rFonts w:ascii="Book Antiqua" w:hAnsi="Book Antiqua"/>
                <w:b/>
              </w:rPr>
            </w:pPr>
            <w:r w:rsidRPr="00E81769">
              <w:rPr>
                <w:rFonts w:ascii="Book Antiqua" w:hAnsi="Book Antiqua"/>
                <w:b/>
              </w:rPr>
              <w:t>Text pages</w:t>
            </w:r>
          </w:p>
        </w:tc>
      </w:tr>
      <w:tr w:rsidR="00AD33CD" w14:paraId="57ADEFD4" w14:textId="77777777" w:rsidTr="00B57107">
        <w:trPr>
          <w:trHeight w:val="692"/>
        </w:trPr>
        <w:tc>
          <w:tcPr>
            <w:tcW w:w="810" w:type="dxa"/>
            <w:shd w:val="clear" w:color="auto" w:fill="D9D9D9" w:themeFill="background1" w:themeFillShade="D9"/>
          </w:tcPr>
          <w:p w14:paraId="384ACE6B" w14:textId="77777777" w:rsidR="00AD33CD" w:rsidRPr="00E81769" w:rsidRDefault="009B774B" w:rsidP="00B57107">
            <w:pPr>
              <w:jc w:val="center"/>
              <w:rPr>
                <w:rFonts w:ascii="Book Antiqua" w:hAnsi="Book Antiqua"/>
              </w:rPr>
            </w:pPr>
            <w:r>
              <w:rPr>
                <w:rFonts w:ascii="Book Antiqua" w:hAnsi="Book Antiqua"/>
              </w:rPr>
              <w:t>1</w:t>
            </w:r>
          </w:p>
        </w:tc>
        <w:tc>
          <w:tcPr>
            <w:tcW w:w="6660" w:type="dxa"/>
            <w:shd w:val="clear" w:color="auto" w:fill="D9D9D9" w:themeFill="background1" w:themeFillShade="D9"/>
          </w:tcPr>
          <w:p w14:paraId="28DDBA96" w14:textId="77777777" w:rsidR="00FF1776" w:rsidRPr="00E81769" w:rsidRDefault="00FF1776" w:rsidP="00B57107">
            <w:pPr>
              <w:jc w:val="both"/>
              <w:rPr>
                <w:rFonts w:ascii="Book Antiqua" w:hAnsi="Book Antiqua"/>
              </w:rPr>
            </w:pPr>
            <w:r w:rsidRPr="00E81769">
              <w:rPr>
                <w:rFonts w:ascii="Book Antiqua" w:hAnsi="Book Antiqua"/>
              </w:rPr>
              <w:t>INTRODUCTION</w:t>
            </w:r>
          </w:p>
          <w:p w14:paraId="5D4BCC8E" w14:textId="77777777" w:rsidR="00FF1776" w:rsidRPr="00E81769" w:rsidRDefault="00FF1776" w:rsidP="00B57107">
            <w:pPr>
              <w:jc w:val="both"/>
              <w:rPr>
                <w:rFonts w:ascii="Book Antiqua" w:hAnsi="Book Antiqua"/>
              </w:rPr>
            </w:pPr>
          </w:p>
          <w:p w14:paraId="3FF3490A" w14:textId="77777777" w:rsidR="00AD33CD" w:rsidRPr="00E81769" w:rsidRDefault="00AD33CD" w:rsidP="00B57107">
            <w:pPr>
              <w:jc w:val="both"/>
              <w:rPr>
                <w:rFonts w:ascii="Book Antiqua" w:hAnsi="Book Antiqua"/>
              </w:rPr>
            </w:pPr>
            <w:r w:rsidRPr="00E81769">
              <w:rPr>
                <w:rFonts w:ascii="Book Antiqua" w:hAnsi="Book Antiqua"/>
              </w:rPr>
              <w:t xml:space="preserve">CHAPTER 1:  </w:t>
            </w:r>
            <w:r w:rsidR="00FF1776" w:rsidRPr="00E81769">
              <w:rPr>
                <w:rFonts w:ascii="Book Antiqua" w:hAnsi="Book Antiqua"/>
              </w:rPr>
              <w:t xml:space="preserve">FINANCIAL STATEMENTS </w:t>
            </w:r>
            <w:r w:rsidRPr="00E81769">
              <w:rPr>
                <w:rFonts w:ascii="Book Antiqua" w:hAnsi="Book Antiqua"/>
              </w:rPr>
              <w:t xml:space="preserve"> </w:t>
            </w:r>
          </w:p>
          <w:p w14:paraId="7345DC39" w14:textId="77777777" w:rsidR="00AD33CD"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Balance sheet </w:t>
            </w:r>
          </w:p>
          <w:p w14:paraId="5A1E5D82" w14:textId="77777777" w:rsidR="00583F99" w:rsidRPr="00E81769" w:rsidRDefault="00583F99" w:rsidP="00583F99">
            <w:pPr>
              <w:pStyle w:val="ListParagraph"/>
              <w:numPr>
                <w:ilvl w:val="1"/>
                <w:numId w:val="1"/>
              </w:numPr>
              <w:jc w:val="both"/>
              <w:rPr>
                <w:rFonts w:ascii="Book Antiqua" w:hAnsi="Book Antiqua"/>
                <w:i/>
              </w:rPr>
            </w:pPr>
            <w:r w:rsidRPr="00E81769">
              <w:rPr>
                <w:rFonts w:ascii="Book Antiqua" w:hAnsi="Book Antiqua"/>
                <w:i/>
              </w:rPr>
              <w:t>Bolt v. Merrimack Pharmaceuticals, Inc.</w:t>
            </w:r>
          </w:p>
          <w:p w14:paraId="59F62628" w14:textId="77777777"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Income statement  </w:t>
            </w:r>
          </w:p>
          <w:p w14:paraId="5322B5E1" w14:textId="77777777" w:rsidR="00FF1776" w:rsidRPr="00E81769" w:rsidRDefault="00FF1776" w:rsidP="00FF1776">
            <w:pPr>
              <w:pStyle w:val="ListParagraph"/>
              <w:ind w:left="360"/>
              <w:jc w:val="both"/>
              <w:rPr>
                <w:rFonts w:ascii="Book Antiqua" w:hAnsi="Book Antiqua"/>
              </w:rPr>
            </w:pPr>
          </w:p>
        </w:tc>
        <w:tc>
          <w:tcPr>
            <w:tcW w:w="1890" w:type="dxa"/>
            <w:shd w:val="clear" w:color="auto" w:fill="D9D9D9" w:themeFill="background1" w:themeFillShade="D9"/>
          </w:tcPr>
          <w:p w14:paraId="75A86169" w14:textId="77777777" w:rsidR="00AD33CD" w:rsidRPr="00E81769" w:rsidRDefault="00FF1776" w:rsidP="00B57107">
            <w:pPr>
              <w:jc w:val="center"/>
              <w:rPr>
                <w:rFonts w:ascii="Book Antiqua" w:hAnsi="Book Antiqua"/>
              </w:rPr>
            </w:pPr>
            <w:r w:rsidRPr="00E81769">
              <w:rPr>
                <w:rFonts w:ascii="Book Antiqua" w:hAnsi="Book Antiqua"/>
              </w:rPr>
              <w:t>1</w:t>
            </w:r>
            <w:r w:rsidR="00583F99" w:rsidRPr="00E81769">
              <w:rPr>
                <w:rFonts w:ascii="Book Antiqua" w:hAnsi="Book Antiqua"/>
              </w:rPr>
              <w:t>-20</w:t>
            </w:r>
          </w:p>
        </w:tc>
      </w:tr>
      <w:tr w:rsidR="00AD33CD" w:rsidRPr="00420406" w14:paraId="6736307B" w14:textId="77777777" w:rsidTr="00B57107">
        <w:tc>
          <w:tcPr>
            <w:tcW w:w="810" w:type="dxa"/>
            <w:shd w:val="clear" w:color="auto" w:fill="D9D9D9" w:themeFill="background1" w:themeFillShade="D9"/>
          </w:tcPr>
          <w:p w14:paraId="46D68D6E" w14:textId="77777777" w:rsidR="00AD33CD" w:rsidRPr="00E81769" w:rsidRDefault="00AD33CD" w:rsidP="00B57107">
            <w:pPr>
              <w:jc w:val="center"/>
            </w:pPr>
            <w:r w:rsidRPr="00E81769">
              <w:t>2</w:t>
            </w:r>
          </w:p>
        </w:tc>
        <w:tc>
          <w:tcPr>
            <w:tcW w:w="6660" w:type="dxa"/>
            <w:shd w:val="clear" w:color="auto" w:fill="D9D9D9" w:themeFill="background1" w:themeFillShade="D9"/>
          </w:tcPr>
          <w:p w14:paraId="2FFC80A4" w14:textId="77777777" w:rsidR="00FF1776" w:rsidRPr="00E81769" w:rsidRDefault="00FF1776" w:rsidP="00FF1776">
            <w:pPr>
              <w:jc w:val="both"/>
              <w:rPr>
                <w:rFonts w:ascii="Book Antiqua" w:hAnsi="Book Antiqua"/>
              </w:rPr>
            </w:pPr>
            <w:r w:rsidRPr="00E81769">
              <w:rPr>
                <w:rFonts w:ascii="Book Antiqua" w:hAnsi="Book Antiqua"/>
              </w:rPr>
              <w:t xml:space="preserve">CHAPTER 1:  FINANCIAL STATEMENTS  </w:t>
            </w:r>
          </w:p>
          <w:p w14:paraId="04DFD897" w14:textId="77777777" w:rsidR="00FF1776"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Income statement  </w:t>
            </w:r>
          </w:p>
          <w:p w14:paraId="1A84D780"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Cash flow statement </w:t>
            </w:r>
          </w:p>
          <w:p w14:paraId="754BF747"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Statement of shareholders’ equity </w:t>
            </w:r>
          </w:p>
          <w:p w14:paraId="7E5A5E51"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Financial statement analyses</w:t>
            </w:r>
          </w:p>
          <w:p w14:paraId="6BE14F9F" w14:textId="77777777" w:rsidR="00AD33CD" w:rsidRPr="00E81769" w:rsidRDefault="00AD33CD" w:rsidP="00B57107"/>
        </w:tc>
        <w:tc>
          <w:tcPr>
            <w:tcW w:w="1890" w:type="dxa"/>
            <w:shd w:val="clear" w:color="auto" w:fill="D9D9D9" w:themeFill="background1" w:themeFillShade="D9"/>
          </w:tcPr>
          <w:p w14:paraId="3DB86CE4" w14:textId="77777777" w:rsidR="00AD33CD" w:rsidRPr="00E81769" w:rsidRDefault="00583F99" w:rsidP="00B57107">
            <w:pPr>
              <w:jc w:val="center"/>
            </w:pPr>
            <w:r w:rsidRPr="00E81769">
              <w:t>20</w:t>
            </w:r>
            <w:r w:rsidR="00FF1776" w:rsidRPr="00E81769">
              <w:t>-</w:t>
            </w:r>
            <w:r w:rsidRPr="00E81769">
              <w:t>36</w:t>
            </w:r>
          </w:p>
        </w:tc>
      </w:tr>
      <w:tr w:rsidR="00AD33CD" w:rsidRPr="00420406" w14:paraId="6020CFFC" w14:textId="77777777" w:rsidTr="00B57107">
        <w:tc>
          <w:tcPr>
            <w:tcW w:w="810" w:type="dxa"/>
          </w:tcPr>
          <w:p w14:paraId="24EECDBB" w14:textId="77777777" w:rsidR="00AD33CD" w:rsidRPr="00E81769" w:rsidRDefault="009B774B" w:rsidP="00B57107">
            <w:pPr>
              <w:jc w:val="center"/>
            </w:pPr>
            <w:r>
              <w:t>3</w:t>
            </w:r>
          </w:p>
        </w:tc>
        <w:tc>
          <w:tcPr>
            <w:tcW w:w="6660" w:type="dxa"/>
          </w:tcPr>
          <w:p w14:paraId="785739C0" w14:textId="77777777" w:rsidR="00583F99" w:rsidRPr="00E81769" w:rsidRDefault="00583F99" w:rsidP="00583F99">
            <w:pPr>
              <w:jc w:val="both"/>
              <w:rPr>
                <w:rFonts w:ascii="Book Antiqua" w:hAnsi="Book Antiqua"/>
              </w:rPr>
            </w:pPr>
            <w:r w:rsidRPr="00E81769">
              <w:rPr>
                <w:rFonts w:ascii="Book Antiqua" w:hAnsi="Book Antiqua"/>
              </w:rPr>
              <w:t xml:space="preserve">CHAPTER 1:  FINANCIAL STATEMENTS  </w:t>
            </w:r>
          </w:p>
          <w:p w14:paraId="454F6B24" w14:textId="77777777"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Review of Alcoa financial statements   </w:t>
            </w:r>
          </w:p>
          <w:p w14:paraId="12CE2F9A" w14:textId="77777777" w:rsidR="00583F99" w:rsidRPr="00E81769" w:rsidRDefault="00583F99" w:rsidP="00B57107">
            <w:pPr>
              <w:jc w:val="both"/>
              <w:rPr>
                <w:rFonts w:ascii="Book Antiqua" w:hAnsi="Book Antiqua"/>
              </w:rPr>
            </w:pPr>
          </w:p>
          <w:p w14:paraId="0B04F387" w14:textId="77777777" w:rsidR="00AD33CD" w:rsidRPr="00E81769" w:rsidRDefault="00AD33CD" w:rsidP="00B57107">
            <w:pPr>
              <w:jc w:val="both"/>
              <w:rPr>
                <w:rFonts w:ascii="Book Antiqua" w:hAnsi="Book Antiqua"/>
              </w:rPr>
            </w:pPr>
            <w:r w:rsidRPr="00E81769">
              <w:rPr>
                <w:rFonts w:ascii="Book Antiqua" w:hAnsi="Book Antiqua"/>
              </w:rPr>
              <w:t xml:space="preserve">CHAPTER 2:  </w:t>
            </w:r>
            <w:r w:rsidR="00583F99" w:rsidRPr="00E81769">
              <w:rPr>
                <w:rFonts w:ascii="Book Antiqua" w:hAnsi="Book Antiqua"/>
              </w:rPr>
              <w:t>FINANCE PRINCIPLES</w:t>
            </w:r>
          </w:p>
          <w:p w14:paraId="57FF2795"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Risk and return</w:t>
            </w:r>
          </w:p>
          <w:p w14:paraId="729E590A"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3FCAD3A3" w14:textId="77777777" w:rsidR="00AD33CD" w:rsidRPr="00E81769" w:rsidRDefault="00AD33CD" w:rsidP="00DD3428">
            <w:pPr>
              <w:jc w:val="both"/>
            </w:pPr>
          </w:p>
        </w:tc>
        <w:tc>
          <w:tcPr>
            <w:tcW w:w="1890" w:type="dxa"/>
          </w:tcPr>
          <w:p w14:paraId="6325E98E" w14:textId="77777777" w:rsidR="00AD33CD" w:rsidRPr="00E81769" w:rsidRDefault="00583F99" w:rsidP="00B57107">
            <w:pPr>
              <w:jc w:val="center"/>
            </w:pPr>
            <w:r w:rsidRPr="00E81769">
              <w:t>37-40</w:t>
            </w:r>
          </w:p>
          <w:p w14:paraId="407DE885" w14:textId="77777777" w:rsidR="00AD33CD" w:rsidRPr="00E81769" w:rsidRDefault="00AD33CD" w:rsidP="00B57107">
            <w:pPr>
              <w:jc w:val="center"/>
            </w:pPr>
          </w:p>
          <w:p w14:paraId="394DFA6D" w14:textId="77777777" w:rsidR="00AD33CD" w:rsidRPr="00E81769" w:rsidRDefault="0039081C" w:rsidP="00B57107">
            <w:pPr>
              <w:jc w:val="center"/>
            </w:pPr>
            <w:r>
              <w:t>41-52</w:t>
            </w:r>
          </w:p>
          <w:p w14:paraId="7F8D05B4" w14:textId="77777777" w:rsidR="00AD33CD" w:rsidRPr="00E81769" w:rsidRDefault="00AD33CD" w:rsidP="00B57107">
            <w:pPr>
              <w:jc w:val="center"/>
            </w:pPr>
            <w:r w:rsidRPr="00E81769">
              <w:t xml:space="preserve"> </w:t>
            </w:r>
          </w:p>
        </w:tc>
      </w:tr>
      <w:tr w:rsidR="00E81769" w:rsidRPr="00420406" w14:paraId="7537E9FC" w14:textId="77777777" w:rsidTr="00B57107">
        <w:tc>
          <w:tcPr>
            <w:tcW w:w="810" w:type="dxa"/>
          </w:tcPr>
          <w:p w14:paraId="65D7F1A7" w14:textId="77777777" w:rsidR="00E81769" w:rsidRPr="00E81769" w:rsidRDefault="009B774B" w:rsidP="00B57107">
            <w:pPr>
              <w:jc w:val="center"/>
            </w:pPr>
            <w:r>
              <w:t>4</w:t>
            </w:r>
          </w:p>
        </w:tc>
        <w:tc>
          <w:tcPr>
            <w:tcW w:w="6660" w:type="dxa"/>
          </w:tcPr>
          <w:p w14:paraId="285E7E38" w14:textId="77777777" w:rsidR="00E81769" w:rsidRPr="00E81769" w:rsidRDefault="00E81769" w:rsidP="00E81769">
            <w:pPr>
              <w:jc w:val="both"/>
              <w:rPr>
                <w:rFonts w:ascii="Book Antiqua" w:hAnsi="Book Antiqua"/>
              </w:rPr>
            </w:pPr>
            <w:r w:rsidRPr="00E81769">
              <w:rPr>
                <w:rFonts w:ascii="Book Antiqua" w:hAnsi="Book Antiqua"/>
              </w:rPr>
              <w:t>CHAPTER 2:  FINANCE PRINCIPLES</w:t>
            </w:r>
          </w:p>
          <w:p w14:paraId="4C1CE90F"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0C25BF91"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Vanderveer</w:t>
            </w:r>
            <w:proofErr w:type="spellEnd"/>
            <w:r w:rsidRPr="00E81769">
              <w:rPr>
                <w:rFonts w:ascii="Book Antiqua" w:hAnsi="Book Antiqua"/>
                <w:i/>
              </w:rPr>
              <w:t xml:space="preserve"> Estates Holding, LLC</w:t>
            </w:r>
          </w:p>
          <w:p w14:paraId="1F32CC5C"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Cost of capital </w:t>
            </w:r>
          </w:p>
          <w:p w14:paraId="7AD69F1D"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16A3167F"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Security market line </w:t>
            </w:r>
          </w:p>
          <w:p w14:paraId="09A2BC77" w14:textId="77777777" w:rsidR="00E81769" w:rsidRPr="00E81769" w:rsidRDefault="00E81769" w:rsidP="00583F99">
            <w:pPr>
              <w:jc w:val="both"/>
              <w:rPr>
                <w:rFonts w:ascii="Book Antiqua" w:hAnsi="Book Antiqua"/>
              </w:rPr>
            </w:pPr>
          </w:p>
        </w:tc>
        <w:tc>
          <w:tcPr>
            <w:tcW w:w="1890" w:type="dxa"/>
          </w:tcPr>
          <w:p w14:paraId="4324C8CB" w14:textId="77777777" w:rsidR="00E81769" w:rsidRPr="00E81769" w:rsidRDefault="0039081C" w:rsidP="00B57107">
            <w:pPr>
              <w:jc w:val="center"/>
            </w:pPr>
            <w:r>
              <w:t>52</w:t>
            </w:r>
            <w:r w:rsidR="005B2893" w:rsidRPr="00E81769">
              <w:t>-79</w:t>
            </w:r>
          </w:p>
        </w:tc>
      </w:tr>
      <w:tr w:rsidR="00AD33CD" w:rsidRPr="00420406" w14:paraId="0C056AE5" w14:textId="77777777" w:rsidTr="00B57107">
        <w:tc>
          <w:tcPr>
            <w:tcW w:w="810" w:type="dxa"/>
            <w:shd w:val="clear" w:color="auto" w:fill="D9D9D9" w:themeFill="background1" w:themeFillShade="D9"/>
          </w:tcPr>
          <w:p w14:paraId="7D186B5E" w14:textId="77777777" w:rsidR="00AD33CD" w:rsidRPr="00E81769" w:rsidRDefault="009B774B" w:rsidP="00B57107">
            <w:pPr>
              <w:jc w:val="center"/>
            </w:pPr>
            <w:r>
              <w:t>5</w:t>
            </w:r>
          </w:p>
        </w:tc>
        <w:tc>
          <w:tcPr>
            <w:tcW w:w="6660" w:type="dxa"/>
            <w:shd w:val="clear" w:color="auto" w:fill="D9D9D9" w:themeFill="background1" w:themeFillShade="D9"/>
          </w:tcPr>
          <w:p w14:paraId="2CDBFB0C" w14:textId="77777777" w:rsidR="00AD33CD" w:rsidRPr="00E81769" w:rsidRDefault="00DD3428" w:rsidP="00B57107">
            <w:pPr>
              <w:jc w:val="both"/>
              <w:rPr>
                <w:rFonts w:ascii="Book Antiqua" w:hAnsi="Book Antiqua"/>
              </w:rPr>
            </w:pPr>
            <w:r w:rsidRPr="00E81769">
              <w:rPr>
                <w:rFonts w:ascii="Book Antiqua" w:hAnsi="Book Antiqua"/>
              </w:rPr>
              <w:t>CHAPTER 3</w:t>
            </w:r>
            <w:r w:rsidR="00AD33CD" w:rsidRPr="00E81769">
              <w:rPr>
                <w:rFonts w:ascii="Book Antiqua" w:hAnsi="Book Antiqua"/>
              </w:rPr>
              <w:t xml:space="preserve">:  </w:t>
            </w:r>
            <w:r w:rsidR="00404778" w:rsidRPr="00E81769">
              <w:rPr>
                <w:rFonts w:ascii="Book Antiqua" w:hAnsi="Book Antiqua"/>
              </w:rPr>
              <w:t xml:space="preserve">VALUATION </w:t>
            </w:r>
            <w:r w:rsidR="00AD33CD" w:rsidRPr="00E81769">
              <w:rPr>
                <w:rFonts w:ascii="Book Antiqua" w:hAnsi="Book Antiqua"/>
              </w:rPr>
              <w:t xml:space="preserve"> </w:t>
            </w:r>
          </w:p>
          <w:p w14:paraId="0E3AC59E"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Market multiples </w:t>
            </w:r>
          </w:p>
          <w:p w14:paraId="7FBBF218" w14:textId="77777777" w:rsidR="00404778" w:rsidRPr="00E81769" w:rsidRDefault="00404778" w:rsidP="00404778">
            <w:pPr>
              <w:pStyle w:val="ListParagraph"/>
              <w:numPr>
                <w:ilvl w:val="0"/>
                <w:numId w:val="34"/>
              </w:numPr>
              <w:jc w:val="both"/>
              <w:rPr>
                <w:rFonts w:ascii="Book Antiqua" w:hAnsi="Book Antiqua"/>
                <w:i/>
              </w:rPr>
            </w:pPr>
            <w:proofErr w:type="spellStart"/>
            <w:r w:rsidRPr="00E81769">
              <w:rPr>
                <w:rFonts w:ascii="Book Antiqua" w:hAnsi="Book Antiqua"/>
                <w:i/>
              </w:rPr>
              <w:t>Agranoff</w:t>
            </w:r>
            <w:proofErr w:type="spellEnd"/>
            <w:r w:rsidRPr="00E81769">
              <w:rPr>
                <w:rFonts w:ascii="Book Antiqua" w:hAnsi="Book Antiqua"/>
                <w:i/>
              </w:rPr>
              <w:t xml:space="preserve"> v. Miller </w:t>
            </w:r>
          </w:p>
          <w:p w14:paraId="68438FA8"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Discounted cash flow analysis </w:t>
            </w:r>
          </w:p>
          <w:p w14:paraId="02EB1380" w14:textId="77777777" w:rsidR="00404778" w:rsidRPr="00E81769" w:rsidRDefault="00404778" w:rsidP="00404778">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0F57C575" w14:textId="77777777" w:rsidR="00DC05DE" w:rsidRPr="00E81769" w:rsidRDefault="00DC05DE" w:rsidP="00404778">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14:paraId="353ED693" w14:textId="77777777" w:rsidR="00CB50D2" w:rsidRPr="00CA6965" w:rsidRDefault="00DC05DE" w:rsidP="00E808EE">
            <w:pPr>
              <w:pStyle w:val="ListParagraph"/>
              <w:numPr>
                <w:ilvl w:val="0"/>
                <w:numId w:val="8"/>
              </w:numPr>
              <w:jc w:val="both"/>
              <w:rPr>
                <w:rFonts w:ascii="Book Antiqua" w:hAnsi="Book Antiqua"/>
              </w:rPr>
            </w:pPr>
            <w:r w:rsidRPr="00E81769">
              <w:rPr>
                <w:rFonts w:ascii="Book Antiqua" w:hAnsi="Book Antiqua"/>
              </w:rPr>
              <w:t xml:space="preserve">Valuation of bonds </w:t>
            </w:r>
          </w:p>
          <w:p w14:paraId="46BA914E" w14:textId="77777777" w:rsidR="0093203E" w:rsidRPr="00E81769" w:rsidRDefault="0093203E" w:rsidP="00DC05DE">
            <w:pPr>
              <w:pStyle w:val="ListParagraph"/>
              <w:ind w:left="360"/>
              <w:jc w:val="both"/>
            </w:pPr>
          </w:p>
        </w:tc>
        <w:tc>
          <w:tcPr>
            <w:tcW w:w="1890" w:type="dxa"/>
            <w:shd w:val="clear" w:color="auto" w:fill="D9D9D9" w:themeFill="background1" w:themeFillShade="D9"/>
          </w:tcPr>
          <w:p w14:paraId="7E65373F" w14:textId="77777777" w:rsidR="00AD33CD" w:rsidRPr="00E81769" w:rsidRDefault="00404778" w:rsidP="00B57107">
            <w:pPr>
              <w:jc w:val="center"/>
            </w:pPr>
            <w:r w:rsidRPr="00E81769">
              <w:t>81-</w:t>
            </w:r>
            <w:r w:rsidR="00DC05DE" w:rsidRPr="00E81769">
              <w:t>108</w:t>
            </w:r>
          </w:p>
        </w:tc>
      </w:tr>
      <w:tr w:rsidR="00AD33CD" w:rsidRPr="00420406" w14:paraId="3AD971CD" w14:textId="77777777" w:rsidTr="00B57107">
        <w:tc>
          <w:tcPr>
            <w:tcW w:w="810" w:type="dxa"/>
            <w:shd w:val="clear" w:color="auto" w:fill="FFFFFF" w:themeFill="background1"/>
          </w:tcPr>
          <w:p w14:paraId="46E2822C" w14:textId="77777777" w:rsidR="00AD33CD" w:rsidRPr="00E81769" w:rsidRDefault="009B774B" w:rsidP="00B57107">
            <w:pPr>
              <w:jc w:val="center"/>
            </w:pPr>
            <w:r>
              <w:t>6</w:t>
            </w:r>
          </w:p>
        </w:tc>
        <w:tc>
          <w:tcPr>
            <w:tcW w:w="6660" w:type="dxa"/>
            <w:shd w:val="clear" w:color="auto" w:fill="FFFFFF" w:themeFill="background1"/>
          </w:tcPr>
          <w:p w14:paraId="7AA8A78D" w14:textId="77777777" w:rsidR="00DC05DE" w:rsidRPr="00E81769" w:rsidRDefault="00DC05DE" w:rsidP="00DC05DE">
            <w:pPr>
              <w:jc w:val="both"/>
              <w:rPr>
                <w:rFonts w:ascii="Book Antiqua" w:hAnsi="Book Antiqua"/>
              </w:rPr>
            </w:pPr>
            <w:r w:rsidRPr="00E81769">
              <w:rPr>
                <w:rFonts w:ascii="Book Antiqua" w:hAnsi="Book Antiqua"/>
              </w:rPr>
              <w:t xml:space="preserve">CHAPTER 3:  VALUATION  </w:t>
            </w:r>
          </w:p>
          <w:p w14:paraId="3330B6B2" w14:textId="77777777"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Valuation process and studies  </w:t>
            </w:r>
          </w:p>
          <w:p w14:paraId="6EDDA8D9" w14:textId="77777777"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48A37309" w14:textId="77777777"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14:paraId="4180F0D1" w14:textId="77777777" w:rsidR="00AD33CD" w:rsidRPr="00E81769" w:rsidRDefault="00AD33CD" w:rsidP="00DC05DE">
            <w:pPr>
              <w:jc w:val="both"/>
            </w:pPr>
          </w:p>
          <w:p w14:paraId="0AA365E2" w14:textId="77777777" w:rsidR="0052773E" w:rsidRPr="00E81769" w:rsidRDefault="0052773E" w:rsidP="00DC05DE">
            <w:pPr>
              <w:jc w:val="both"/>
            </w:pPr>
          </w:p>
          <w:p w14:paraId="39884E6B" w14:textId="77777777" w:rsidR="0052773E" w:rsidRPr="00E81769" w:rsidRDefault="0052773E" w:rsidP="00DC05DE">
            <w:pPr>
              <w:jc w:val="both"/>
            </w:pPr>
          </w:p>
        </w:tc>
        <w:tc>
          <w:tcPr>
            <w:tcW w:w="1890" w:type="dxa"/>
            <w:shd w:val="clear" w:color="auto" w:fill="FFFFFF" w:themeFill="background1"/>
          </w:tcPr>
          <w:p w14:paraId="3D352501" w14:textId="77777777" w:rsidR="00AD33CD" w:rsidRPr="00E81769" w:rsidRDefault="00DC05DE" w:rsidP="00B57107">
            <w:pPr>
              <w:jc w:val="center"/>
            </w:pPr>
            <w:r w:rsidRPr="00E81769">
              <w:t>108-136</w:t>
            </w:r>
          </w:p>
        </w:tc>
      </w:tr>
      <w:tr w:rsidR="00AD33CD" w:rsidRPr="00420406" w14:paraId="717AE92A" w14:textId="77777777" w:rsidTr="00B57107">
        <w:tc>
          <w:tcPr>
            <w:tcW w:w="810" w:type="dxa"/>
            <w:shd w:val="clear" w:color="auto" w:fill="FFFFFF" w:themeFill="background1"/>
          </w:tcPr>
          <w:p w14:paraId="42EFA887" w14:textId="77777777" w:rsidR="00AD33CD" w:rsidRPr="00E81769" w:rsidRDefault="009B774B" w:rsidP="00B57107">
            <w:pPr>
              <w:jc w:val="center"/>
            </w:pPr>
            <w:r>
              <w:lastRenderedPageBreak/>
              <w:t>7</w:t>
            </w:r>
          </w:p>
        </w:tc>
        <w:tc>
          <w:tcPr>
            <w:tcW w:w="6660" w:type="dxa"/>
            <w:shd w:val="clear" w:color="auto" w:fill="FFFFFF" w:themeFill="background1"/>
          </w:tcPr>
          <w:p w14:paraId="7F2121D3" w14:textId="77777777" w:rsidR="00DC05DE" w:rsidRPr="00E81769" w:rsidRDefault="00DC05DE" w:rsidP="00DC05DE">
            <w:pPr>
              <w:jc w:val="both"/>
              <w:rPr>
                <w:rFonts w:ascii="Book Antiqua" w:hAnsi="Book Antiqua"/>
              </w:rPr>
            </w:pPr>
            <w:r w:rsidRPr="00E81769">
              <w:rPr>
                <w:rFonts w:ascii="Book Antiqua" w:hAnsi="Book Antiqua"/>
              </w:rPr>
              <w:t xml:space="preserve">CHAPTER 3:  VALUATION  </w:t>
            </w:r>
          </w:p>
          <w:p w14:paraId="351B933D" w14:textId="77777777"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Market mechanisms </w:t>
            </w:r>
          </w:p>
          <w:p w14:paraId="7DEC6119"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Basic, Inc. v. Levinson </w:t>
            </w:r>
          </w:p>
          <w:p w14:paraId="70560965"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West v. Prudential Securities, Inc. </w:t>
            </w:r>
          </w:p>
          <w:p w14:paraId="2FB357B6"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Polymedica</w:t>
            </w:r>
            <w:proofErr w:type="spellEnd"/>
            <w:r w:rsidRPr="00E81769">
              <w:rPr>
                <w:rFonts w:ascii="Book Antiqua" w:hAnsi="Book Antiqua"/>
                <w:i/>
              </w:rPr>
              <w:t xml:space="preserve"> Corp. Sec. Litig. </w:t>
            </w:r>
          </w:p>
          <w:p w14:paraId="0E38A9E0" w14:textId="77777777" w:rsidR="00AD33CD" w:rsidRPr="00E81769" w:rsidRDefault="00AD33CD" w:rsidP="00B57107">
            <w:pPr>
              <w:jc w:val="both"/>
            </w:pPr>
          </w:p>
        </w:tc>
        <w:tc>
          <w:tcPr>
            <w:tcW w:w="1890" w:type="dxa"/>
            <w:shd w:val="clear" w:color="auto" w:fill="FFFFFF" w:themeFill="background1"/>
          </w:tcPr>
          <w:p w14:paraId="2ED9B82A" w14:textId="77777777" w:rsidR="00AD33CD" w:rsidRPr="00E81769" w:rsidRDefault="00DC05DE" w:rsidP="00B57107">
            <w:pPr>
              <w:jc w:val="center"/>
            </w:pPr>
            <w:r w:rsidRPr="00E81769">
              <w:t>136-</w:t>
            </w:r>
            <w:r w:rsidR="001E7403" w:rsidRPr="00E81769">
              <w:t>166</w:t>
            </w:r>
          </w:p>
        </w:tc>
      </w:tr>
      <w:tr w:rsidR="00AD33CD" w:rsidRPr="00420406" w14:paraId="4F611CAC" w14:textId="77777777" w:rsidTr="00B57107">
        <w:tc>
          <w:tcPr>
            <w:tcW w:w="810" w:type="dxa"/>
            <w:shd w:val="clear" w:color="auto" w:fill="D9D9D9" w:themeFill="background1" w:themeFillShade="D9"/>
          </w:tcPr>
          <w:p w14:paraId="134FDC28" w14:textId="77777777" w:rsidR="00AD33CD" w:rsidRPr="00E81769" w:rsidRDefault="009B774B" w:rsidP="00B57107">
            <w:pPr>
              <w:jc w:val="center"/>
            </w:pPr>
            <w:r>
              <w:t>8</w:t>
            </w:r>
          </w:p>
        </w:tc>
        <w:tc>
          <w:tcPr>
            <w:tcW w:w="6660" w:type="dxa"/>
            <w:shd w:val="clear" w:color="auto" w:fill="D9D9D9" w:themeFill="background1" w:themeFillShade="D9"/>
          </w:tcPr>
          <w:p w14:paraId="79BDB395" w14:textId="77777777" w:rsidR="00802836" w:rsidRPr="00E81769" w:rsidRDefault="00802836" w:rsidP="00802836">
            <w:pPr>
              <w:jc w:val="both"/>
              <w:rPr>
                <w:rFonts w:ascii="Book Antiqua" w:hAnsi="Book Antiqua"/>
              </w:rPr>
            </w:pPr>
            <w:r w:rsidRPr="00E81769">
              <w:rPr>
                <w:rFonts w:ascii="Book Antiqua" w:hAnsi="Book Antiqua"/>
              </w:rPr>
              <w:t xml:space="preserve">CHAPTER 4:  CAPITAL TRANSACTIONS, STRUCTURE, AND MARKETS   </w:t>
            </w:r>
          </w:p>
          <w:p w14:paraId="7D9F5F26"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transactions </w:t>
            </w:r>
          </w:p>
          <w:p w14:paraId="6612371A"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Waggoner v. Laster</w:t>
            </w:r>
          </w:p>
          <w:p w14:paraId="63D8DBDA"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budgeting </w:t>
            </w:r>
          </w:p>
          <w:p w14:paraId="11771A42"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structure </w:t>
            </w:r>
          </w:p>
          <w:p w14:paraId="21370436"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 xml:space="preserve">Missouri Gas Energy v. Public Service Commission </w:t>
            </w:r>
          </w:p>
          <w:p w14:paraId="56A941DD" w14:textId="77777777" w:rsidR="00AD33CD" w:rsidRPr="00E81769" w:rsidRDefault="00AD33CD" w:rsidP="00802836">
            <w:pPr>
              <w:jc w:val="both"/>
            </w:pPr>
          </w:p>
        </w:tc>
        <w:tc>
          <w:tcPr>
            <w:tcW w:w="1890" w:type="dxa"/>
            <w:shd w:val="clear" w:color="auto" w:fill="D9D9D9" w:themeFill="background1" w:themeFillShade="D9"/>
          </w:tcPr>
          <w:p w14:paraId="3650A89B" w14:textId="77777777" w:rsidR="00AD33CD" w:rsidRPr="00E81769" w:rsidRDefault="00802836" w:rsidP="001E7403">
            <w:pPr>
              <w:jc w:val="center"/>
            </w:pPr>
            <w:r w:rsidRPr="00E81769">
              <w:t>167-195</w:t>
            </w:r>
          </w:p>
        </w:tc>
      </w:tr>
      <w:tr w:rsidR="00AD33CD" w:rsidRPr="00420406" w14:paraId="64581642" w14:textId="77777777" w:rsidTr="00B57107">
        <w:tc>
          <w:tcPr>
            <w:tcW w:w="810" w:type="dxa"/>
            <w:shd w:val="clear" w:color="auto" w:fill="D9D9D9" w:themeFill="background1" w:themeFillShade="D9"/>
          </w:tcPr>
          <w:p w14:paraId="5B95CE92" w14:textId="77777777" w:rsidR="00AD33CD" w:rsidRPr="00E81769" w:rsidRDefault="009B774B" w:rsidP="00B57107">
            <w:pPr>
              <w:jc w:val="center"/>
            </w:pPr>
            <w:r>
              <w:t>9</w:t>
            </w:r>
          </w:p>
        </w:tc>
        <w:tc>
          <w:tcPr>
            <w:tcW w:w="6660" w:type="dxa"/>
            <w:shd w:val="clear" w:color="auto" w:fill="D9D9D9" w:themeFill="background1" w:themeFillShade="D9"/>
          </w:tcPr>
          <w:p w14:paraId="1D2299F2" w14:textId="77777777" w:rsidR="00EF1FB2" w:rsidRPr="00E81769" w:rsidRDefault="00AD33CD" w:rsidP="00EF1FB2">
            <w:pPr>
              <w:jc w:val="both"/>
              <w:rPr>
                <w:rFonts w:ascii="Book Antiqua" w:hAnsi="Book Antiqua"/>
              </w:rPr>
            </w:pPr>
            <w:r w:rsidRPr="00E81769">
              <w:rPr>
                <w:i/>
              </w:rPr>
              <w:t xml:space="preserve"> </w:t>
            </w:r>
            <w:r w:rsidR="00EF1FB2" w:rsidRPr="00E81769">
              <w:rPr>
                <w:rFonts w:ascii="Book Antiqua" w:hAnsi="Book Antiqua"/>
              </w:rPr>
              <w:t xml:space="preserve">CHAPTER 4:  CAPITAL TRANSACTIONS, STRUCTURE, AND MARKETS   </w:t>
            </w:r>
          </w:p>
          <w:p w14:paraId="5378A9C3"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capital markets </w:t>
            </w:r>
          </w:p>
          <w:p w14:paraId="5715774E"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securities issuance  </w:t>
            </w:r>
          </w:p>
          <w:p w14:paraId="6D8EC087" w14:textId="77777777" w:rsidR="00EF1FB2" w:rsidRPr="00E81769" w:rsidRDefault="00EF1FB2" w:rsidP="00EF1FB2">
            <w:pPr>
              <w:jc w:val="both"/>
              <w:rPr>
                <w:rFonts w:ascii="Book Antiqua" w:hAnsi="Book Antiqua"/>
              </w:rPr>
            </w:pPr>
          </w:p>
          <w:p w14:paraId="187CE90A"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0B04F0FD"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579DD0E8" w14:textId="77777777" w:rsidR="00AD33CD" w:rsidRPr="00E81769" w:rsidRDefault="00AD33CD" w:rsidP="00B57107"/>
        </w:tc>
        <w:tc>
          <w:tcPr>
            <w:tcW w:w="1890" w:type="dxa"/>
            <w:shd w:val="clear" w:color="auto" w:fill="D9D9D9" w:themeFill="background1" w:themeFillShade="D9"/>
          </w:tcPr>
          <w:p w14:paraId="5C643A8F" w14:textId="77777777" w:rsidR="00AD33CD" w:rsidRPr="00E81769" w:rsidRDefault="00EF1FB2" w:rsidP="00B57107">
            <w:pPr>
              <w:jc w:val="center"/>
            </w:pPr>
            <w:r w:rsidRPr="00E81769">
              <w:t>195-224</w:t>
            </w:r>
          </w:p>
          <w:p w14:paraId="0C275778" w14:textId="77777777" w:rsidR="00EF1FB2" w:rsidRPr="00E81769" w:rsidRDefault="00EF1FB2" w:rsidP="00B57107">
            <w:pPr>
              <w:jc w:val="center"/>
            </w:pPr>
          </w:p>
          <w:p w14:paraId="5C535010" w14:textId="77777777" w:rsidR="00EF1FB2" w:rsidRPr="00E81769" w:rsidRDefault="00EF1FB2" w:rsidP="00B57107">
            <w:pPr>
              <w:jc w:val="center"/>
            </w:pPr>
            <w:r w:rsidRPr="00E81769">
              <w:t>225-229</w:t>
            </w:r>
          </w:p>
          <w:p w14:paraId="03335BDE" w14:textId="77777777" w:rsidR="00AD33CD" w:rsidRPr="00E81769" w:rsidRDefault="00AD33CD" w:rsidP="00B57107">
            <w:pPr>
              <w:jc w:val="center"/>
            </w:pPr>
          </w:p>
        </w:tc>
      </w:tr>
      <w:tr w:rsidR="00AD33CD" w:rsidRPr="00420406" w14:paraId="48C2440C" w14:textId="77777777" w:rsidTr="00B57107">
        <w:tc>
          <w:tcPr>
            <w:tcW w:w="810" w:type="dxa"/>
            <w:shd w:val="clear" w:color="auto" w:fill="FFFFFF" w:themeFill="background1"/>
          </w:tcPr>
          <w:p w14:paraId="225ACE2D" w14:textId="77777777" w:rsidR="00AD33CD" w:rsidRPr="00E81769" w:rsidRDefault="009B774B" w:rsidP="009B774B">
            <w:pPr>
              <w:jc w:val="center"/>
            </w:pPr>
            <w:r>
              <w:t>10</w:t>
            </w:r>
          </w:p>
        </w:tc>
        <w:tc>
          <w:tcPr>
            <w:tcW w:w="6660" w:type="dxa"/>
            <w:shd w:val="clear" w:color="auto" w:fill="FFFFFF" w:themeFill="background1"/>
          </w:tcPr>
          <w:p w14:paraId="10A469EB"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0E80207C"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646AECCB" w14:textId="77777777" w:rsidR="00137AD5" w:rsidRPr="00E81769" w:rsidRDefault="00137AD5" w:rsidP="00EF1FB2">
            <w:pPr>
              <w:pStyle w:val="ListParagraph"/>
              <w:numPr>
                <w:ilvl w:val="0"/>
                <w:numId w:val="2"/>
              </w:numPr>
              <w:jc w:val="both"/>
              <w:rPr>
                <w:rFonts w:ascii="Book Antiqua" w:hAnsi="Book Antiqua"/>
              </w:rPr>
            </w:pPr>
            <w:r w:rsidRPr="00E81769">
              <w:rPr>
                <w:rFonts w:ascii="Book Antiqua" w:hAnsi="Book Antiqua"/>
              </w:rPr>
              <w:t xml:space="preserve">Legal capital </w:t>
            </w:r>
          </w:p>
          <w:p w14:paraId="750B06FA"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Statutory limitations on distributions </w:t>
            </w:r>
          </w:p>
          <w:p w14:paraId="43179FDA" w14:textId="77777777" w:rsidR="00137AD5" w:rsidRPr="00E81769" w:rsidRDefault="00137AD5" w:rsidP="00137AD5">
            <w:pPr>
              <w:pStyle w:val="ListParagraph"/>
              <w:numPr>
                <w:ilvl w:val="0"/>
                <w:numId w:val="34"/>
              </w:numPr>
              <w:jc w:val="both"/>
              <w:rPr>
                <w:rFonts w:ascii="Book Antiqua" w:hAnsi="Book Antiqua"/>
                <w:i/>
              </w:rPr>
            </w:pPr>
            <w:proofErr w:type="spellStart"/>
            <w:r w:rsidRPr="00E81769">
              <w:rPr>
                <w:rFonts w:ascii="Book Antiqua" w:hAnsi="Book Antiqua"/>
                <w:i/>
              </w:rPr>
              <w:t>Klang</w:t>
            </w:r>
            <w:proofErr w:type="spellEnd"/>
            <w:r w:rsidRPr="00E81769">
              <w:rPr>
                <w:rFonts w:ascii="Book Antiqua" w:hAnsi="Book Antiqua"/>
                <w:i/>
              </w:rPr>
              <w:t xml:space="preserve"> v. Smith’s Food &amp; Drug Centers, Inc.</w:t>
            </w:r>
          </w:p>
          <w:p w14:paraId="7C5C51EC"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7CBFC1DE"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Kamin v. American Express Co. </w:t>
            </w:r>
          </w:p>
          <w:p w14:paraId="637D5AA8"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Sinclair Oil Corp. v. </w:t>
            </w:r>
            <w:proofErr w:type="spellStart"/>
            <w:r w:rsidRPr="00E81769">
              <w:rPr>
                <w:rFonts w:ascii="Book Antiqua" w:hAnsi="Book Antiqua"/>
                <w:i/>
              </w:rPr>
              <w:t>Levien</w:t>
            </w:r>
            <w:proofErr w:type="spellEnd"/>
            <w:r w:rsidRPr="00E81769">
              <w:rPr>
                <w:rFonts w:ascii="Book Antiqua" w:hAnsi="Book Antiqua"/>
                <w:i/>
              </w:rPr>
              <w:t xml:space="preserve">  </w:t>
            </w:r>
          </w:p>
          <w:p w14:paraId="5B0BC65B" w14:textId="77777777" w:rsidR="00AD33CD" w:rsidRDefault="00AD33CD" w:rsidP="00B57107"/>
          <w:p w14:paraId="6DC57D67" w14:textId="77777777" w:rsidR="002E128E" w:rsidRPr="002E128E" w:rsidRDefault="000E4E45" w:rsidP="000E4E45">
            <w:pPr>
              <w:ind w:left="360"/>
            </w:pPr>
            <w:r w:rsidRPr="00E81769">
              <w:rPr>
                <w:rFonts w:ascii="Book Antiqua" w:hAnsi="Book Antiqua"/>
                <w:b/>
              </w:rPr>
              <w:t>Note:</w:t>
            </w:r>
            <w:r w:rsidRPr="00E81769">
              <w:rPr>
                <w:rFonts w:ascii="Book Antiqua" w:hAnsi="Book Antiqua"/>
              </w:rPr>
              <w:t xml:space="preserve">  </w:t>
            </w:r>
            <w:r w:rsidR="002E128E">
              <w:t xml:space="preserve">Do not read </w:t>
            </w:r>
            <w:proofErr w:type="gramStart"/>
            <w:r w:rsidR="002E128E" w:rsidRPr="00E81769">
              <w:rPr>
                <w:rFonts w:ascii="Book Antiqua" w:hAnsi="Book Antiqua"/>
                <w:i/>
              </w:rPr>
              <w:t>In</w:t>
            </w:r>
            <w:proofErr w:type="gramEnd"/>
            <w:r w:rsidR="002E128E" w:rsidRPr="00E81769">
              <w:rPr>
                <w:rFonts w:ascii="Book Antiqua" w:hAnsi="Book Antiqua"/>
                <w:i/>
              </w:rPr>
              <w:t xml:space="preserve"> re C-T of Virginia, Inc.</w:t>
            </w:r>
            <w:r w:rsidR="002E128E">
              <w:rPr>
                <w:rFonts w:ascii="Book Antiqua" w:hAnsi="Book Antiqua"/>
              </w:rPr>
              <w:t xml:space="preserve"> and </w:t>
            </w:r>
            <w:r w:rsidR="002E128E" w:rsidRPr="00E81769">
              <w:rPr>
                <w:rFonts w:ascii="Book Antiqua" w:hAnsi="Book Antiqua"/>
                <w:i/>
              </w:rPr>
              <w:t>Matter of Munford, Inc.</w:t>
            </w:r>
            <w:r w:rsidR="002E128E">
              <w:rPr>
                <w:rFonts w:ascii="Book Antiqua" w:hAnsi="Book Antiqua"/>
              </w:rPr>
              <w:t xml:space="preserve"> (skip these cases in the reading) </w:t>
            </w:r>
          </w:p>
          <w:p w14:paraId="4C68CB48" w14:textId="77777777" w:rsidR="002E128E" w:rsidRPr="00E81769" w:rsidRDefault="002E128E" w:rsidP="00B57107"/>
        </w:tc>
        <w:tc>
          <w:tcPr>
            <w:tcW w:w="1890" w:type="dxa"/>
            <w:shd w:val="clear" w:color="auto" w:fill="FFFFFF" w:themeFill="background1"/>
          </w:tcPr>
          <w:p w14:paraId="6B4B7487" w14:textId="77777777" w:rsidR="00AD33CD" w:rsidRPr="00E81769" w:rsidRDefault="00EF1FB2" w:rsidP="00B57107">
            <w:pPr>
              <w:jc w:val="center"/>
            </w:pPr>
            <w:r w:rsidRPr="00E81769">
              <w:t>229-</w:t>
            </w:r>
            <w:r w:rsidR="00137AD5" w:rsidRPr="00E81769">
              <w:t>256</w:t>
            </w:r>
          </w:p>
        </w:tc>
      </w:tr>
      <w:tr w:rsidR="00AD33CD" w:rsidRPr="00420406" w14:paraId="0245D598" w14:textId="77777777" w:rsidTr="00B57107">
        <w:tc>
          <w:tcPr>
            <w:tcW w:w="810" w:type="dxa"/>
          </w:tcPr>
          <w:p w14:paraId="5FB95481" w14:textId="77777777" w:rsidR="00AD33CD" w:rsidRPr="00E81769" w:rsidRDefault="009B774B" w:rsidP="00B57107">
            <w:pPr>
              <w:jc w:val="center"/>
            </w:pPr>
            <w:r>
              <w:t>11</w:t>
            </w:r>
          </w:p>
        </w:tc>
        <w:tc>
          <w:tcPr>
            <w:tcW w:w="6660" w:type="dxa"/>
          </w:tcPr>
          <w:p w14:paraId="63EBB207" w14:textId="77777777" w:rsidR="00137AD5" w:rsidRPr="00E81769" w:rsidRDefault="00137AD5" w:rsidP="00137AD5">
            <w:pPr>
              <w:jc w:val="both"/>
              <w:rPr>
                <w:rFonts w:ascii="Book Antiqua" w:hAnsi="Book Antiqua"/>
              </w:rPr>
            </w:pPr>
            <w:r w:rsidRPr="00E81769">
              <w:rPr>
                <w:rFonts w:ascii="Book Antiqua" w:hAnsi="Book Antiqua"/>
              </w:rPr>
              <w:t xml:space="preserve">CHAPTER 5:  COMMON STOCK   </w:t>
            </w:r>
          </w:p>
          <w:p w14:paraId="64199639"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44A50730"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Gabelli &amp; Co. Profit Sharing Plan v. Liggett Group, Inc. </w:t>
            </w:r>
          </w:p>
          <w:p w14:paraId="0A11874B" w14:textId="77777777" w:rsidR="005F1D8D"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Wertheim Schroder &amp; Co., Inc. v. Avon</w:t>
            </w:r>
          </w:p>
          <w:p w14:paraId="5D800D54"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Nixon v. Blackwell </w:t>
            </w:r>
          </w:p>
          <w:p w14:paraId="148C3B7E"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Kahn v. Roberts </w:t>
            </w:r>
          </w:p>
          <w:p w14:paraId="62D2FA6F" w14:textId="77777777" w:rsidR="0052773E" w:rsidRPr="005B2893" w:rsidRDefault="005F1D8D" w:rsidP="00B57107">
            <w:pPr>
              <w:pStyle w:val="ListParagraph"/>
              <w:numPr>
                <w:ilvl w:val="0"/>
                <w:numId w:val="34"/>
              </w:numPr>
              <w:jc w:val="both"/>
              <w:rPr>
                <w:rFonts w:ascii="Book Antiqua" w:hAnsi="Book Antiqua"/>
                <w:i/>
              </w:rPr>
            </w:pPr>
            <w:r w:rsidRPr="00E81769">
              <w:rPr>
                <w:rFonts w:ascii="Book Antiqua" w:hAnsi="Book Antiqua"/>
                <w:i/>
              </w:rPr>
              <w:t xml:space="preserve">Kahan v. United States Sugar Corp. </w:t>
            </w:r>
            <w:r w:rsidR="00137AD5" w:rsidRPr="00E81769">
              <w:rPr>
                <w:rFonts w:ascii="Book Antiqua" w:hAnsi="Book Antiqua"/>
                <w:i/>
              </w:rPr>
              <w:t xml:space="preserve">  </w:t>
            </w:r>
          </w:p>
          <w:p w14:paraId="52DE4DDD" w14:textId="77777777" w:rsidR="00CA6965" w:rsidRDefault="00CA6965" w:rsidP="0093203E"/>
          <w:p w14:paraId="355DF373" w14:textId="77777777" w:rsidR="00CA6965" w:rsidRDefault="00CA6965" w:rsidP="0093203E"/>
          <w:p w14:paraId="70514649" w14:textId="77777777" w:rsidR="00CA6965" w:rsidRDefault="00CA6965" w:rsidP="0093203E"/>
          <w:p w14:paraId="7902519B" w14:textId="77777777" w:rsidR="00CA6965" w:rsidRDefault="00CA6965" w:rsidP="0093203E"/>
          <w:p w14:paraId="6901A782" w14:textId="77777777" w:rsidR="002E128E" w:rsidRDefault="002E128E" w:rsidP="0093203E"/>
          <w:p w14:paraId="7F841E55" w14:textId="77777777" w:rsidR="002E128E" w:rsidRDefault="002E128E" w:rsidP="0093203E"/>
          <w:p w14:paraId="0A8CA99B" w14:textId="77777777" w:rsidR="00CA6965" w:rsidRPr="00E81769" w:rsidRDefault="00CA6965" w:rsidP="0093203E"/>
        </w:tc>
        <w:tc>
          <w:tcPr>
            <w:tcW w:w="1890" w:type="dxa"/>
          </w:tcPr>
          <w:p w14:paraId="51534333" w14:textId="77777777" w:rsidR="00AD33CD" w:rsidRPr="00E81769" w:rsidRDefault="00137AD5" w:rsidP="00B57107">
            <w:pPr>
              <w:jc w:val="center"/>
            </w:pPr>
            <w:r w:rsidRPr="00E81769">
              <w:t>256-</w:t>
            </w:r>
            <w:r w:rsidR="005F1D8D" w:rsidRPr="00E81769">
              <w:t>286</w:t>
            </w:r>
          </w:p>
        </w:tc>
      </w:tr>
      <w:tr w:rsidR="00AD33CD" w:rsidRPr="00420406" w14:paraId="280C8C09" w14:textId="77777777" w:rsidTr="00B57107">
        <w:tc>
          <w:tcPr>
            <w:tcW w:w="810" w:type="dxa"/>
            <w:shd w:val="clear" w:color="auto" w:fill="D9D9D9" w:themeFill="background1" w:themeFillShade="D9"/>
          </w:tcPr>
          <w:p w14:paraId="4C1FE86F" w14:textId="77777777" w:rsidR="00AD33CD" w:rsidRPr="00E81769" w:rsidRDefault="009B774B" w:rsidP="00B57107">
            <w:pPr>
              <w:jc w:val="center"/>
            </w:pPr>
            <w:r>
              <w:lastRenderedPageBreak/>
              <w:t>12</w:t>
            </w:r>
          </w:p>
        </w:tc>
        <w:tc>
          <w:tcPr>
            <w:tcW w:w="6660" w:type="dxa"/>
            <w:shd w:val="clear" w:color="auto" w:fill="D9D9D9" w:themeFill="background1" w:themeFillShade="D9"/>
          </w:tcPr>
          <w:p w14:paraId="7F24B759" w14:textId="77777777" w:rsidR="002D6951" w:rsidRPr="00E81769" w:rsidRDefault="002D6951" w:rsidP="002D6951">
            <w:pPr>
              <w:jc w:val="both"/>
              <w:rPr>
                <w:rFonts w:ascii="Book Antiqua" w:hAnsi="Book Antiqua"/>
              </w:rPr>
            </w:pPr>
            <w:r w:rsidRPr="00E81769">
              <w:rPr>
                <w:rFonts w:ascii="Book Antiqua" w:hAnsi="Book Antiqua"/>
              </w:rPr>
              <w:t xml:space="preserve">CHAPTER 5:  COMMON STOCK   </w:t>
            </w:r>
          </w:p>
          <w:p w14:paraId="3E9ADE0C" w14:textId="77777777" w:rsidR="002D6951" w:rsidRPr="00E81769" w:rsidRDefault="002D6951" w:rsidP="002D6951">
            <w:pPr>
              <w:pStyle w:val="ListParagraph"/>
              <w:numPr>
                <w:ilvl w:val="0"/>
                <w:numId w:val="2"/>
              </w:numPr>
              <w:jc w:val="both"/>
              <w:rPr>
                <w:rFonts w:ascii="Book Antiqua" w:hAnsi="Book Antiqua"/>
              </w:rPr>
            </w:pPr>
            <w:r w:rsidRPr="00E81769">
              <w:rPr>
                <w:rFonts w:ascii="Book Antiqua" w:hAnsi="Book Antiqua"/>
              </w:rPr>
              <w:t>Fraudulent transfer</w:t>
            </w:r>
          </w:p>
          <w:p w14:paraId="564550FE" w14:textId="77777777" w:rsidR="002D6951" w:rsidRPr="00E81769" w:rsidRDefault="002D6951" w:rsidP="002D6951">
            <w:pPr>
              <w:pStyle w:val="ListParagraph"/>
              <w:numPr>
                <w:ilvl w:val="0"/>
                <w:numId w:val="34"/>
              </w:numPr>
              <w:jc w:val="both"/>
              <w:rPr>
                <w:rFonts w:ascii="Book Antiqua" w:hAnsi="Book Antiqua"/>
                <w:i/>
              </w:rPr>
            </w:pPr>
            <w:proofErr w:type="spellStart"/>
            <w:r w:rsidRPr="00E81769">
              <w:rPr>
                <w:rFonts w:ascii="Book Antiqua" w:hAnsi="Book Antiqua"/>
                <w:i/>
              </w:rPr>
              <w:t>Wieboldt</w:t>
            </w:r>
            <w:proofErr w:type="spellEnd"/>
            <w:r w:rsidRPr="00E81769">
              <w:rPr>
                <w:rFonts w:ascii="Book Antiqua" w:hAnsi="Book Antiqua"/>
                <w:i/>
              </w:rPr>
              <w:t xml:space="preserve"> Stores, Inc. v. Schottenstein</w:t>
            </w:r>
          </w:p>
          <w:p w14:paraId="3C4109EC"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Stock dividends and splits </w:t>
            </w:r>
          </w:p>
          <w:p w14:paraId="262680EC" w14:textId="77777777"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Applebaum v. Avaya, Inc.</w:t>
            </w:r>
          </w:p>
          <w:p w14:paraId="2E2C9D93" w14:textId="77777777" w:rsidR="002D6951" w:rsidRPr="00E81769" w:rsidRDefault="0067297B" w:rsidP="002D6951">
            <w:pPr>
              <w:pStyle w:val="ListParagraph"/>
              <w:numPr>
                <w:ilvl w:val="0"/>
                <w:numId w:val="2"/>
              </w:numPr>
              <w:jc w:val="both"/>
              <w:rPr>
                <w:rFonts w:ascii="Book Antiqua" w:hAnsi="Book Antiqua"/>
                <w:i/>
              </w:rPr>
            </w:pPr>
            <w:r w:rsidRPr="00E81769">
              <w:rPr>
                <w:rFonts w:ascii="Book Antiqua" w:hAnsi="Book Antiqua"/>
              </w:rPr>
              <w:t xml:space="preserve">AIG case study </w:t>
            </w:r>
          </w:p>
          <w:p w14:paraId="00A5E0F4" w14:textId="77777777" w:rsidR="00AD33CD" w:rsidRPr="00E81769" w:rsidRDefault="00AD33CD" w:rsidP="0067297B">
            <w:pPr>
              <w:jc w:val="both"/>
              <w:rPr>
                <w:rFonts w:ascii="Book Antiqua" w:hAnsi="Book Antiqua"/>
              </w:rPr>
            </w:pPr>
          </w:p>
          <w:p w14:paraId="76B3AE3B"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662FF31C"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588E7148" w14:textId="77777777" w:rsidR="0067297B" w:rsidRPr="00E81769" w:rsidRDefault="0067297B" w:rsidP="0067297B">
            <w:pPr>
              <w:jc w:val="both"/>
              <w:rPr>
                <w:rFonts w:ascii="Book Antiqua" w:hAnsi="Book Antiqua"/>
              </w:rPr>
            </w:pPr>
          </w:p>
        </w:tc>
        <w:tc>
          <w:tcPr>
            <w:tcW w:w="1890" w:type="dxa"/>
            <w:shd w:val="clear" w:color="auto" w:fill="D9D9D9" w:themeFill="background1" w:themeFillShade="D9"/>
          </w:tcPr>
          <w:p w14:paraId="6B9CB783" w14:textId="77777777" w:rsidR="00AD33CD" w:rsidRPr="00E81769" w:rsidRDefault="002D6951" w:rsidP="00B57107">
            <w:pPr>
              <w:jc w:val="center"/>
            </w:pPr>
            <w:r w:rsidRPr="00E81769">
              <w:t>286-</w:t>
            </w:r>
            <w:r w:rsidR="0067297B" w:rsidRPr="00E81769">
              <w:t>309</w:t>
            </w:r>
          </w:p>
          <w:p w14:paraId="76390D0E" w14:textId="77777777" w:rsidR="0067297B" w:rsidRPr="00E81769" w:rsidRDefault="0067297B" w:rsidP="00B57107">
            <w:pPr>
              <w:jc w:val="center"/>
            </w:pPr>
          </w:p>
          <w:p w14:paraId="05B6C4A8" w14:textId="77777777" w:rsidR="0067297B" w:rsidRPr="00E81769" w:rsidRDefault="0067297B" w:rsidP="00B57107">
            <w:pPr>
              <w:jc w:val="center"/>
            </w:pPr>
            <w:r w:rsidRPr="00E81769">
              <w:t>311-315</w:t>
            </w:r>
          </w:p>
          <w:p w14:paraId="4FA30A2B" w14:textId="77777777" w:rsidR="00AD33CD" w:rsidRPr="00E81769" w:rsidRDefault="00AD33CD" w:rsidP="00B57107">
            <w:pPr>
              <w:jc w:val="center"/>
            </w:pPr>
          </w:p>
          <w:p w14:paraId="3CC9E2BF" w14:textId="77777777" w:rsidR="00AD33CD" w:rsidRPr="00E81769" w:rsidRDefault="00AD33CD" w:rsidP="00B57107">
            <w:pPr>
              <w:jc w:val="center"/>
            </w:pPr>
          </w:p>
        </w:tc>
      </w:tr>
      <w:tr w:rsidR="00AD33CD" w:rsidRPr="00420406" w14:paraId="20D23EC8" w14:textId="77777777" w:rsidTr="00B57107">
        <w:tc>
          <w:tcPr>
            <w:tcW w:w="810" w:type="dxa"/>
            <w:shd w:val="clear" w:color="auto" w:fill="D9D9D9" w:themeFill="background1" w:themeFillShade="D9"/>
          </w:tcPr>
          <w:p w14:paraId="0464F629" w14:textId="77777777" w:rsidR="00AD33CD" w:rsidRPr="00E81769" w:rsidRDefault="009B774B" w:rsidP="00B57107">
            <w:pPr>
              <w:jc w:val="center"/>
            </w:pPr>
            <w:r>
              <w:t>13</w:t>
            </w:r>
          </w:p>
        </w:tc>
        <w:tc>
          <w:tcPr>
            <w:tcW w:w="6660" w:type="dxa"/>
            <w:shd w:val="clear" w:color="auto" w:fill="D9D9D9" w:themeFill="background1" w:themeFillShade="D9"/>
          </w:tcPr>
          <w:p w14:paraId="304441E9"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45A15844"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59C413A0" w14:textId="77777777"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In the matter of the Appraisal of Ford Holdings, Inc. Preferred Stock</w:t>
            </w:r>
          </w:p>
          <w:p w14:paraId="5231C2AE"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5A067A15"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Guttman v. Illinois Central R. Co.</w:t>
            </w:r>
          </w:p>
          <w:p w14:paraId="45864E8C"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Sunstates</w:t>
            </w:r>
            <w:proofErr w:type="spellEnd"/>
            <w:r w:rsidRPr="00E81769">
              <w:rPr>
                <w:rFonts w:ascii="Book Antiqua" w:hAnsi="Book Antiqua"/>
                <w:i/>
              </w:rPr>
              <w:t xml:space="preserve"> Corp. Shareholders’ Litigation </w:t>
            </w:r>
          </w:p>
          <w:p w14:paraId="4C801F4F"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Goldman v. Postal Telegraph </w:t>
            </w:r>
          </w:p>
          <w:p w14:paraId="6A3DFA5B"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Rothschild International Corp. v. Liggett Group, Inc. </w:t>
            </w:r>
          </w:p>
          <w:p w14:paraId="66BA5B09"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Eisenberg v. Chicago Milwaukee Corp. </w:t>
            </w:r>
          </w:p>
          <w:p w14:paraId="16434A47" w14:textId="77777777" w:rsidR="0067297B"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Rauch v. RCA Corp. </w:t>
            </w:r>
          </w:p>
          <w:p w14:paraId="2E854FC0" w14:textId="77777777" w:rsidR="00AD33CD" w:rsidRPr="00E81769" w:rsidRDefault="00AD33CD" w:rsidP="00B57107"/>
        </w:tc>
        <w:tc>
          <w:tcPr>
            <w:tcW w:w="1890" w:type="dxa"/>
            <w:shd w:val="clear" w:color="auto" w:fill="D9D9D9" w:themeFill="background1" w:themeFillShade="D9"/>
          </w:tcPr>
          <w:p w14:paraId="4B5136F1" w14:textId="77777777" w:rsidR="00AD33CD" w:rsidRPr="00E81769" w:rsidRDefault="0067297B" w:rsidP="00B57107">
            <w:pPr>
              <w:jc w:val="center"/>
            </w:pPr>
            <w:r w:rsidRPr="00E81769">
              <w:t>315-</w:t>
            </w:r>
            <w:r w:rsidR="007241D0" w:rsidRPr="00E81769">
              <w:t>346</w:t>
            </w:r>
          </w:p>
          <w:p w14:paraId="05B58C41" w14:textId="77777777" w:rsidR="00AD33CD" w:rsidRPr="00E81769" w:rsidRDefault="00AD33CD" w:rsidP="00B57107">
            <w:pPr>
              <w:jc w:val="center"/>
            </w:pPr>
          </w:p>
        </w:tc>
      </w:tr>
      <w:tr w:rsidR="00AD33CD" w:rsidRPr="00420406" w14:paraId="7B92F7D7" w14:textId="77777777" w:rsidTr="00B57107">
        <w:tc>
          <w:tcPr>
            <w:tcW w:w="810" w:type="dxa"/>
            <w:shd w:val="clear" w:color="auto" w:fill="FFFFFF" w:themeFill="background1"/>
          </w:tcPr>
          <w:p w14:paraId="3CBF35BB" w14:textId="77777777" w:rsidR="00AD33CD" w:rsidRPr="00E81769" w:rsidRDefault="009B774B" w:rsidP="00B57107">
            <w:pPr>
              <w:jc w:val="center"/>
            </w:pPr>
            <w:r>
              <w:t>14</w:t>
            </w:r>
          </w:p>
        </w:tc>
        <w:tc>
          <w:tcPr>
            <w:tcW w:w="6660" w:type="dxa"/>
            <w:shd w:val="clear" w:color="auto" w:fill="FFFFFF" w:themeFill="background1"/>
          </w:tcPr>
          <w:p w14:paraId="0E7D0DD2" w14:textId="77777777" w:rsidR="007241D0" w:rsidRPr="00E81769" w:rsidRDefault="007241D0" w:rsidP="007241D0">
            <w:pPr>
              <w:jc w:val="both"/>
              <w:rPr>
                <w:rFonts w:ascii="Book Antiqua" w:hAnsi="Book Antiqua"/>
              </w:rPr>
            </w:pPr>
            <w:r w:rsidRPr="00E81769">
              <w:rPr>
                <w:rFonts w:ascii="Book Antiqua" w:hAnsi="Book Antiqua"/>
              </w:rPr>
              <w:t xml:space="preserve">CHAPTER 6:  PREFERRED STOCK   </w:t>
            </w:r>
          </w:p>
          <w:p w14:paraId="6E87DE52"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6D68CFFF"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Bove v. Community Hotel Corp. </w:t>
            </w:r>
          </w:p>
          <w:p w14:paraId="69004C2A"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Gradient OC Master, Ltd. V. NBC Universal, Inc. </w:t>
            </w:r>
          </w:p>
          <w:p w14:paraId="4B76E211"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Baron v. Allied Artists Pictures Corp. </w:t>
            </w:r>
          </w:p>
          <w:p w14:paraId="2ACB74DA"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Warner Communications v. Chris-Craft Industries, Inc. </w:t>
            </w:r>
          </w:p>
          <w:p w14:paraId="5A4E9E65"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Elliott Associates v. </w:t>
            </w:r>
            <w:proofErr w:type="spellStart"/>
            <w:r w:rsidRPr="00E81769">
              <w:rPr>
                <w:rFonts w:ascii="Book Antiqua" w:hAnsi="Book Antiqua"/>
                <w:i/>
              </w:rPr>
              <w:t>Avatex</w:t>
            </w:r>
            <w:proofErr w:type="spellEnd"/>
            <w:r w:rsidRPr="00E81769">
              <w:rPr>
                <w:rFonts w:ascii="Book Antiqua" w:hAnsi="Book Antiqua"/>
                <w:i/>
              </w:rPr>
              <w:t xml:space="preserve"> Corp. </w:t>
            </w:r>
          </w:p>
          <w:p w14:paraId="151F624F" w14:textId="77777777" w:rsidR="00AA0C33" w:rsidRPr="00E81769" w:rsidRDefault="00AA0C33" w:rsidP="00AA0C33">
            <w:pPr>
              <w:ind w:left="360"/>
              <w:jc w:val="both"/>
              <w:rPr>
                <w:rFonts w:ascii="Book Antiqua" w:hAnsi="Book Antiqua"/>
                <w:i/>
              </w:rPr>
            </w:pPr>
          </w:p>
          <w:p w14:paraId="700B2D77" w14:textId="77777777" w:rsidR="00AA0C33" w:rsidRPr="00E81769" w:rsidRDefault="00AA0C33" w:rsidP="00AA0C33">
            <w:pPr>
              <w:ind w:left="360"/>
              <w:jc w:val="both"/>
              <w:rPr>
                <w:rFonts w:ascii="Book Antiqua" w:hAnsi="Book Antiqua"/>
              </w:rPr>
            </w:pPr>
            <w:r w:rsidRPr="00E81769">
              <w:rPr>
                <w:rFonts w:ascii="Book Antiqua" w:hAnsi="Book Antiqua"/>
                <w:b/>
              </w:rPr>
              <w:t>Note:</w:t>
            </w:r>
            <w:r w:rsidRPr="00E81769">
              <w:rPr>
                <w:rFonts w:ascii="Book Antiqua" w:hAnsi="Book Antiqua"/>
              </w:rPr>
              <w:t xml:space="preserve">  Do not read </w:t>
            </w:r>
            <w:proofErr w:type="spellStart"/>
            <w:r w:rsidRPr="00E81769">
              <w:rPr>
                <w:rFonts w:ascii="Book Antiqua" w:hAnsi="Book Antiqua"/>
                <w:i/>
              </w:rPr>
              <w:t>Greenmont</w:t>
            </w:r>
            <w:proofErr w:type="spellEnd"/>
            <w:r w:rsidRPr="00E81769">
              <w:rPr>
                <w:rFonts w:ascii="Book Antiqua" w:hAnsi="Book Antiqua"/>
                <w:i/>
              </w:rPr>
              <w:t xml:space="preserve"> Capital Partners v. Mary’s Gone Crackers</w:t>
            </w:r>
          </w:p>
          <w:p w14:paraId="77DC13FB" w14:textId="77777777" w:rsidR="00AD33CD" w:rsidRPr="00E81769" w:rsidRDefault="00AD33CD" w:rsidP="00B57107"/>
        </w:tc>
        <w:tc>
          <w:tcPr>
            <w:tcW w:w="1890" w:type="dxa"/>
            <w:shd w:val="clear" w:color="auto" w:fill="FFFFFF" w:themeFill="background1"/>
          </w:tcPr>
          <w:p w14:paraId="50F777CC" w14:textId="77777777" w:rsidR="00AD33CD" w:rsidRPr="00E81769" w:rsidRDefault="007241D0" w:rsidP="00B57107">
            <w:pPr>
              <w:jc w:val="center"/>
            </w:pPr>
            <w:r w:rsidRPr="00E81769">
              <w:t>346-</w:t>
            </w:r>
            <w:r w:rsidR="00871688" w:rsidRPr="00E81769">
              <w:t>376</w:t>
            </w:r>
          </w:p>
          <w:p w14:paraId="40BBB170" w14:textId="77777777" w:rsidR="00AD33CD" w:rsidRPr="00E81769" w:rsidRDefault="00AD33CD" w:rsidP="00B57107">
            <w:pPr>
              <w:jc w:val="center"/>
            </w:pPr>
          </w:p>
        </w:tc>
      </w:tr>
      <w:tr w:rsidR="00AD33CD" w:rsidRPr="00420406" w14:paraId="22BF59BA" w14:textId="77777777" w:rsidTr="00B57107">
        <w:tc>
          <w:tcPr>
            <w:tcW w:w="810" w:type="dxa"/>
          </w:tcPr>
          <w:p w14:paraId="503AF15C" w14:textId="77777777" w:rsidR="00AD33CD" w:rsidRPr="00E81769" w:rsidRDefault="009B774B" w:rsidP="00B57107">
            <w:pPr>
              <w:jc w:val="center"/>
            </w:pPr>
            <w:r>
              <w:t>15</w:t>
            </w:r>
          </w:p>
        </w:tc>
        <w:tc>
          <w:tcPr>
            <w:tcW w:w="6660" w:type="dxa"/>
          </w:tcPr>
          <w:p w14:paraId="004A32D0" w14:textId="77777777" w:rsidR="00871688" w:rsidRPr="00E81769" w:rsidRDefault="00871688" w:rsidP="00871688">
            <w:pPr>
              <w:jc w:val="both"/>
              <w:rPr>
                <w:rFonts w:ascii="Book Antiqua" w:hAnsi="Book Antiqua"/>
              </w:rPr>
            </w:pPr>
            <w:r w:rsidRPr="00E81769">
              <w:rPr>
                <w:rFonts w:ascii="Book Antiqua" w:hAnsi="Book Antiqua"/>
              </w:rPr>
              <w:t xml:space="preserve">CHAPTER 6:  PREFERRED STOCK   </w:t>
            </w:r>
          </w:p>
          <w:p w14:paraId="398C079E" w14:textId="77777777" w:rsidR="00F638DB" w:rsidRPr="00E81769" w:rsidRDefault="00F638DB" w:rsidP="00F638DB">
            <w:pPr>
              <w:pStyle w:val="ListParagraph"/>
              <w:numPr>
                <w:ilvl w:val="0"/>
                <w:numId w:val="2"/>
              </w:numPr>
              <w:jc w:val="both"/>
              <w:rPr>
                <w:rFonts w:ascii="Book Antiqua" w:hAnsi="Book Antiqua"/>
              </w:rPr>
            </w:pPr>
            <w:r w:rsidRPr="00E81769">
              <w:rPr>
                <w:rFonts w:ascii="Book Antiqua" w:hAnsi="Book Antiqua"/>
              </w:rPr>
              <w:t xml:space="preserve">Fiduciary duty </w:t>
            </w:r>
          </w:p>
          <w:p w14:paraId="4C0CF8C3" w14:textId="77777777" w:rsidR="00871688"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Dalton v. American Investment Co. </w:t>
            </w:r>
          </w:p>
          <w:p w14:paraId="28B03A31" w14:textId="77777777" w:rsidR="00F638DB" w:rsidRPr="00E81769" w:rsidRDefault="00F638DB" w:rsidP="00F638DB">
            <w:pPr>
              <w:pStyle w:val="ListParagraph"/>
              <w:numPr>
                <w:ilvl w:val="0"/>
                <w:numId w:val="34"/>
              </w:numPr>
              <w:jc w:val="both"/>
              <w:rPr>
                <w:rFonts w:ascii="Book Antiqua" w:hAnsi="Book Antiqua"/>
                <w:i/>
              </w:rPr>
            </w:pPr>
            <w:proofErr w:type="spellStart"/>
            <w:r w:rsidRPr="00E81769">
              <w:rPr>
                <w:rFonts w:ascii="Book Antiqua" w:hAnsi="Book Antiqua"/>
                <w:i/>
              </w:rPr>
              <w:t>Jebwab</w:t>
            </w:r>
            <w:proofErr w:type="spellEnd"/>
            <w:r w:rsidRPr="00E81769">
              <w:rPr>
                <w:rFonts w:ascii="Book Antiqua" w:hAnsi="Book Antiqua"/>
                <w:i/>
              </w:rPr>
              <w:t xml:space="preserve"> v. MGM Grand Hotels, Inc. </w:t>
            </w:r>
          </w:p>
          <w:p w14:paraId="0BB52C1E" w14:textId="77777777"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In re FLS Holdings Inc. Shareholder Litigation </w:t>
            </w:r>
          </w:p>
          <w:p w14:paraId="406A24DC" w14:textId="77777777"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14:paraId="4314DAF9" w14:textId="77777777" w:rsidR="00AD33CD" w:rsidRPr="00E81769" w:rsidRDefault="00AD33CD" w:rsidP="00B57107"/>
        </w:tc>
        <w:tc>
          <w:tcPr>
            <w:tcW w:w="1890" w:type="dxa"/>
          </w:tcPr>
          <w:p w14:paraId="12214E23" w14:textId="77777777" w:rsidR="00AD33CD" w:rsidRPr="00E81769" w:rsidRDefault="00D83505" w:rsidP="00871688">
            <w:pPr>
              <w:jc w:val="center"/>
            </w:pPr>
            <w:r w:rsidRPr="00E81769">
              <w:t>382</w:t>
            </w:r>
            <w:r w:rsidR="00871688" w:rsidRPr="00E81769">
              <w:t>-</w:t>
            </w:r>
            <w:r w:rsidR="00DF56B9" w:rsidRPr="00E81769">
              <w:t>407</w:t>
            </w:r>
          </w:p>
        </w:tc>
      </w:tr>
      <w:tr w:rsidR="00AD33CD" w:rsidRPr="00420406" w14:paraId="73B10384" w14:textId="77777777" w:rsidTr="00B57107">
        <w:tc>
          <w:tcPr>
            <w:tcW w:w="810" w:type="dxa"/>
            <w:shd w:val="clear" w:color="auto" w:fill="D9D9D9" w:themeFill="background1" w:themeFillShade="D9"/>
          </w:tcPr>
          <w:p w14:paraId="21E1F336" w14:textId="77777777" w:rsidR="00AD33CD" w:rsidRPr="00E81769" w:rsidRDefault="009B774B" w:rsidP="00B57107">
            <w:pPr>
              <w:jc w:val="center"/>
            </w:pPr>
            <w:r>
              <w:t>16</w:t>
            </w:r>
          </w:p>
        </w:tc>
        <w:tc>
          <w:tcPr>
            <w:tcW w:w="6660" w:type="dxa"/>
            <w:shd w:val="clear" w:color="auto" w:fill="D9D9D9" w:themeFill="background1" w:themeFillShade="D9"/>
          </w:tcPr>
          <w:p w14:paraId="743C32C2" w14:textId="77777777"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14:paraId="44743C01" w14:textId="77777777"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Fiduciary duty </w:t>
            </w:r>
          </w:p>
          <w:p w14:paraId="3A2ED232" w14:textId="77777777" w:rsidR="00DF56B9" w:rsidRPr="00E81769" w:rsidRDefault="00DF56B9" w:rsidP="00DF56B9">
            <w:pPr>
              <w:pStyle w:val="ListParagraph"/>
              <w:numPr>
                <w:ilvl w:val="0"/>
                <w:numId w:val="34"/>
              </w:numPr>
              <w:jc w:val="both"/>
              <w:rPr>
                <w:rFonts w:ascii="Book Antiqua" w:hAnsi="Book Antiqua"/>
                <w:i/>
              </w:rPr>
            </w:pPr>
            <w:proofErr w:type="spellStart"/>
            <w:r w:rsidRPr="00E81769">
              <w:rPr>
                <w:rFonts w:ascii="Book Antiqua" w:hAnsi="Book Antiqua"/>
                <w:i/>
              </w:rPr>
              <w:t>Orban</w:t>
            </w:r>
            <w:proofErr w:type="spellEnd"/>
            <w:r w:rsidRPr="00E81769">
              <w:rPr>
                <w:rFonts w:ascii="Book Antiqua" w:hAnsi="Book Antiqua"/>
                <w:i/>
              </w:rPr>
              <w:t xml:space="preserve"> v. Field </w:t>
            </w:r>
          </w:p>
          <w:p w14:paraId="3142AE38" w14:textId="77777777"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Equity-Linked Investors, L.P. v. Adams </w:t>
            </w:r>
          </w:p>
          <w:p w14:paraId="66225CF4" w14:textId="77777777"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In re Trados, Inc. Shareholder Litigation </w:t>
            </w:r>
          </w:p>
          <w:p w14:paraId="4F54E8D6" w14:textId="77777777" w:rsidR="00AD33CD" w:rsidRPr="00E81769" w:rsidRDefault="00DF56B9" w:rsidP="00B57107">
            <w:pPr>
              <w:pStyle w:val="ListParagraph"/>
              <w:numPr>
                <w:ilvl w:val="0"/>
                <w:numId w:val="34"/>
              </w:numPr>
              <w:jc w:val="both"/>
              <w:rPr>
                <w:rFonts w:ascii="Book Antiqua" w:hAnsi="Book Antiqua"/>
                <w:i/>
              </w:rPr>
            </w:pPr>
            <w:r w:rsidRPr="00E81769">
              <w:rPr>
                <w:rFonts w:ascii="Book Antiqua" w:hAnsi="Book Antiqua"/>
                <w:i/>
              </w:rPr>
              <w:t xml:space="preserve">LC Capital Master Fund, Ltd. V. James </w:t>
            </w:r>
          </w:p>
          <w:p w14:paraId="07753EAD" w14:textId="77777777" w:rsidR="0052773E" w:rsidRPr="00E81769" w:rsidRDefault="0052773E" w:rsidP="00B57107"/>
          <w:p w14:paraId="37F219A9" w14:textId="77777777" w:rsidR="0052773E" w:rsidRPr="00E81769" w:rsidRDefault="0052773E" w:rsidP="00B57107"/>
        </w:tc>
        <w:tc>
          <w:tcPr>
            <w:tcW w:w="1890" w:type="dxa"/>
            <w:shd w:val="clear" w:color="auto" w:fill="D9D9D9" w:themeFill="background1" w:themeFillShade="D9"/>
          </w:tcPr>
          <w:p w14:paraId="5DCF45AE" w14:textId="77777777" w:rsidR="00AD33CD" w:rsidRPr="00E81769" w:rsidRDefault="00DF56B9" w:rsidP="00B57107">
            <w:pPr>
              <w:pStyle w:val="ListParagraph"/>
              <w:ind w:left="0"/>
              <w:jc w:val="center"/>
            </w:pPr>
            <w:r w:rsidRPr="00E81769">
              <w:t>407-446</w:t>
            </w:r>
          </w:p>
        </w:tc>
      </w:tr>
      <w:tr w:rsidR="00AD33CD" w:rsidRPr="00420406" w14:paraId="08EF0822" w14:textId="77777777" w:rsidTr="00B57107">
        <w:tc>
          <w:tcPr>
            <w:tcW w:w="810" w:type="dxa"/>
            <w:shd w:val="clear" w:color="auto" w:fill="D9D9D9" w:themeFill="background1" w:themeFillShade="D9"/>
          </w:tcPr>
          <w:p w14:paraId="68E0E0F4" w14:textId="77777777" w:rsidR="00AD33CD" w:rsidRPr="00E81769" w:rsidRDefault="009B774B" w:rsidP="00B57107">
            <w:pPr>
              <w:jc w:val="center"/>
            </w:pPr>
            <w:r>
              <w:lastRenderedPageBreak/>
              <w:t>17</w:t>
            </w:r>
          </w:p>
        </w:tc>
        <w:tc>
          <w:tcPr>
            <w:tcW w:w="6660" w:type="dxa"/>
            <w:shd w:val="clear" w:color="auto" w:fill="D9D9D9" w:themeFill="background1" w:themeFillShade="D9"/>
          </w:tcPr>
          <w:p w14:paraId="1622D02D" w14:textId="77777777"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14:paraId="50991887" w14:textId="77777777"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Goldman Sachs case study  </w:t>
            </w:r>
          </w:p>
          <w:p w14:paraId="1C4EC624" w14:textId="77777777" w:rsidR="00AD33CD" w:rsidRPr="00E81769" w:rsidRDefault="00AD33CD" w:rsidP="00B57107"/>
          <w:p w14:paraId="1514176A" w14:textId="77777777" w:rsidR="00DF56B9" w:rsidRPr="00E81769" w:rsidRDefault="00DF56B9" w:rsidP="00DF56B9">
            <w:pPr>
              <w:jc w:val="both"/>
              <w:rPr>
                <w:rFonts w:ascii="Book Antiqua" w:hAnsi="Book Antiqua"/>
              </w:rPr>
            </w:pPr>
            <w:r w:rsidRPr="00E81769">
              <w:rPr>
                <w:rFonts w:ascii="Book Antiqua" w:hAnsi="Book Antiqua"/>
              </w:rPr>
              <w:t xml:space="preserve">CHAPTER 7:  DEBT INSTRUMENTS    </w:t>
            </w:r>
          </w:p>
          <w:p w14:paraId="3ED30A29" w14:textId="77777777" w:rsidR="004301E1" w:rsidRPr="00E81769" w:rsidRDefault="00DF56B9" w:rsidP="004301E1">
            <w:pPr>
              <w:pStyle w:val="ListParagraph"/>
              <w:numPr>
                <w:ilvl w:val="0"/>
                <w:numId w:val="2"/>
              </w:numPr>
              <w:jc w:val="both"/>
              <w:rPr>
                <w:rFonts w:ascii="Book Antiqua" w:hAnsi="Book Antiqua"/>
              </w:rPr>
            </w:pPr>
            <w:r w:rsidRPr="00E81769">
              <w:rPr>
                <w:rFonts w:ascii="Book Antiqua" w:hAnsi="Book Antiqua"/>
              </w:rPr>
              <w:t xml:space="preserve">Debt financing   </w:t>
            </w:r>
          </w:p>
          <w:p w14:paraId="413999C4" w14:textId="77777777" w:rsidR="004301E1"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Eliasen</w:t>
            </w:r>
            <w:proofErr w:type="spellEnd"/>
            <w:r w:rsidRPr="00E81769">
              <w:rPr>
                <w:rFonts w:ascii="Book Antiqua" w:hAnsi="Book Antiqua"/>
                <w:i/>
              </w:rPr>
              <w:t xml:space="preserve"> v. </w:t>
            </w:r>
            <w:proofErr w:type="spellStart"/>
            <w:r w:rsidRPr="00E81769">
              <w:rPr>
                <w:rFonts w:ascii="Book Antiqua" w:hAnsi="Book Antiqua"/>
                <w:i/>
              </w:rPr>
              <w:t>Itel</w:t>
            </w:r>
            <w:proofErr w:type="spellEnd"/>
            <w:r w:rsidRPr="00E81769">
              <w:rPr>
                <w:rFonts w:ascii="Book Antiqua" w:hAnsi="Book Antiqua"/>
                <w:i/>
              </w:rPr>
              <w:t xml:space="preserve"> Corp.</w:t>
            </w:r>
          </w:p>
          <w:p w14:paraId="59CCC9FF" w14:textId="77777777"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Cred</w:t>
            </w:r>
            <w:r w:rsidR="00201147" w:rsidRPr="00E81769">
              <w:rPr>
                <w:rFonts w:ascii="Book Antiqua" w:hAnsi="Book Antiqua"/>
                <w:i/>
              </w:rPr>
              <w:t>it Lyonnais Bank Nederland</w:t>
            </w:r>
            <w:r w:rsidRPr="00E81769">
              <w:rPr>
                <w:rFonts w:ascii="Book Antiqua" w:hAnsi="Book Antiqua"/>
                <w:i/>
              </w:rPr>
              <w:t xml:space="preserve"> v. </w:t>
            </w:r>
            <w:proofErr w:type="spellStart"/>
            <w:r w:rsidRPr="00E81769">
              <w:rPr>
                <w:rFonts w:ascii="Book Antiqua" w:hAnsi="Book Antiqua"/>
                <w:i/>
              </w:rPr>
              <w:t>Pathe</w:t>
            </w:r>
            <w:proofErr w:type="spellEnd"/>
            <w:r w:rsidRPr="00E81769">
              <w:rPr>
                <w:rFonts w:ascii="Book Antiqua" w:hAnsi="Book Antiqua"/>
                <w:i/>
              </w:rPr>
              <w:t xml:space="preserve"> Comm’n Corp. </w:t>
            </w:r>
          </w:p>
          <w:p w14:paraId="206E14A7" w14:textId="77777777"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3A1B1C6A" w14:textId="77777777"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3D1DEEDE" w14:textId="77777777" w:rsidR="00DF56B9"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406184C1" w14:textId="77777777" w:rsidR="00DF56B9" w:rsidRPr="00E81769" w:rsidRDefault="00DF56B9" w:rsidP="00B57107"/>
        </w:tc>
        <w:tc>
          <w:tcPr>
            <w:tcW w:w="1890" w:type="dxa"/>
            <w:shd w:val="clear" w:color="auto" w:fill="D9D9D9" w:themeFill="background1" w:themeFillShade="D9"/>
          </w:tcPr>
          <w:p w14:paraId="782EAC3D" w14:textId="77777777" w:rsidR="00AD33CD" w:rsidRPr="00E81769" w:rsidRDefault="00DF56B9" w:rsidP="00B57107">
            <w:pPr>
              <w:jc w:val="center"/>
            </w:pPr>
            <w:r w:rsidRPr="00E81769">
              <w:t>447-462</w:t>
            </w:r>
          </w:p>
          <w:p w14:paraId="31928EFB" w14:textId="77777777" w:rsidR="00DF56B9" w:rsidRPr="00E81769" w:rsidRDefault="00DF56B9" w:rsidP="00B57107">
            <w:pPr>
              <w:jc w:val="center"/>
            </w:pPr>
          </w:p>
          <w:p w14:paraId="5E83FF89" w14:textId="77777777" w:rsidR="00DF56B9" w:rsidRPr="00E81769" w:rsidRDefault="00DF56B9" w:rsidP="00B57107">
            <w:pPr>
              <w:jc w:val="center"/>
            </w:pPr>
            <w:r w:rsidRPr="00E81769">
              <w:t>463-</w:t>
            </w:r>
            <w:r w:rsidR="004301E1" w:rsidRPr="00E81769">
              <w:t>486</w:t>
            </w:r>
          </w:p>
        </w:tc>
      </w:tr>
      <w:tr w:rsidR="00AD33CD" w:rsidRPr="00420406" w14:paraId="623CA152" w14:textId="77777777" w:rsidTr="00B57107">
        <w:tc>
          <w:tcPr>
            <w:tcW w:w="810" w:type="dxa"/>
            <w:shd w:val="clear" w:color="auto" w:fill="FFFFFF" w:themeFill="background1"/>
          </w:tcPr>
          <w:p w14:paraId="5517C044" w14:textId="77777777" w:rsidR="00AD33CD" w:rsidRPr="00E81769" w:rsidRDefault="009B774B" w:rsidP="00B57107">
            <w:pPr>
              <w:jc w:val="center"/>
            </w:pPr>
            <w:r>
              <w:t>18</w:t>
            </w:r>
          </w:p>
        </w:tc>
        <w:tc>
          <w:tcPr>
            <w:tcW w:w="6660" w:type="dxa"/>
            <w:shd w:val="clear" w:color="auto" w:fill="FFFFFF" w:themeFill="background1"/>
          </w:tcPr>
          <w:p w14:paraId="0B37C839" w14:textId="77777777" w:rsidR="004301E1" w:rsidRPr="00E81769" w:rsidRDefault="004301E1" w:rsidP="004301E1">
            <w:pPr>
              <w:jc w:val="both"/>
              <w:rPr>
                <w:rFonts w:ascii="Book Antiqua" w:hAnsi="Book Antiqua"/>
              </w:rPr>
            </w:pPr>
            <w:r w:rsidRPr="00E81769">
              <w:rPr>
                <w:rFonts w:ascii="Book Antiqua" w:hAnsi="Book Antiqua"/>
              </w:rPr>
              <w:t xml:space="preserve">CHAPTER 7:  DEBT INSTRUMENTS    </w:t>
            </w:r>
          </w:p>
          <w:p w14:paraId="7608EC2D" w14:textId="77777777"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4F596066" w14:textId="77777777" w:rsidR="004301E1"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Elliott Associates v. J. Henry Schroder Bank &amp; Trust Co.</w:t>
            </w:r>
          </w:p>
          <w:p w14:paraId="32D4122E" w14:textId="77777777" w:rsidR="00F67952" w:rsidRPr="00E81769" w:rsidRDefault="00F67952" w:rsidP="00F67952">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0CCA427C"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LNC Investments, Inc. v. First Fidelity Bank, N.A. </w:t>
            </w:r>
          </w:p>
          <w:p w14:paraId="4665455F"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UnitedHealth Group, Inc. v. Wilmington Trust Co. </w:t>
            </w:r>
          </w:p>
          <w:p w14:paraId="36231B70" w14:textId="77777777" w:rsidR="00F67952" w:rsidRPr="00E81769" w:rsidRDefault="00F67952" w:rsidP="004301E1">
            <w:pPr>
              <w:pStyle w:val="ListParagraph"/>
              <w:numPr>
                <w:ilvl w:val="0"/>
                <w:numId w:val="34"/>
              </w:numPr>
              <w:jc w:val="both"/>
              <w:rPr>
                <w:rFonts w:ascii="Book Antiqua" w:hAnsi="Book Antiqua"/>
                <w:i/>
              </w:rPr>
            </w:pPr>
            <w:proofErr w:type="spellStart"/>
            <w:r w:rsidRPr="00E81769">
              <w:rPr>
                <w:rFonts w:ascii="Book Antiqua" w:hAnsi="Book Antiqua"/>
                <w:i/>
              </w:rPr>
              <w:t>Birn</w:t>
            </w:r>
            <w:proofErr w:type="spellEnd"/>
            <w:r w:rsidRPr="00E81769">
              <w:rPr>
                <w:rFonts w:ascii="Book Antiqua" w:hAnsi="Book Antiqua"/>
                <w:i/>
              </w:rPr>
              <w:t xml:space="preserve"> v. Childs Co. </w:t>
            </w:r>
          </w:p>
          <w:p w14:paraId="7BE06DED"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Rabinowitz v. Kaiser-Frazer Corp. </w:t>
            </w:r>
          </w:p>
          <w:p w14:paraId="6BE61FEC" w14:textId="77777777" w:rsidR="00AD33CD" w:rsidRPr="00E81769" w:rsidRDefault="00AD33CD" w:rsidP="00B57107">
            <w:pPr>
              <w:jc w:val="both"/>
            </w:pPr>
          </w:p>
        </w:tc>
        <w:tc>
          <w:tcPr>
            <w:tcW w:w="1890" w:type="dxa"/>
            <w:shd w:val="clear" w:color="auto" w:fill="FFFFFF" w:themeFill="background1"/>
          </w:tcPr>
          <w:p w14:paraId="76638044" w14:textId="77777777" w:rsidR="00AD33CD" w:rsidRPr="00E81769" w:rsidRDefault="004301E1" w:rsidP="00B57107">
            <w:pPr>
              <w:pStyle w:val="ListParagraph"/>
              <w:ind w:left="0"/>
              <w:jc w:val="center"/>
            </w:pPr>
            <w:r w:rsidRPr="00E81769">
              <w:t>486-</w:t>
            </w:r>
            <w:r w:rsidR="00F67952" w:rsidRPr="00E81769">
              <w:t>515</w:t>
            </w:r>
          </w:p>
        </w:tc>
      </w:tr>
      <w:tr w:rsidR="00AD33CD" w:rsidRPr="00420406" w14:paraId="6F578D30" w14:textId="77777777" w:rsidTr="00B57107">
        <w:tc>
          <w:tcPr>
            <w:tcW w:w="810" w:type="dxa"/>
            <w:shd w:val="clear" w:color="auto" w:fill="auto"/>
          </w:tcPr>
          <w:p w14:paraId="4B05A0ED" w14:textId="77777777" w:rsidR="00AD33CD" w:rsidRPr="00E81769" w:rsidRDefault="009B774B" w:rsidP="00B57107">
            <w:pPr>
              <w:jc w:val="center"/>
            </w:pPr>
            <w:r>
              <w:t>19</w:t>
            </w:r>
          </w:p>
        </w:tc>
        <w:tc>
          <w:tcPr>
            <w:tcW w:w="6660" w:type="dxa"/>
            <w:shd w:val="clear" w:color="auto" w:fill="auto"/>
          </w:tcPr>
          <w:p w14:paraId="31FB91A5" w14:textId="77777777" w:rsidR="00F67952" w:rsidRPr="00E81769" w:rsidRDefault="00F67952" w:rsidP="00F67952">
            <w:pPr>
              <w:jc w:val="both"/>
              <w:rPr>
                <w:rFonts w:ascii="Book Antiqua" w:hAnsi="Book Antiqua"/>
              </w:rPr>
            </w:pPr>
            <w:r w:rsidRPr="00E81769">
              <w:rPr>
                <w:rFonts w:ascii="Book Antiqua" w:hAnsi="Book Antiqua"/>
              </w:rPr>
              <w:t xml:space="preserve">CHAPTER 7:  DEBT INSTRUMENTS    </w:t>
            </w:r>
          </w:p>
          <w:p w14:paraId="1B0F2FD9" w14:textId="77777777" w:rsidR="00F67952" w:rsidRPr="00E81769" w:rsidRDefault="00F67952" w:rsidP="00F67952">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30AB678F" w14:textId="77777777" w:rsidR="00F67952"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Morgan Stanley &amp; Co. v. Archer Daniels Midlands Co.</w:t>
            </w:r>
          </w:p>
          <w:p w14:paraId="3AB0969E"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Sharon Steel Corp. v. Chase Manhattan Bank, N.A. </w:t>
            </w:r>
          </w:p>
          <w:p w14:paraId="238EF1AF"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Bank of</w:t>
            </w:r>
            <w:r w:rsidR="00201147" w:rsidRPr="00E81769">
              <w:rPr>
                <w:rFonts w:ascii="Book Antiqua" w:hAnsi="Book Antiqua"/>
                <w:i/>
              </w:rPr>
              <w:t xml:space="preserve"> New York Mellon Trust</w:t>
            </w:r>
            <w:r w:rsidRPr="00E81769">
              <w:rPr>
                <w:rFonts w:ascii="Book Antiqua" w:hAnsi="Book Antiqua"/>
                <w:i/>
              </w:rPr>
              <w:t xml:space="preserve"> v. Liberty Media Corp. </w:t>
            </w:r>
          </w:p>
          <w:p w14:paraId="3DDA8896"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Envirodyne</w:t>
            </w:r>
            <w:proofErr w:type="spellEnd"/>
            <w:r w:rsidRPr="00E81769">
              <w:rPr>
                <w:rFonts w:ascii="Book Antiqua" w:hAnsi="Book Antiqua"/>
                <w:i/>
              </w:rPr>
              <w:t xml:space="preserve"> Industries, Inc. </w:t>
            </w:r>
          </w:p>
          <w:p w14:paraId="03B6BD4F" w14:textId="77777777" w:rsidR="00AD33CD" w:rsidRPr="00E81769" w:rsidRDefault="00AD33CD" w:rsidP="00B57107"/>
        </w:tc>
        <w:tc>
          <w:tcPr>
            <w:tcW w:w="1890" w:type="dxa"/>
            <w:shd w:val="clear" w:color="auto" w:fill="auto"/>
          </w:tcPr>
          <w:p w14:paraId="148938DF" w14:textId="77777777" w:rsidR="00AD33CD" w:rsidRPr="00E81769" w:rsidRDefault="008F0309" w:rsidP="00B57107">
            <w:pPr>
              <w:jc w:val="center"/>
            </w:pPr>
            <w:r w:rsidRPr="00E81769">
              <w:t>515-544</w:t>
            </w:r>
          </w:p>
        </w:tc>
      </w:tr>
      <w:tr w:rsidR="00AD33CD" w:rsidRPr="00420406" w14:paraId="4A3076F8" w14:textId="77777777" w:rsidTr="00B57107">
        <w:tc>
          <w:tcPr>
            <w:tcW w:w="810" w:type="dxa"/>
            <w:shd w:val="clear" w:color="auto" w:fill="D9D9D9" w:themeFill="background1" w:themeFillShade="D9"/>
          </w:tcPr>
          <w:p w14:paraId="0CD063E6" w14:textId="77777777" w:rsidR="00AD33CD" w:rsidRPr="00E81769" w:rsidRDefault="009B774B" w:rsidP="00B57107">
            <w:pPr>
              <w:jc w:val="center"/>
            </w:pPr>
            <w:r>
              <w:t>20</w:t>
            </w:r>
          </w:p>
        </w:tc>
        <w:tc>
          <w:tcPr>
            <w:tcW w:w="6660" w:type="dxa"/>
            <w:shd w:val="clear" w:color="auto" w:fill="D9D9D9" w:themeFill="background1" w:themeFillShade="D9"/>
          </w:tcPr>
          <w:p w14:paraId="319532F7" w14:textId="77777777" w:rsidR="008F0309" w:rsidRPr="00E81769" w:rsidRDefault="008F0309" w:rsidP="008F0309">
            <w:pPr>
              <w:jc w:val="both"/>
              <w:rPr>
                <w:rFonts w:ascii="Book Antiqua" w:hAnsi="Book Antiqua"/>
              </w:rPr>
            </w:pPr>
            <w:r w:rsidRPr="00E81769">
              <w:rPr>
                <w:rFonts w:ascii="Book Antiqua" w:hAnsi="Book Antiqua"/>
              </w:rPr>
              <w:t xml:space="preserve">CHAPTER 7:  DEBT INSTRUMENTS    </w:t>
            </w:r>
          </w:p>
          <w:p w14:paraId="43D1015A" w14:textId="77777777"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442DA872"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Metropolitan Life Insurance Co. v. RJR Nabisco, Inc. </w:t>
            </w:r>
          </w:p>
          <w:p w14:paraId="26A3F395" w14:textId="77777777"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Rights of creditors </w:t>
            </w:r>
          </w:p>
          <w:p w14:paraId="7AC4709E"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Katz v. Oak Industries, Inc. </w:t>
            </w:r>
          </w:p>
          <w:p w14:paraId="5D216744"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Simons v. Cogan </w:t>
            </w:r>
          </w:p>
          <w:p w14:paraId="65837DEF" w14:textId="77777777" w:rsidR="00D47C38"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N. Am. Catholic </w:t>
            </w:r>
            <w:r w:rsidR="00201147" w:rsidRPr="00E81769">
              <w:rPr>
                <w:rFonts w:ascii="Book Antiqua" w:hAnsi="Book Antiqua"/>
                <w:i/>
              </w:rPr>
              <w:t>Educ. Programming Found.</w:t>
            </w:r>
            <w:r w:rsidRPr="00E81769">
              <w:rPr>
                <w:rFonts w:ascii="Book Antiqua" w:hAnsi="Book Antiqua"/>
                <w:i/>
              </w:rPr>
              <w:t xml:space="preserve"> v. </w:t>
            </w:r>
            <w:proofErr w:type="spellStart"/>
            <w:r w:rsidRPr="00E81769">
              <w:rPr>
                <w:rFonts w:ascii="Book Antiqua" w:hAnsi="Book Antiqua"/>
                <w:i/>
              </w:rPr>
              <w:t>Gheewalla</w:t>
            </w:r>
            <w:proofErr w:type="spellEnd"/>
            <w:r w:rsidRPr="00E81769">
              <w:rPr>
                <w:rFonts w:ascii="Book Antiqua" w:hAnsi="Book Antiqua"/>
                <w:i/>
              </w:rPr>
              <w:t xml:space="preserve"> </w:t>
            </w:r>
          </w:p>
          <w:p w14:paraId="008318B0" w14:textId="77777777" w:rsidR="008F0309" w:rsidRPr="00E81769" w:rsidRDefault="00D47C38" w:rsidP="00D47C38">
            <w:pPr>
              <w:pStyle w:val="ListParagraph"/>
              <w:numPr>
                <w:ilvl w:val="0"/>
                <w:numId w:val="34"/>
              </w:numPr>
              <w:jc w:val="both"/>
              <w:rPr>
                <w:rFonts w:ascii="Book Antiqua" w:hAnsi="Book Antiqua"/>
                <w:i/>
              </w:rPr>
            </w:pPr>
            <w:r w:rsidRPr="00E81769">
              <w:rPr>
                <w:rFonts w:ascii="Book Antiqua" w:hAnsi="Book Antiqua"/>
                <w:i/>
              </w:rPr>
              <w:t xml:space="preserve">Blackmore Partners, L.P. v. Link Energy LLC </w:t>
            </w:r>
            <w:r w:rsidR="008F0309" w:rsidRPr="00E81769">
              <w:rPr>
                <w:rFonts w:ascii="Book Antiqua" w:hAnsi="Book Antiqua"/>
                <w:i/>
              </w:rPr>
              <w:t xml:space="preserve"> </w:t>
            </w:r>
          </w:p>
          <w:p w14:paraId="4056C9C4" w14:textId="77777777" w:rsidR="00AD33CD" w:rsidRPr="00E81769" w:rsidRDefault="00AD33CD" w:rsidP="00B57107"/>
        </w:tc>
        <w:tc>
          <w:tcPr>
            <w:tcW w:w="1890" w:type="dxa"/>
            <w:shd w:val="clear" w:color="auto" w:fill="D9D9D9" w:themeFill="background1" w:themeFillShade="D9"/>
          </w:tcPr>
          <w:p w14:paraId="5C873606" w14:textId="77777777" w:rsidR="00AD33CD" w:rsidRPr="00E81769" w:rsidRDefault="008F0309" w:rsidP="00B57107">
            <w:pPr>
              <w:jc w:val="center"/>
            </w:pPr>
            <w:r w:rsidRPr="00E81769">
              <w:t>545-</w:t>
            </w:r>
            <w:r w:rsidR="00D47C38" w:rsidRPr="00E81769">
              <w:t>571</w:t>
            </w:r>
          </w:p>
        </w:tc>
      </w:tr>
      <w:tr w:rsidR="00AD33CD" w:rsidRPr="00420406" w14:paraId="1724FD3F" w14:textId="77777777" w:rsidTr="00B57107">
        <w:tc>
          <w:tcPr>
            <w:tcW w:w="810" w:type="dxa"/>
            <w:shd w:val="clear" w:color="auto" w:fill="D9D9D9" w:themeFill="background1" w:themeFillShade="D9"/>
          </w:tcPr>
          <w:p w14:paraId="4050EC6C" w14:textId="77777777" w:rsidR="00AD33CD" w:rsidRPr="00E81769" w:rsidRDefault="009B774B" w:rsidP="00B57107">
            <w:pPr>
              <w:jc w:val="center"/>
            </w:pPr>
            <w:r>
              <w:t>21</w:t>
            </w:r>
          </w:p>
        </w:tc>
        <w:tc>
          <w:tcPr>
            <w:tcW w:w="6660" w:type="dxa"/>
            <w:shd w:val="clear" w:color="auto" w:fill="D9D9D9" w:themeFill="background1" w:themeFillShade="D9"/>
          </w:tcPr>
          <w:p w14:paraId="7B8ACD63" w14:textId="77777777" w:rsidR="00D47C38" w:rsidRPr="00E81769" w:rsidRDefault="00D47C38" w:rsidP="00D47C38">
            <w:pPr>
              <w:jc w:val="both"/>
              <w:rPr>
                <w:rFonts w:ascii="Book Antiqua" w:hAnsi="Book Antiqua"/>
              </w:rPr>
            </w:pPr>
            <w:r w:rsidRPr="00E81769">
              <w:rPr>
                <w:rFonts w:ascii="Book Antiqua" w:hAnsi="Book Antiqua"/>
              </w:rPr>
              <w:t xml:space="preserve">CHAPTER 7:  DEBT INSTRUMENTS    </w:t>
            </w:r>
          </w:p>
          <w:p w14:paraId="16F64D39"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Overview of bankruptcy and reorganization </w:t>
            </w:r>
          </w:p>
          <w:p w14:paraId="01FD39BC"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Marriott Corp. case study </w:t>
            </w:r>
          </w:p>
          <w:p w14:paraId="6A9C9359" w14:textId="77777777" w:rsidR="00D47C38" w:rsidRPr="00E81769" w:rsidRDefault="00D47C38" w:rsidP="00D47C38">
            <w:pPr>
              <w:jc w:val="both"/>
              <w:rPr>
                <w:rFonts w:ascii="Book Antiqua" w:hAnsi="Book Antiqua"/>
              </w:rPr>
            </w:pPr>
          </w:p>
          <w:p w14:paraId="13CDA410" w14:textId="77777777" w:rsidR="00D47C38" w:rsidRPr="00E81769" w:rsidRDefault="00D47C38" w:rsidP="00D47C38">
            <w:pPr>
              <w:jc w:val="both"/>
              <w:rPr>
                <w:rFonts w:ascii="Book Antiqua" w:hAnsi="Book Antiqua"/>
              </w:rPr>
            </w:pPr>
            <w:r w:rsidRPr="00E81769">
              <w:rPr>
                <w:rFonts w:ascii="Book Antiqua" w:hAnsi="Book Antiqua"/>
              </w:rPr>
              <w:t xml:space="preserve">CHAPTER 8:  CONVERTIBLE SECURITIES    </w:t>
            </w:r>
          </w:p>
          <w:p w14:paraId="531BC56A"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Convertible securities financing  </w:t>
            </w:r>
          </w:p>
          <w:p w14:paraId="6B7157E9" w14:textId="77777777" w:rsidR="00AD33CD" w:rsidRPr="00E81769" w:rsidRDefault="00AD33CD" w:rsidP="00B57107">
            <w:pPr>
              <w:pStyle w:val="ListParagraph"/>
              <w:ind w:left="360"/>
            </w:pPr>
          </w:p>
          <w:p w14:paraId="76466EC4" w14:textId="77777777" w:rsidR="0052773E" w:rsidRPr="00E81769" w:rsidRDefault="0052773E" w:rsidP="00B57107">
            <w:pPr>
              <w:pStyle w:val="ListParagraph"/>
              <w:ind w:left="360"/>
            </w:pPr>
          </w:p>
          <w:p w14:paraId="07144F6A" w14:textId="77777777" w:rsidR="0052773E" w:rsidRPr="00E81769" w:rsidRDefault="0052773E" w:rsidP="00B57107">
            <w:pPr>
              <w:pStyle w:val="ListParagraph"/>
              <w:ind w:left="360"/>
            </w:pPr>
          </w:p>
          <w:p w14:paraId="313752E0" w14:textId="77777777" w:rsidR="0052773E" w:rsidRPr="00E81769" w:rsidRDefault="0052773E" w:rsidP="00B57107">
            <w:pPr>
              <w:pStyle w:val="ListParagraph"/>
              <w:ind w:left="360"/>
            </w:pPr>
          </w:p>
          <w:p w14:paraId="32732C26" w14:textId="77777777" w:rsidR="0052773E" w:rsidRPr="00E81769" w:rsidRDefault="0052773E" w:rsidP="00B57107">
            <w:pPr>
              <w:pStyle w:val="ListParagraph"/>
              <w:ind w:left="360"/>
            </w:pPr>
          </w:p>
          <w:p w14:paraId="0771804E" w14:textId="77777777" w:rsidR="0052773E" w:rsidRPr="00E81769" w:rsidRDefault="0052773E" w:rsidP="00B57107">
            <w:pPr>
              <w:pStyle w:val="ListParagraph"/>
              <w:ind w:left="360"/>
            </w:pPr>
          </w:p>
        </w:tc>
        <w:tc>
          <w:tcPr>
            <w:tcW w:w="1890" w:type="dxa"/>
            <w:shd w:val="clear" w:color="auto" w:fill="D9D9D9" w:themeFill="background1" w:themeFillShade="D9"/>
          </w:tcPr>
          <w:p w14:paraId="2853E34A" w14:textId="77777777" w:rsidR="00AD33CD" w:rsidRPr="00E81769" w:rsidRDefault="00D47C38" w:rsidP="00B57107">
            <w:pPr>
              <w:jc w:val="center"/>
            </w:pPr>
            <w:r w:rsidRPr="00E81769">
              <w:t>571-586</w:t>
            </w:r>
          </w:p>
          <w:p w14:paraId="35435524" w14:textId="77777777" w:rsidR="00D47C38" w:rsidRPr="00E81769" w:rsidRDefault="00D47C38" w:rsidP="00B57107">
            <w:pPr>
              <w:jc w:val="center"/>
            </w:pPr>
          </w:p>
          <w:p w14:paraId="732615F3" w14:textId="77777777" w:rsidR="00D47C38" w:rsidRPr="00E81769" w:rsidRDefault="00D47C38" w:rsidP="00B57107">
            <w:pPr>
              <w:jc w:val="center"/>
            </w:pPr>
            <w:r w:rsidRPr="00E81769">
              <w:t>587-</w:t>
            </w:r>
            <w:r w:rsidR="000E2502" w:rsidRPr="00E81769">
              <w:t>592</w:t>
            </w:r>
          </w:p>
        </w:tc>
      </w:tr>
      <w:tr w:rsidR="00AD33CD" w:rsidRPr="00420406" w14:paraId="4F557512" w14:textId="77777777" w:rsidTr="00B57107">
        <w:tc>
          <w:tcPr>
            <w:tcW w:w="810" w:type="dxa"/>
            <w:shd w:val="clear" w:color="auto" w:fill="FFFFFF" w:themeFill="background1"/>
          </w:tcPr>
          <w:p w14:paraId="01141802" w14:textId="77777777" w:rsidR="00AD33CD" w:rsidRPr="00E81769" w:rsidRDefault="009B774B" w:rsidP="00B57107">
            <w:pPr>
              <w:jc w:val="center"/>
            </w:pPr>
            <w:r>
              <w:lastRenderedPageBreak/>
              <w:t>22</w:t>
            </w:r>
          </w:p>
        </w:tc>
        <w:tc>
          <w:tcPr>
            <w:tcW w:w="6660" w:type="dxa"/>
            <w:shd w:val="clear" w:color="auto" w:fill="FFFFFF" w:themeFill="background1"/>
          </w:tcPr>
          <w:p w14:paraId="7AE9A817" w14:textId="77777777"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70E2705E" w14:textId="77777777"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39FDAED3"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Wood v. Coastal States Gas Corp. </w:t>
            </w:r>
          </w:p>
          <w:p w14:paraId="5428A50D" w14:textId="77777777"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Lohnes</w:t>
            </w:r>
            <w:proofErr w:type="spellEnd"/>
            <w:r w:rsidRPr="00E81769">
              <w:rPr>
                <w:rFonts w:ascii="Book Antiqua" w:hAnsi="Book Antiqua"/>
                <w:i/>
              </w:rPr>
              <w:t xml:space="preserve"> v. Level 3 Communications, Inc. </w:t>
            </w:r>
          </w:p>
          <w:p w14:paraId="3650B9BE"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51F27594" w14:textId="77777777" w:rsidR="00AD33CD" w:rsidRPr="00E81769" w:rsidRDefault="00AD33CD" w:rsidP="00A314FE">
            <w:pPr>
              <w:pStyle w:val="ListParagraph"/>
              <w:ind w:left="360"/>
              <w:jc w:val="both"/>
            </w:pPr>
          </w:p>
        </w:tc>
        <w:tc>
          <w:tcPr>
            <w:tcW w:w="1890" w:type="dxa"/>
            <w:shd w:val="clear" w:color="auto" w:fill="FFFFFF" w:themeFill="background1"/>
          </w:tcPr>
          <w:p w14:paraId="5D959A83" w14:textId="77777777" w:rsidR="00AD33CD" w:rsidRPr="00E81769" w:rsidRDefault="00A314FE" w:rsidP="00B57107">
            <w:pPr>
              <w:jc w:val="center"/>
            </w:pPr>
            <w:r w:rsidRPr="00E81769">
              <w:t>592-619</w:t>
            </w:r>
          </w:p>
        </w:tc>
      </w:tr>
      <w:tr w:rsidR="00AD33CD" w:rsidRPr="00420406" w14:paraId="2D7E6DC3" w14:textId="77777777" w:rsidTr="00B57107">
        <w:tc>
          <w:tcPr>
            <w:tcW w:w="810" w:type="dxa"/>
            <w:shd w:val="clear" w:color="auto" w:fill="FFFFFF" w:themeFill="background1"/>
          </w:tcPr>
          <w:p w14:paraId="1C791972" w14:textId="77777777" w:rsidR="00AD33CD" w:rsidRPr="00E81769" w:rsidRDefault="009B774B" w:rsidP="00B57107">
            <w:pPr>
              <w:jc w:val="center"/>
            </w:pPr>
            <w:r>
              <w:t>23</w:t>
            </w:r>
          </w:p>
        </w:tc>
        <w:tc>
          <w:tcPr>
            <w:tcW w:w="6660" w:type="dxa"/>
            <w:shd w:val="clear" w:color="auto" w:fill="FFFFFF" w:themeFill="background1"/>
          </w:tcPr>
          <w:p w14:paraId="6CD1DF16" w14:textId="77777777"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4A68436E" w14:textId="77777777"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1CEFB74B"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Van </w:t>
            </w:r>
            <w:proofErr w:type="spellStart"/>
            <w:r w:rsidRPr="00E81769">
              <w:rPr>
                <w:rFonts w:ascii="Book Antiqua" w:hAnsi="Book Antiqua"/>
                <w:i/>
              </w:rPr>
              <w:t>Gemert</w:t>
            </w:r>
            <w:proofErr w:type="spellEnd"/>
            <w:r w:rsidRPr="00E81769">
              <w:rPr>
                <w:rFonts w:ascii="Book Antiqua" w:hAnsi="Book Antiqua"/>
                <w:i/>
              </w:rPr>
              <w:t xml:space="preserve"> v. Boeing Co. </w:t>
            </w:r>
          </w:p>
          <w:p w14:paraId="3357740A" w14:textId="77777777"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3D0B7B86"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Lorenz v. CSC Corp. </w:t>
            </w:r>
          </w:p>
          <w:p w14:paraId="7C8E9FFD"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14:paraId="069CA4B9" w14:textId="77777777" w:rsidR="00AD33CD" w:rsidRPr="00E81769" w:rsidRDefault="00AD33CD" w:rsidP="00B57107">
            <w:pPr>
              <w:pStyle w:val="ListParagraph"/>
            </w:pPr>
          </w:p>
        </w:tc>
        <w:tc>
          <w:tcPr>
            <w:tcW w:w="1890" w:type="dxa"/>
            <w:shd w:val="clear" w:color="auto" w:fill="FFFFFF" w:themeFill="background1"/>
          </w:tcPr>
          <w:p w14:paraId="426811C4" w14:textId="77777777" w:rsidR="00AD33CD" w:rsidRPr="00E81769" w:rsidRDefault="00A314FE" w:rsidP="00B57107">
            <w:pPr>
              <w:jc w:val="center"/>
            </w:pPr>
            <w:r w:rsidRPr="00E81769">
              <w:t>619-</w:t>
            </w:r>
            <w:r w:rsidR="00D66F61" w:rsidRPr="00E81769">
              <w:t>646</w:t>
            </w:r>
          </w:p>
        </w:tc>
      </w:tr>
      <w:tr w:rsidR="00AD33CD" w:rsidRPr="00420406" w14:paraId="49D6A3C0" w14:textId="77777777" w:rsidTr="00B57107">
        <w:tc>
          <w:tcPr>
            <w:tcW w:w="810" w:type="dxa"/>
            <w:shd w:val="clear" w:color="auto" w:fill="D9D9D9" w:themeFill="background1" w:themeFillShade="D9"/>
          </w:tcPr>
          <w:p w14:paraId="66459858" w14:textId="77777777" w:rsidR="00AD33CD" w:rsidRPr="00E81769" w:rsidRDefault="009B774B" w:rsidP="00B57107">
            <w:pPr>
              <w:jc w:val="center"/>
            </w:pPr>
            <w:r>
              <w:t>24</w:t>
            </w:r>
          </w:p>
        </w:tc>
        <w:tc>
          <w:tcPr>
            <w:tcW w:w="6660" w:type="dxa"/>
            <w:shd w:val="clear" w:color="auto" w:fill="D9D9D9" w:themeFill="background1" w:themeFillShade="D9"/>
          </w:tcPr>
          <w:p w14:paraId="16F26540" w14:textId="77777777" w:rsidR="00D66F61" w:rsidRPr="00E81769" w:rsidRDefault="00D66F61" w:rsidP="00D66F61">
            <w:pPr>
              <w:jc w:val="both"/>
              <w:rPr>
                <w:rFonts w:ascii="Book Antiqua" w:hAnsi="Book Antiqua"/>
              </w:rPr>
            </w:pPr>
            <w:r w:rsidRPr="00E81769">
              <w:rPr>
                <w:rFonts w:ascii="Book Antiqua" w:hAnsi="Book Antiqua"/>
              </w:rPr>
              <w:t xml:space="preserve">CHAPTER 8:  CONVERTIBLE SECURITIES    </w:t>
            </w:r>
          </w:p>
          <w:p w14:paraId="6C2316B3" w14:textId="7777777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Venture capital </w:t>
            </w:r>
          </w:p>
          <w:p w14:paraId="192AB1B0"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Fait v. Hummel </w:t>
            </w:r>
          </w:p>
          <w:p w14:paraId="15EF6CB4"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SV Investment Partners, LLC v. </w:t>
            </w:r>
            <w:proofErr w:type="spellStart"/>
            <w:r w:rsidRPr="00E81769">
              <w:rPr>
                <w:rFonts w:ascii="Book Antiqua" w:hAnsi="Book Antiqua"/>
                <w:i/>
              </w:rPr>
              <w:t>ThoughtWorks</w:t>
            </w:r>
            <w:proofErr w:type="spellEnd"/>
            <w:r w:rsidRPr="00E81769">
              <w:rPr>
                <w:rFonts w:ascii="Book Antiqua" w:hAnsi="Book Antiqua"/>
                <w:i/>
              </w:rPr>
              <w:t xml:space="preserve">, Inc. </w:t>
            </w:r>
          </w:p>
          <w:p w14:paraId="1D29FEF9" w14:textId="77777777" w:rsidR="00D66F61" w:rsidRPr="00E81769" w:rsidRDefault="00D66F61" w:rsidP="00D66F61">
            <w:pPr>
              <w:pStyle w:val="ListParagraph"/>
              <w:numPr>
                <w:ilvl w:val="0"/>
                <w:numId w:val="34"/>
              </w:numPr>
              <w:jc w:val="both"/>
              <w:rPr>
                <w:rFonts w:ascii="Book Antiqua" w:hAnsi="Book Antiqua"/>
                <w:i/>
              </w:rPr>
            </w:pPr>
            <w:proofErr w:type="spellStart"/>
            <w:r w:rsidRPr="00E81769">
              <w:rPr>
                <w:rFonts w:ascii="Book Antiqua" w:hAnsi="Book Antiqua"/>
                <w:i/>
              </w:rPr>
              <w:t>Gr</w:t>
            </w:r>
            <w:r w:rsidR="00201147" w:rsidRPr="00E81769">
              <w:rPr>
                <w:rFonts w:ascii="Book Antiqua" w:hAnsi="Book Antiqua"/>
                <w:i/>
              </w:rPr>
              <w:t>eenmont</w:t>
            </w:r>
            <w:proofErr w:type="spellEnd"/>
            <w:r w:rsidR="00201147" w:rsidRPr="00E81769">
              <w:rPr>
                <w:rFonts w:ascii="Book Antiqua" w:hAnsi="Book Antiqua"/>
                <w:i/>
              </w:rPr>
              <w:t xml:space="preserve"> Capital Partners</w:t>
            </w:r>
            <w:r w:rsidRPr="00E81769">
              <w:rPr>
                <w:rFonts w:ascii="Book Antiqua" w:hAnsi="Book Antiqua"/>
                <w:i/>
              </w:rPr>
              <w:t xml:space="preserve"> v. Mary’</w:t>
            </w:r>
            <w:r w:rsidR="00201147" w:rsidRPr="00E81769">
              <w:rPr>
                <w:rFonts w:ascii="Book Antiqua" w:hAnsi="Book Antiqua"/>
                <w:i/>
              </w:rPr>
              <w:t>s Gone Crackers</w:t>
            </w:r>
          </w:p>
          <w:p w14:paraId="6F27582B" w14:textId="77777777" w:rsidR="00AD33CD" w:rsidRPr="00E81769" w:rsidRDefault="00AD33CD" w:rsidP="00B57107">
            <w:pPr>
              <w:jc w:val="both"/>
            </w:pPr>
          </w:p>
        </w:tc>
        <w:tc>
          <w:tcPr>
            <w:tcW w:w="1890" w:type="dxa"/>
            <w:shd w:val="clear" w:color="auto" w:fill="D9D9D9" w:themeFill="background1" w:themeFillShade="D9"/>
          </w:tcPr>
          <w:p w14:paraId="536E4EEC" w14:textId="77777777" w:rsidR="00AD33CD" w:rsidRPr="00E81769" w:rsidRDefault="00D66F61" w:rsidP="00B57107">
            <w:pPr>
              <w:jc w:val="center"/>
            </w:pPr>
            <w:r w:rsidRPr="00E81769">
              <w:t>645-674</w:t>
            </w:r>
          </w:p>
        </w:tc>
      </w:tr>
      <w:tr w:rsidR="00AD33CD" w:rsidRPr="00420406" w14:paraId="3CDA18B4" w14:textId="77777777" w:rsidTr="00B57107">
        <w:tc>
          <w:tcPr>
            <w:tcW w:w="810" w:type="dxa"/>
            <w:shd w:val="clear" w:color="auto" w:fill="D9D9D9" w:themeFill="background1" w:themeFillShade="D9"/>
          </w:tcPr>
          <w:p w14:paraId="4A54EBCB" w14:textId="77777777" w:rsidR="00AD33CD" w:rsidRPr="00E81769" w:rsidRDefault="009B774B" w:rsidP="00B57107">
            <w:pPr>
              <w:jc w:val="center"/>
            </w:pPr>
            <w:r>
              <w:t>25</w:t>
            </w:r>
          </w:p>
        </w:tc>
        <w:tc>
          <w:tcPr>
            <w:tcW w:w="6660" w:type="dxa"/>
            <w:shd w:val="clear" w:color="auto" w:fill="D9D9D9" w:themeFill="background1" w:themeFillShade="D9"/>
          </w:tcPr>
          <w:p w14:paraId="36E6ABEE" w14:textId="77777777" w:rsidR="00D66F61" w:rsidRPr="00E81769" w:rsidRDefault="00D66F61" w:rsidP="00D66F61">
            <w:pPr>
              <w:jc w:val="both"/>
              <w:rPr>
                <w:rFonts w:ascii="Book Antiqua" w:hAnsi="Book Antiqua"/>
              </w:rPr>
            </w:pPr>
            <w:r w:rsidRPr="00E81769">
              <w:rPr>
                <w:rFonts w:ascii="Book Antiqua" w:hAnsi="Book Antiqua"/>
              </w:rPr>
              <w:t xml:space="preserve">CHAPTER 9:  DERIVATIVES    </w:t>
            </w:r>
          </w:p>
          <w:p w14:paraId="4A5E937D" w14:textId="7777777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Basic characteristics of derivatives </w:t>
            </w:r>
          </w:p>
          <w:p w14:paraId="294D0DEF" w14:textId="77777777" w:rsidR="00D145E7" w:rsidRPr="00E81769" w:rsidRDefault="00D145E7" w:rsidP="00D66F61">
            <w:pPr>
              <w:pStyle w:val="ListParagraph"/>
              <w:numPr>
                <w:ilvl w:val="0"/>
                <w:numId w:val="2"/>
              </w:numPr>
              <w:jc w:val="both"/>
              <w:rPr>
                <w:rFonts w:ascii="Book Antiqua" w:hAnsi="Book Antiqua"/>
              </w:rPr>
            </w:pPr>
            <w:r w:rsidRPr="00E81769">
              <w:rPr>
                <w:rFonts w:ascii="Book Antiqua" w:hAnsi="Book Antiqua"/>
              </w:rPr>
              <w:t xml:space="preserve">Option valuation </w:t>
            </w:r>
          </w:p>
          <w:p w14:paraId="0C1C5668" w14:textId="77777777" w:rsidR="00AD33CD" w:rsidRPr="00E81769" w:rsidRDefault="00AD33CD" w:rsidP="00D66F61">
            <w:pPr>
              <w:jc w:val="both"/>
            </w:pPr>
          </w:p>
        </w:tc>
        <w:tc>
          <w:tcPr>
            <w:tcW w:w="1890" w:type="dxa"/>
            <w:shd w:val="clear" w:color="auto" w:fill="D9D9D9" w:themeFill="background1" w:themeFillShade="D9"/>
          </w:tcPr>
          <w:p w14:paraId="362B7952" w14:textId="77777777" w:rsidR="00AD33CD" w:rsidRPr="00E81769" w:rsidRDefault="009B774B" w:rsidP="00B57107">
            <w:pPr>
              <w:jc w:val="center"/>
            </w:pPr>
            <w:r>
              <w:t>675-686</w:t>
            </w:r>
          </w:p>
        </w:tc>
      </w:tr>
      <w:tr w:rsidR="00AD33CD" w:rsidRPr="00420406" w14:paraId="442F40F6" w14:textId="77777777" w:rsidTr="00B57107">
        <w:tc>
          <w:tcPr>
            <w:tcW w:w="810" w:type="dxa"/>
            <w:shd w:val="clear" w:color="auto" w:fill="FFFFFF" w:themeFill="background1"/>
          </w:tcPr>
          <w:p w14:paraId="15F28A09" w14:textId="77777777" w:rsidR="00AD33CD" w:rsidRPr="00E81769" w:rsidRDefault="009B774B" w:rsidP="00B57107">
            <w:pPr>
              <w:jc w:val="center"/>
            </w:pPr>
            <w:r>
              <w:t>26</w:t>
            </w:r>
          </w:p>
        </w:tc>
        <w:tc>
          <w:tcPr>
            <w:tcW w:w="6660" w:type="dxa"/>
            <w:shd w:val="clear" w:color="auto" w:fill="FFFFFF" w:themeFill="background1"/>
          </w:tcPr>
          <w:p w14:paraId="14A62A2D" w14:textId="77777777" w:rsidR="00D145E7" w:rsidRPr="009B774B" w:rsidRDefault="00381930" w:rsidP="009B774B">
            <w:pPr>
              <w:jc w:val="both"/>
              <w:rPr>
                <w:rFonts w:ascii="Book Antiqua" w:hAnsi="Book Antiqua"/>
              </w:rPr>
            </w:pPr>
            <w:r>
              <w:rPr>
                <w:rFonts w:ascii="Book Antiqua" w:hAnsi="Book Antiqua"/>
              </w:rPr>
              <w:t>OVERFLOW CLASS</w:t>
            </w:r>
          </w:p>
          <w:p w14:paraId="45ACCEF3" w14:textId="77777777" w:rsidR="00AD33CD" w:rsidRPr="00E81769" w:rsidRDefault="00AD33CD" w:rsidP="00B57107"/>
        </w:tc>
        <w:tc>
          <w:tcPr>
            <w:tcW w:w="1890" w:type="dxa"/>
            <w:shd w:val="clear" w:color="auto" w:fill="FFFFFF" w:themeFill="background1"/>
          </w:tcPr>
          <w:p w14:paraId="118C0883" w14:textId="77777777" w:rsidR="00AD33CD" w:rsidRPr="00E81769" w:rsidRDefault="00AD33CD" w:rsidP="00B57107">
            <w:pPr>
              <w:jc w:val="center"/>
            </w:pPr>
          </w:p>
        </w:tc>
      </w:tr>
    </w:tbl>
    <w:p w14:paraId="7C19D6EF" w14:textId="77777777" w:rsidR="00AD33CD" w:rsidRPr="00200420" w:rsidRDefault="00AD33CD" w:rsidP="00AD33CD"/>
    <w:p w14:paraId="06578ECE" w14:textId="77777777" w:rsidR="005F4375" w:rsidRPr="005F4375" w:rsidRDefault="005F4375" w:rsidP="005F4375">
      <w:pPr>
        <w:rPr>
          <w:i/>
        </w:rPr>
      </w:pPr>
    </w:p>
    <w:sectPr w:rsidR="005F4375" w:rsidRPr="005F4375" w:rsidSect="0093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6F91"/>
    <w:multiLevelType w:val="hybridMultilevel"/>
    <w:tmpl w:val="B9F8F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62E0"/>
    <w:multiLevelType w:val="hybridMultilevel"/>
    <w:tmpl w:val="1F2A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935"/>
    <w:multiLevelType w:val="hybridMultilevel"/>
    <w:tmpl w:val="652E04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270E8"/>
    <w:multiLevelType w:val="hybridMultilevel"/>
    <w:tmpl w:val="6860C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6C26"/>
    <w:multiLevelType w:val="hybridMultilevel"/>
    <w:tmpl w:val="86F6F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3EC0"/>
    <w:multiLevelType w:val="hybridMultilevel"/>
    <w:tmpl w:val="12024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1462"/>
    <w:multiLevelType w:val="hybridMultilevel"/>
    <w:tmpl w:val="523E68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747E7"/>
    <w:multiLevelType w:val="hybridMultilevel"/>
    <w:tmpl w:val="65421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15CF8"/>
    <w:multiLevelType w:val="hybridMultilevel"/>
    <w:tmpl w:val="B1E8A6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24EDE"/>
    <w:multiLevelType w:val="hybridMultilevel"/>
    <w:tmpl w:val="B5F28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26D75"/>
    <w:multiLevelType w:val="hybridMultilevel"/>
    <w:tmpl w:val="ED58C8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22B59"/>
    <w:multiLevelType w:val="hybridMultilevel"/>
    <w:tmpl w:val="80DE2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0114D"/>
    <w:multiLevelType w:val="hybridMultilevel"/>
    <w:tmpl w:val="B31C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E409F"/>
    <w:multiLevelType w:val="hybridMultilevel"/>
    <w:tmpl w:val="C3A29F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0B4A4F"/>
    <w:multiLevelType w:val="hybridMultilevel"/>
    <w:tmpl w:val="F4224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07C61"/>
    <w:multiLevelType w:val="hybridMultilevel"/>
    <w:tmpl w:val="9E1E7A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970EEC"/>
    <w:multiLevelType w:val="hybridMultilevel"/>
    <w:tmpl w:val="276E2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208D"/>
    <w:multiLevelType w:val="hybridMultilevel"/>
    <w:tmpl w:val="6FE63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14CB7"/>
    <w:multiLevelType w:val="hybridMultilevel"/>
    <w:tmpl w:val="9A869D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8254C"/>
    <w:multiLevelType w:val="hybridMultilevel"/>
    <w:tmpl w:val="40EA9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F0C41"/>
    <w:multiLevelType w:val="hybridMultilevel"/>
    <w:tmpl w:val="8A9AB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F71D9"/>
    <w:multiLevelType w:val="hybridMultilevel"/>
    <w:tmpl w:val="E496E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F4546"/>
    <w:multiLevelType w:val="hybridMultilevel"/>
    <w:tmpl w:val="E48C60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4359D"/>
    <w:multiLevelType w:val="hybridMultilevel"/>
    <w:tmpl w:val="04C66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259C2"/>
    <w:multiLevelType w:val="hybridMultilevel"/>
    <w:tmpl w:val="824C2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20C43"/>
    <w:multiLevelType w:val="hybridMultilevel"/>
    <w:tmpl w:val="36CE02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7A3DFB"/>
    <w:multiLevelType w:val="hybridMultilevel"/>
    <w:tmpl w:val="F0FA5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F7EFB"/>
    <w:multiLevelType w:val="hybridMultilevel"/>
    <w:tmpl w:val="62F00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35F51"/>
    <w:multiLevelType w:val="hybridMultilevel"/>
    <w:tmpl w:val="00F889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F0D4D"/>
    <w:multiLevelType w:val="hybridMultilevel"/>
    <w:tmpl w:val="C742B0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CD60D8"/>
    <w:multiLevelType w:val="multilevel"/>
    <w:tmpl w:val="23C0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D027E"/>
    <w:multiLevelType w:val="hybridMultilevel"/>
    <w:tmpl w:val="75FEF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F0BD1"/>
    <w:multiLevelType w:val="hybridMultilevel"/>
    <w:tmpl w:val="EC4A9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44D2D"/>
    <w:multiLevelType w:val="hybridMultilevel"/>
    <w:tmpl w:val="DDF0E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B554FA6"/>
    <w:multiLevelType w:val="hybridMultilevel"/>
    <w:tmpl w:val="8DCE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F747C"/>
    <w:multiLevelType w:val="hybridMultilevel"/>
    <w:tmpl w:val="06125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0"/>
  </w:num>
  <w:num w:numId="4">
    <w:abstractNumId w:val="24"/>
  </w:num>
  <w:num w:numId="5">
    <w:abstractNumId w:val="28"/>
  </w:num>
  <w:num w:numId="6">
    <w:abstractNumId w:val="32"/>
  </w:num>
  <w:num w:numId="7">
    <w:abstractNumId w:val="27"/>
  </w:num>
  <w:num w:numId="8">
    <w:abstractNumId w:val="16"/>
  </w:num>
  <w:num w:numId="9">
    <w:abstractNumId w:val="25"/>
  </w:num>
  <w:num w:numId="10">
    <w:abstractNumId w:val="4"/>
  </w:num>
  <w:num w:numId="11">
    <w:abstractNumId w:val="10"/>
  </w:num>
  <w:num w:numId="12">
    <w:abstractNumId w:val="6"/>
  </w:num>
  <w:num w:numId="13">
    <w:abstractNumId w:val="26"/>
  </w:num>
  <w:num w:numId="14">
    <w:abstractNumId w:val="1"/>
  </w:num>
  <w:num w:numId="15">
    <w:abstractNumId w:val="15"/>
  </w:num>
  <w:num w:numId="16">
    <w:abstractNumId w:val="8"/>
  </w:num>
  <w:num w:numId="17">
    <w:abstractNumId w:val="21"/>
  </w:num>
  <w:num w:numId="18">
    <w:abstractNumId w:val="29"/>
  </w:num>
  <w:num w:numId="19">
    <w:abstractNumId w:val="7"/>
  </w:num>
  <w:num w:numId="20">
    <w:abstractNumId w:val="14"/>
  </w:num>
  <w:num w:numId="21">
    <w:abstractNumId w:val="12"/>
  </w:num>
  <w:num w:numId="22">
    <w:abstractNumId w:val="22"/>
  </w:num>
  <w:num w:numId="23">
    <w:abstractNumId w:val="33"/>
  </w:num>
  <w:num w:numId="24">
    <w:abstractNumId w:val="11"/>
  </w:num>
  <w:num w:numId="25">
    <w:abstractNumId w:val="37"/>
  </w:num>
  <w:num w:numId="26">
    <w:abstractNumId w:val="17"/>
  </w:num>
  <w:num w:numId="27">
    <w:abstractNumId w:val="3"/>
  </w:num>
  <w:num w:numId="28">
    <w:abstractNumId w:val="36"/>
  </w:num>
  <w:num w:numId="29">
    <w:abstractNumId w:val="19"/>
  </w:num>
  <w:num w:numId="30">
    <w:abstractNumId w:val="18"/>
  </w:num>
  <w:num w:numId="31">
    <w:abstractNumId w:val="2"/>
  </w:num>
  <w:num w:numId="32">
    <w:abstractNumId w:val="34"/>
  </w:num>
  <w:num w:numId="33">
    <w:abstractNumId w:val="13"/>
  </w:num>
  <w:num w:numId="34">
    <w:abstractNumId w:val="5"/>
  </w:num>
  <w:num w:numId="35">
    <w:abstractNumId w:val="30"/>
  </w:num>
  <w:num w:numId="36">
    <w:abstractNumId w:val="0"/>
  </w:num>
  <w:num w:numId="37">
    <w:abstractNumId w:val="31"/>
  </w:num>
  <w:num w:numId="38">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7"/>
    <w:rsid w:val="0000616B"/>
    <w:rsid w:val="00013A9A"/>
    <w:rsid w:val="000330D3"/>
    <w:rsid w:val="00035A2A"/>
    <w:rsid w:val="00045725"/>
    <w:rsid w:val="00052E7F"/>
    <w:rsid w:val="000564C3"/>
    <w:rsid w:val="00061D88"/>
    <w:rsid w:val="00080C5D"/>
    <w:rsid w:val="000834A6"/>
    <w:rsid w:val="00084204"/>
    <w:rsid w:val="00091156"/>
    <w:rsid w:val="00091FE7"/>
    <w:rsid w:val="00093019"/>
    <w:rsid w:val="000A1E8B"/>
    <w:rsid w:val="000B00E2"/>
    <w:rsid w:val="000B3501"/>
    <w:rsid w:val="000C6935"/>
    <w:rsid w:val="000C7D17"/>
    <w:rsid w:val="000D0756"/>
    <w:rsid w:val="000D1002"/>
    <w:rsid w:val="000D3557"/>
    <w:rsid w:val="000D402B"/>
    <w:rsid w:val="000E2502"/>
    <w:rsid w:val="000E4E45"/>
    <w:rsid w:val="000F0767"/>
    <w:rsid w:val="00101C65"/>
    <w:rsid w:val="00120C66"/>
    <w:rsid w:val="001260ED"/>
    <w:rsid w:val="001261D0"/>
    <w:rsid w:val="00126A4C"/>
    <w:rsid w:val="001361E7"/>
    <w:rsid w:val="001362BB"/>
    <w:rsid w:val="00137AD5"/>
    <w:rsid w:val="00144788"/>
    <w:rsid w:val="00153DA6"/>
    <w:rsid w:val="00171036"/>
    <w:rsid w:val="001732D0"/>
    <w:rsid w:val="001733F5"/>
    <w:rsid w:val="001753D5"/>
    <w:rsid w:val="001838F3"/>
    <w:rsid w:val="001869BF"/>
    <w:rsid w:val="00195D7B"/>
    <w:rsid w:val="001A41C8"/>
    <w:rsid w:val="001A6B78"/>
    <w:rsid w:val="001B7BED"/>
    <w:rsid w:val="001C244A"/>
    <w:rsid w:val="001E7403"/>
    <w:rsid w:val="001E7C51"/>
    <w:rsid w:val="002003A3"/>
    <w:rsid w:val="00200420"/>
    <w:rsid w:val="00201147"/>
    <w:rsid w:val="002025F9"/>
    <w:rsid w:val="00220B91"/>
    <w:rsid w:val="00225031"/>
    <w:rsid w:val="002301F2"/>
    <w:rsid w:val="002347C4"/>
    <w:rsid w:val="002416C9"/>
    <w:rsid w:val="002430C3"/>
    <w:rsid w:val="00252706"/>
    <w:rsid w:val="0026339F"/>
    <w:rsid w:val="002709F6"/>
    <w:rsid w:val="00281625"/>
    <w:rsid w:val="0029181D"/>
    <w:rsid w:val="002967FE"/>
    <w:rsid w:val="002C4DE6"/>
    <w:rsid w:val="002D14A9"/>
    <w:rsid w:val="002D2666"/>
    <w:rsid w:val="002D2844"/>
    <w:rsid w:val="002D495B"/>
    <w:rsid w:val="002D5D65"/>
    <w:rsid w:val="002D6951"/>
    <w:rsid w:val="002E0053"/>
    <w:rsid w:val="002E128E"/>
    <w:rsid w:val="002F3457"/>
    <w:rsid w:val="00301C56"/>
    <w:rsid w:val="003042DC"/>
    <w:rsid w:val="003051E0"/>
    <w:rsid w:val="00305D29"/>
    <w:rsid w:val="00310CC4"/>
    <w:rsid w:val="0031131E"/>
    <w:rsid w:val="0031281A"/>
    <w:rsid w:val="00316B55"/>
    <w:rsid w:val="00317AE6"/>
    <w:rsid w:val="003422ED"/>
    <w:rsid w:val="003542BC"/>
    <w:rsid w:val="0035433A"/>
    <w:rsid w:val="00354D51"/>
    <w:rsid w:val="00360723"/>
    <w:rsid w:val="00381930"/>
    <w:rsid w:val="0039081C"/>
    <w:rsid w:val="0039279E"/>
    <w:rsid w:val="003971C7"/>
    <w:rsid w:val="003E2986"/>
    <w:rsid w:val="003E3205"/>
    <w:rsid w:val="003E5957"/>
    <w:rsid w:val="003F1CD4"/>
    <w:rsid w:val="004016E5"/>
    <w:rsid w:val="00401A87"/>
    <w:rsid w:val="00403430"/>
    <w:rsid w:val="00404778"/>
    <w:rsid w:val="00417B6C"/>
    <w:rsid w:val="00420F19"/>
    <w:rsid w:val="00423960"/>
    <w:rsid w:val="00423BF0"/>
    <w:rsid w:val="004300A5"/>
    <w:rsid w:val="004301E1"/>
    <w:rsid w:val="0043226E"/>
    <w:rsid w:val="00435D89"/>
    <w:rsid w:val="00441A68"/>
    <w:rsid w:val="00443556"/>
    <w:rsid w:val="004466FB"/>
    <w:rsid w:val="0045362F"/>
    <w:rsid w:val="004554F5"/>
    <w:rsid w:val="004747EE"/>
    <w:rsid w:val="0048487B"/>
    <w:rsid w:val="00486C35"/>
    <w:rsid w:val="004A37DE"/>
    <w:rsid w:val="004B24C1"/>
    <w:rsid w:val="004D360D"/>
    <w:rsid w:val="004E3745"/>
    <w:rsid w:val="005048D5"/>
    <w:rsid w:val="00512450"/>
    <w:rsid w:val="0051265E"/>
    <w:rsid w:val="00514426"/>
    <w:rsid w:val="00517ABF"/>
    <w:rsid w:val="00517ADB"/>
    <w:rsid w:val="0052773E"/>
    <w:rsid w:val="00527FAC"/>
    <w:rsid w:val="00535858"/>
    <w:rsid w:val="005379BC"/>
    <w:rsid w:val="00541A33"/>
    <w:rsid w:val="0056188F"/>
    <w:rsid w:val="00576215"/>
    <w:rsid w:val="00583F99"/>
    <w:rsid w:val="00594A8C"/>
    <w:rsid w:val="00595077"/>
    <w:rsid w:val="00595258"/>
    <w:rsid w:val="005A1552"/>
    <w:rsid w:val="005A1ABD"/>
    <w:rsid w:val="005A28D6"/>
    <w:rsid w:val="005B0D26"/>
    <w:rsid w:val="005B1F82"/>
    <w:rsid w:val="005B2893"/>
    <w:rsid w:val="005C14CC"/>
    <w:rsid w:val="005D01BE"/>
    <w:rsid w:val="005D111E"/>
    <w:rsid w:val="005D4119"/>
    <w:rsid w:val="005E69F1"/>
    <w:rsid w:val="005F1D8D"/>
    <w:rsid w:val="005F1DC5"/>
    <w:rsid w:val="005F4375"/>
    <w:rsid w:val="00610C4A"/>
    <w:rsid w:val="00625D10"/>
    <w:rsid w:val="00626746"/>
    <w:rsid w:val="00642696"/>
    <w:rsid w:val="00645F95"/>
    <w:rsid w:val="00655535"/>
    <w:rsid w:val="00660D57"/>
    <w:rsid w:val="00667C00"/>
    <w:rsid w:val="00670E2E"/>
    <w:rsid w:val="0067297B"/>
    <w:rsid w:val="006946BB"/>
    <w:rsid w:val="006A3BFD"/>
    <w:rsid w:val="006A5EE1"/>
    <w:rsid w:val="006B204F"/>
    <w:rsid w:val="006B2D85"/>
    <w:rsid w:val="006C69BB"/>
    <w:rsid w:val="006D09CC"/>
    <w:rsid w:val="006D32B0"/>
    <w:rsid w:val="006E16E2"/>
    <w:rsid w:val="006F3B92"/>
    <w:rsid w:val="006F5D3D"/>
    <w:rsid w:val="00701F14"/>
    <w:rsid w:val="00702CFB"/>
    <w:rsid w:val="00711B94"/>
    <w:rsid w:val="00713EC3"/>
    <w:rsid w:val="00723D80"/>
    <w:rsid w:val="007241D0"/>
    <w:rsid w:val="007549A0"/>
    <w:rsid w:val="00757C6D"/>
    <w:rsid w:val="0076530A"/>
    <w:rsid w:val="0076530F"/>
    <w:rsid w:val="00771173"/>
    <w:rsid w:val="007857CD"/>
    <w:rsid w:val="00786814"/>
    <w:rsid w:val="0078716A"/>
    <w:rsid w:val="007A0615"/>
    <w:rsid w:val="007A565E"/>
    <w:rsid w:val="007C4137"/>
    <w:rsid w:val="007C5947"/>
    <w:rsid w:val="007D43ED"/>
    <w:rsid w:val="007E1407"/>
    <w:rsid w:val="007E5E28"/>
    <w:rsid w:val="007E6BA2"/>
    <w:rsid w:val="007F3481"/>
    <w:rsid w:val="0080015B"/>
    <w:rsid w:val="00802836"/>
    <w:rsid w:val="008428F7"/>
    <w:rsid w:val="008707BC"/>
    <w:rsid w:val="00871688"/>
    <w:rsid w:val="00872C09"/>
    <w:rsid w:val="00877A58"/>
    <w:rsid w:val="008B60C9"/>
    <w:rsid w:val="008C137C"/>
    <w:rsid w:val="008C54A2"/>
    <w:rsid w:val="008C7F69"/>
    <w:rsid w:val="008D4815"/>
    <w:rsid w:val="008D7647"/>
    <w:rsid w:val="008F0309"/>
    <w:rsid w:val="008F148A"/>
    <w:rsid w:val="00906F45"/>
    <w:rsid w:val="0093203E"/>
    <w:rsid w:val="0093588A"/>
    <w:rsid w:val="00945779"/>
    <w:rsid w:val="0096364D"/>
    <w:rsid w:val="00964452"/>
    <w:rsid w:val="00972F70"/>
    <w:rsid w:val="00975B31"/>
    <w:rsid w:val="00987638"/>
    <w:rsid w:val="00992281"/>
    <w:rsid w:val="009A3411"/>
    <w:rsid w:val="009A535B"/>
    <w:rsid w:val="009A74D1"/>
    <w:rsid w:val="009B0433"/>
    <w:rsid w:val="009B1252"/>
    <w:rsid w:val="009B4BAD"/>
    <w:rsid w:val="009B774B"/>
    <w:rsid w:val="009D65E2"/>
    <w:rsid w:val="009E250D"/>
    <w:rsid w:val="009E532B"/>
    <w:rsid w:val="009F7171"/>
    <w:rsid w:val="00A005B4"/>
    <w:rsid w:val="00A02BF9"/>
    <w:rsid w:val="00A150C5"/>
    <w:rsid w:val="00A24B30"/>
    <w:rsid w:val="00A26C82"/>
    <w:rsid w:val="00A314FE"/>
    <w:rsid w:val="00A405F5"/>
    <w:rsid w:val="00A4415C"/>
    <w:rsid w:val="00A4530E"/>
    <w:rsid w:val="00A60609"/>
    <w:rsid w:val="00A63DE7"/>
    <w:rsid w:val="00A664FE"/>
    <w:rsid w:val="00A70139"/>
    <w:rsid w:val="00A73D01"/>
    <w:rsid w:val="00AA0C33"/>
    <w:rsid w:val="00AB3EBA"/>
    <w:rsid w:val="00AD33CD"/>
    <w:rsid w:val="00AF0459"/>
    <w:rsid w:val="00AF4122"/>
    <w:rsid w:val="00AF7915"/>
    <w:rsid w:val="00B149CC"/>
    <w:rsid w:val="00B25E2F"/>
    <w:rsid w:val="00B41954"/>
    <w:rsid w:val="00B441C8"/>
    <w:rsid w:val="00B57986"/>
    <w:rsid w:val="00B62669"/>
    <w:rsid w:val="00B62B65"/>
    <w:rsid w:val="00B77088"/>
    <w:rsid w:val="00B7731E"/>
    <w:rsid w:val="00B81F0D"/>
    <w:rsid w:val="00B82CF4"/>
    <w:rsid w:val="00BA57D8"/>
    <w:rsid w:val="00BC47BF"/>
    <w:rsid w:val="00BC4B27"/>
    <w:rsid w:val="00BD0C6E"/>
    <w:rsid w:val="00BD23D0"/>
    <w:rsid w:val="00BD30AC"/>
    <w:rsid w:val="00BF00A2"/>
    <w:rsid w:val="00BF0B85"/>
    <w:rsid w:val="00C04395"/>
    <w:rsid w:val="00C05310"/>
    <w:rsid w:val="00C3525B"/>
    <w:rsid w:val="00C54B86"/>
    <w:rsid w:val="00C5659C"/>
    <w:rsid w:val="00C80152"/>
    <w:rsid w:val="00CA6965"/>
    <w:rsid w:val="00CB1DFC"/>
    <w:rsid w:val="00CB2A6A"/>
    <w:rsid w:val="00CB50D2"/>
    <w:rsid w:val="00CD1FC3"/>
    <w:rsid w:val="00CD499F"/>
    <w:rsid w:val="00CE15B0"/>
    <w:rsid w:val="00CF1962"/>
    <w:rsid w:val="00CF36E7"/>
    <w:rsid w:val="00D0169D"/>
    <w:rsid w:val="00D066BE"/>
    <w:rsid w:val="00D11EDB"/>
    <w:rsid w:val="00D145E7"/>
    <w:rsid w:val="00D27FC3"/>
    <w:rsid w:val="00D32178"/>
    <w:rsid w:val="00D47C38"/>
    <w:rsid w:val="00D65334"/>
    <w:rsid w:val="00D654F8"/>
    <w:rsid w:val="00D66F61"/>
    <w:rsid w:val="00D819B2"/>
    <w:rsid w:val="00D81AF1"/>
    <w:rsid w:val="00D83505"/>
    <w:rsid w:val="00DA7AF1"/>
    <w:rsid w:val="00DB03D5"/>
    <w:rsid w:val="00DB19E4"/>
    <w:rsid w:val="00DC05DE"/>
    <w:rsid w:val="00DC13DD"/>
    <w:rsid w:val="00DC4835"/>
    <w:rsid w:val="00DD281C"/>
    <w:rsid w:val="00DD3428"/>
    <w:rsid w:val="00DD5E5D"/>
    <w:rsid w:val="00DD7946"/>
    <w:rsid w:val="00DE7D4F"/>
    <w:rsid w:val="00DF16C3"/>
    <w:rsid w:val="00DF3A11"/>
    <w:rsid w:val="00DF53FF"/>
    <w:rsid w:val="00DF56B9"/>
    <w:rsid w:val="00E00677"/>
    <w:rsid w:val="00E02062"/>
    <w:rsid w:val="00E07559"/>
    <w:rsid w:val="00E23FE9"/>
    <w:rsid w:val="00E32473"/>
    <w:rsid w:val="00E36B6A"/>
    <w:rsid w:val="00E43AB5"/>
    <w:rsid w:val="00E458F1"/>
    <w:rsid w:val="00E45B8B"/>
    <w:rsid w:val="00E5456B"/>
    <w:rsid w:val="00E7119D"/>
    <w:rsid w:val="00E7185E"/>
    <w:rsid w:val="00E71BAA"/>
    <w:rsid w:val="00E808EE"/>
    <w:rsid w:val="00E81769"/>
    <w:rsid w:val="00E85126"/>
    <w:rsid w:val="00E909F8"/>
    <w:rsid w:val="00E90EFF"/>
    <w:rsid w:val="00E9223C"/>
    <w:rsid w:val="00E93E0B"/>
    <w:rsid w:val="00E945E4"/>
    <w:rsid w:val="00EA16B7"/>
    <w:rsid w:val="00EA48F0"/>
    <w:rsid w:val="00EB0D11"/>
    <w:rsid w:val="00EB437C"/>
    <w:rsid w:val="00EF1635"/>
    <w:rsid w:val="00EF1FB2"/>
    <w:rsid w:val="00EF3940"/>
    <w:rsid w:val="00F01104"/>
    <w:rsid w:val="00F0703B"/>
    <w:rsid w:val="00F22093"/>
    <w:rsid w:val="00F24C50"/>
    <w:rsid w:val="00F26258"/>
    <w:rsid w:val="00F327DB"/>
    <w:rsid w:val="00F41A69"/>
    <w:rsid w:val="00F41ECE"/>
    <w:rsid w:val="00F463B9"/>
    <w:rsid w:val="00F62A46"/>
    <w:rsid w:val="00F638DB"/>
    <w:rsid w:val="00F63938"/>
    <w:rsid w:val="00F67952"/>
    <w:rsid w:val="00F949D2"/>
    <w:rsid w:val="00F9742D"/>
    <w:rsid w:val="00FA6CDD"/>
    <w:rsid w:val="00FB295F"/>
    <w:rsid w:val="00FE0E57"/>
    <w:rsid w:val="00FF1776"/>
    <w:rsid w:val="00FF1C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C6B4"/>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35484">
      <w:bodyDiv w:val="1"/>
      <w:marLeft w:val="0"/>
      <w:marRight w:val="0"/>
      <w:marTop w:val="0"/>
      <w:marBottom w:val="0"/>
      <w:divBdr>
        <w:top w:val="none" w:sz="0" w:space="0" w:color="auto"/>
        <w:left w:val="none" w:sz="0" w:space="0" w:color="auto"/>
        <w:bottom w:val="none" w:sz="0" w:space="0" w:color="auto"/>
        <w:right w:val="none" w:sz="0" w:space="0" w:color="auto"/>
      </w:divBdr>
    </w:div>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catalog.ufl.edu/UGRD/academic-regulations/attendance-policies/"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34" Type="http://schemas.openxmlformats.org/officeDocument/2006/relationships/hyperlink" Target="https://gatorevals.aa.ufl.edu/students/" TargetMode="External"/><Relationship Id="rId7" Type="http://schemas.openxmlformats.org/officeDocument/2006/relationships/hyperlink" Target="https://catalog.ufl.edu/ugrad/current/regulations/info/attendance.aspx"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coronavirus.ufhealth.org/screen-test-protect/covid-19-exposure-and-symptoms-who-do-i-call-if/"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w.ufl.edu/student-affairs/current-students/academic-policies"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www.cdc.gov/coronavirus/2019-ncov/symptoms-testing/symptoms.html" TargetMode="External"/><Relationship Id="rId40" Type="http://schemas.openxmlformats.org/officeDocument/2006/relationships/fontTable" Target="fontTable.xml"/><Relationship Id="rId5" Type="http://schemas.openxmlformats.org/officeDocument/2006/relationships/hyperlink" Target="https://www.law.ufl.edu/life-at-uf-law/office-of-student-affairs/current-students/forms-applications/exam-delays-accommodations-form"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gatorevals.aa.ufl.edu/public-result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file:///C:\Users\rmcilhenny\AppData\Local\Microsoft\Windows\INetCache\Content.Outlook\QH37XRU4\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2624</Words>
  <Characters>14958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McIlhenny, Ruth M.</cp:lastModifiedBy>
  <cp:revision>2</cp:revision>
  <cp:lastPrinted>2014-08-28T15:00:00Z</cp:lastPrinted>
  <dcterms:created xsi:type="dcterms:W3CDTF">2021-01-12T19:06:00Z</dcterms:created>
  <dcterms:modified xsi:type="dcterms:W3CDTF">2021-01-12T19:06:00Z</dcterms:modified>
</cp:coreProperties>
</file>