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26" w:rsidRDefault="005B0D26">
      <w:bookmarkStart w:id="0" w:name="_GoBack"/>
      <w:bookmarkEnd w:id="0"/>
    </w:p>
    <w:p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FF1C71">
        <w:rPr>
          <w:rFonts w:eastAsia="Times New Roman" w:cs="Times New Roman"/>
          <w:b/>
          <w:sz w:val="28"/>
          <w:szCs w:val="28"/>
        </w:rPr>
        <w:t>Spring 201</w:t>
      </w:r>
      <w:r w:rsidR="007D43ED">
        <w:rPr>
          <w:rFonts w:eastAsia="Times New Roman" w:cs="Times New Roman"/>
          <w:b/>
          <w:sz w:val="28"/>
          <w:szCs w:val="28"/>
        </w:rPr>
        <w:t>9</w:t>
      </w:r>
      <w:r>
        <w:rPr>
          <w:rFonts w:eastAsia="Times New Roman" w:cs="Times New Roman"/>
          <w:b/>
          <w:sz w:val="28"/>
          <w:szCs w:val="28"/>
        </w:rPr>
        <w:t>)</w:t>
      </w:r>
    </w:p>
    <w:p w:rsidR="00195D7B" w:rsidRDefault="00195D7B" w:rsidP="00195D7B">
      <w:pPr>
        <w:ind w:right="-180"/>
        <w:jc w:val="both"/>
        <w:rPr>
          <w:rFonts w:ascii="Book Antiqua" w:eastAsia="Times New Roman" w:hAnsi="Book Antiqua" w:cs="Times New Roman"/>
          <w:sz w:val="26"/>
          <w:szCs w:val="26"/>
        </w:rPr>
      </w:pPr>
    </w:p>
    <w:p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rsidR="00195D7B" w:rsidRDefault="00195D7B" w:rsidP="00195D7B">
      <w:pPr>
        <w:ind w:right="-180"/>
        <w:jc w:val="both"/>
        <w:rPr>
          <w:rFonts w:ascii="Book Antiqua" w:eastAsia="Times New Roman" w:hAnsi="Book Antiqua" w:cs="Times New Roman"/>
        </w:rPr>
      </w:pPr>
    </w:p>
    <w:p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352-273-0958</w:t>
      </w:r>
      <w:proofErr w:type="gramStart"/>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rsidR="00195D7B" w:rsidRDefault="00195D7B" w:rsidP="00195D7B">
      <w:pPr>
        <w:ind w:right="-180"/>
        <w:jc w:val="both"/>
        <w:rPr>
          <w:rFonts w:ascii="Book Antiqua" w:eastAsia="Times New Roman" w:hAnsi="Book Antiqua" w:cs="Times New Roman"/>
        </w:rPr>
      </w:pPr>
    </w:p>
    <w:p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t xml:space="preserve">Room </w:t>
      </w:r>
      <w:r w:rsidR="00626746">
        <w:rPr>
          <w:rFonts w:ascii="Book Antiqua" w:eastAsia="Times New Roman" w:hAnsi="Book Antiqua" w:cs="Times New Roman"/>
        </w:rPr>
        <w:t>382</w:t>
      </w:r>
    </w:p>
    <w:p w:rsidR="00195D7B" w:rsidRDefault="00195D7B" w:rsidP="00195D7B">
      <w:pPr>
        <w:ind w:right="-187"/>
        <w:jc w:val="both"/>
        <w:rPr>
          <w:rFonts w:ascii="Book Antiqua" w:eastAsia="Times New Roman" w:hAnsi="Book Antiqua" w:cs="Times New Roman"/>
        </w:rPr>
      </w:pPr>
    </w:p>
    <w:p w:rsidR="00195D7B"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AD33CD">
        <w:rPr>
          <w:rFonts w:ascii="Book Antiqua" w:eastAsia="Times New Roman" w:hAnsi="Book Antiqua" w:cs="Times New Roman"/>
        </w:rPr>
        <w:t>Monday</w:t>
      </w:r>
      <w:r>
        <w:rPr>
          <w:rFonts w:ascii="Book Antiqua" w:eastAsia="Times New Roman" w:hAnsi="Book Antiqua" w:cs="Times New Roman"/>
        </w:rPr>
        <w:t xml:space="preserve">:  </w:t>
      </w:r>
      <w:r>
        <w:rPr>
          <w:rFonts w:ascii="Book Antiqua" w:eastAsia="Times New Roman" w:hAnsi="Book Antiqua" w:cs="Times New Roman"/>
        </w:rPr>
        <w:tab/>
      </w:r>
      <w:r w:rsidR="00626746">
        <w:rPr>
          <w:rFonts w:ascii="Book Antiqua" w:eastAsia="Times New Roman" w:hAnsi="Book Antiqua" w:cs="Times New Roman"/>
        </w:rPr>
        <w:t>1:30 P</w:t>
      </w:r>
      <w:r w:rsidR="00AD33CD">
        <w:rPr>
          <w:rFonts w:ascii="Book Antiqua" w:eastAsia="Times New Roman" w:hAnsi="Book Antiqua" w:cs="Times New Roman"/>
        </w:rPr>
        <w:t>M</w:t>
      </w:r>
      <w:r>
        <w:rPr>
          <w:rFonts w:ascii="Book Antiqua" w:eastAsia="Times New Roman" w:hAnsi="Book Antiqua" w:cs="Times New Roman"/>
        </w:rPr>
        <w:t xml:space="preserve"> to </w:t>
      </w:r>
      <w:r w:rsidR="00626746">
        <w:rPr>
          <w:rFonts w:ascii="Book Antiqua" w:eastAsia="Times New Roman" w:hAnsi="Book Antiqua" w:cs="Times New Roman"/>
        </w:rPr>
        <w:t>2:45 PM</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rsidR="00626746" w:rsidRPr="00423960" w:rsidRDefault="00626746" w:rsidP="00195D7B">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Tuesday:  </w:t>
      </w:r>
      <w:r>
        <w:rPr>
          <w:rFonts w:ascii="Book Antiqua" w:eastAsia="Times New Roman" w:hAnsi="Book Antiqua" w:cs="Times New Roman"/>
        </w:rPr>
        <w:tab/>
        <w:t>1:00 PM to 2:15 PM</w:t>
      </w:r>
    </w:p>
    <w:p w:rsidR="00195D7B" w:rsidRPr="00423960" w:rsidRDefault="00195D7B" w:rsidP="00195D7B">
      <w:pPr>
        <w:ind w:right="-187"/>
        <w:jc w:val="both"/>
        <w:rPr>
          <w:rFonts w:ascii="Book Antiqua" w:eastAsia="Times New Roman" w:hAnsi="Book Antiqua" w:cs="Times New Roman"/>
        </w:rPr>
      </w:pPr>
    </w:p>
    <w:p w:rsidR="00195D7B" w:rsidRPr="00423960"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AD33CD">
        <w:rPr>
          <w:rFonts w:ascii="Book Antiqua" w:eastAsia="Times New Roman" w:hAnsi="Book Antiqua" w:cs="Times New Roman"/>
        </w:rPr>
        <w:t>Monday &amp; Tuesday:</w:t>
      </w:r>
      <w:r>
        <w:rPr>
          <w:rFonts w:ascii="Book Antiqua" w:eastAsia="Times New Roman" w:hAnsi="Book Antiqua" w:cs="Times New Roman"/>
        </w:rPr>
        <w:t xml:space="preserve">  </w:t>
      </w:r>
      <w:r>
        <w:rPr>
          <w:rFonts w:ascii="Book Antiqua" w:eastAsia="Times New Roman" w:hAnsi="Book Antiqua" w:cs="Times New Roman"/>
        </w:rPr>
        <w:tab/>
      </w:r>
      <w:r w:rsidR="0031131E">
        <w:rPr>
          <w:rFonts w:ascii="Book Antiqua" w:eastAsia="Times New Roman" w:hAnsi="Book Antiqua" w:cs="Times New Roman"/>
        </w:rPr>
        <w:t>1</w:t>
      </w:r>
      <w:r w:rsidR="00626746">
        <w:rPr>
          <w:rFonts w:ascii="Book Antiqua" w:eastAsia="Times New Roman" w:hAnsi="Book Antiqua" w:cs="Times New Roman"/>
        </w:rPr>
        <w:t>1:0</w:t>
      </w:r>
      <w:r w:rsidR="0051265E">
        <w:rPr>
          <w:rFonts w:ascii="Book Antiqua" w:eastAsia="Times New Roman" w:hAnsi="Book Antiqua" w:cs="Times New Roman"/>
        </w:rPr>
        <w:t>0 AM to 1</w:t>
      </w:r>
      <w:r w:rsidR="00626746">
        <w:rPr>
          <w:rFonts w:ascii="Book Antiqua" w:eastAsia="Times New Roman" w:hAnsi="Book Antiqua" w:cs="Times New Roman"/>
        </w:rPr>
        <w:t>2</w:t>
      </w:r>
      <w:r w:rsidR="0051265E">
        <w:rPr>
          <w:rFonts w:ascii="Book Antiqua" w:eastAsia="Times New Roman" w:hAnsi="Book Antiqua" w:cs="Times New Roman"/>
        </w:rPr>
        <w:t>:0</w:t>
      </w:r>
      <w:r>
        <w:rPr>
          <w:rFonts w:ascii="Book Antiqua" w:eastAsia="Times New Roman" w:hAnsi="Book Antiqua" w:cs="Times New Roman"/>
        </w:rPr>
        <w:t>0 P</w:t>
      </w:r>
      <w:r w:rsidRPr="00423960">
        <w:rPr>
          <w:rFonts w:ascii="Book Antiqua" w:eastAsia="Times New Roman" w:hAnsi="Book Antiqua" w:cs="Times New Roman"/>
        </w:rPr>
        <w:t xml:space="preserve">M </w:t>
      </w:r>
      <w:r>
        <w:rPr>
          <w:rFonts w:ascii="Book Antiqua" w:eastAsia="Times New Roman" w:hAnsi="Book Antiqua" w:cs="Times New Roman"/>
        </w:rPr>
        <w:t xml:space="preserve"> </w:t>
      </w:r>
    </w:p>
    <w:p w:rsidR="00195D7B" w:rsidRPr="00423960" w:rsidRDefault="00195D7B" w:rsidP="00195D7B">
      <w:pPr>
        <w:ind w:right="-187"/>
        <w:jc w:val="both"/>
        <w:rPr>
          <w:rFonts w:ascii="Book Antiqua" w:eastAsia="Times New Roman" w:hAnsi="Book Antiqua" w:cs="Times New Roman"/>
        </w:rPr>
      </w:pPr>
    </w:p>
    <w:p w:rsidR="00195D7B" w:rsidRPr="00A664FE" w:rsidRDefault="00195D7B" w:rsidP="00195D7B">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A664FE" w:rsidRPr="00A664FE">
        <w:t xml:space="preserve">This exam will be a 24 hour take-home exam.  Exam can be picked up at 10:00 am on May 1st </w:t>
      </w:r>
      <w:r w:rsidR="00A664FE">
        <w:t xml:space="preserve">at the </w:t>
      </w:r>
      <w:r w:rsidR="00E945E4">
        <w:t>Registrar</w:t>
      </w:r>
      <w:r w:rsidR="00A664FE">
        <w:t xml:space="preserve"> </w:t>
      </w:r>
      <w:r w:rsidR="00A664FE" w:rsidRPr="00A664FE">
        <w:t>and must be submitted by 10</w:t>
      </w:r>
      <w:r w:rsidR="00626746">
        <w:t xml:space="preserve">:00 </w:t>
      </w:r>
      <w:r w:rsidR="00A664FE" w:rsidRPr="00A664FE">
        <w:t>am on May 2nd</w:t>
      </w:r>
      <w:r w:rsidR="00A664FE">
        <w:t xml:space="preserve"> at the </w:t>
      </w:r>
      <w:r w:rsidR="00E945E4">
        <w:t>Registrar</w:t>
      </w:r>
      <w:r w:rsidR="00A664FE">
        <w:t xml:space="preserve">. </w:t>
      </w:r>
    </w:p>
    <w:p w:rsidR="0039279E" w:rsidRPr="00423960" w:rsidRDefault="0039279E" w:rsidP="00195D7B">
      <w:pPr>
        <w:jc w:val="both"/>
        <w:rPr>
          <w:rFonts w:ascii="Book Antiqua" w:eastAsia="Times New Roman" w:hAnsi="Book Antiqua" w:cs="Times New Roman"/>
        </w:rPr>
      </w:pPr>
    </w:p>
    <w:p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195D7B" w:rsidRPr="00423960" w:rsidRDefault="00195D7B" w:rsidP="00195D7B">
      <w:pPr>
        <w:jc w:val="both"/>
        <w:rPr>
          <w:rFonts w:ascii="Book Antiqua" w:eastAsia="Times New Roman" w:hAnsi="Book Antiqua" w:cs="Times New Roman"/>
          <w:b/>
        </w:rPr>
      </w:pPr>
    </w:p>
    <w:p w:rsidR="00195D7B" w:rsidRPr="00F41A69" w:rsidRDefault="00AD33CD" w:rsidP="00195D7B">
      <w:pPr>
        <w:jc w:val="both"/>
      </w:pPr>
      <w:r>
        <w:t xml:space="preserve">Robert J. Rhee, Corporate Finance (Wolters Kluwer 2016) </w:t>
      </w:r>
    </w:p>
    <w:p w:rsidR="00195D7B" w:rsidRDefault="00195D7B" w:rsidP="00195D7B">
      <w:pPr>
        <w:jc w:val="both"/>
        <w:rPr>
          <w:rFonts w:ascii="Book Antiqua" w:eastAsia="Times New Roman" w:hAnsi="Book Antiqua" w:cs="Times New Roman"/>
        </w:rPr>
      </w:pPr>
    </w:p>
    <w:p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rsidR="00DF53FF" w:rsidRPr="00423960" w:rsidRDefault="00DF53FF" w:rsidP="00DF53FF">
      <w:pPr>
        <w:jc w:val="both"/>
        <w:rPr>
          <w:rFonts w:ascii="Book Antiqua" w:eastAsia="Times New Roman" w:hAnsi="Book Antiqua" w:cs="Times New Roman"/>
        </w:rPr>
      </w:pPr>
    </w:p>
    <w:p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rsidR="00626746" w:rsidRDefault="00626746" w:rsidP="00626746">
      <w:pPr>
        <w:jc w:val="both"/>
      </w:pPr>
    </w:p>
    <w:p w:rsidR="00626746" w:rsidRDefault="00626746" w:rsidP="00626746">
      <w:pPr>
        <w:jc w:val="both"/>
      </w:pPr>
      <w:r w:rsidRPr="0068569A">
        <w:t>After completing this course, students should be able to:</w:t>
      </w:r>
    </w:p>
    <w:p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rsidR="00626746" w:rsidRDefault="00626746" w:rsidP="00626746">
      <w:pPr>
        <w:pStyle w:val="ListParagraph"/>
        <w:numPr>
          <w:ilvl w:val="0"/>
          <w:numId w:val="36"/>
        </w:numPr>
        <w:jc w:val="both"/>
      </w:pPr>
      <w:r>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rsidR="00626746" w:rsidRDefault="00626746" w:rsidP="00626746">
      <w:pPr>
        <w:pStyle w:val="ListParagraph"/>
        <w:numPr>
          <w:ilvl w:val="0"/>
          <w:numId w:val="36"/>
        </w:numPr>
        <w:jc w:val="both"/>
      </w:pPr>
      <w:r>
        <w:lastRenderedPageBreak/>
        <w:t xml:space="preserve">Know and apply basic business concepts in accounting, finance, and economics specifically relevant and related to the understanding of corporations and </w:t>
      </w:r>
      <w:r w:rsidR="004B24C1">
        <w:t>corporate finance</w:t>
      </w:r>
      <w:r>
        <w:t xml:space="preserve">. </w:t>
      </w:r>
    </w:p>
    <w:p w:rsidR="00626746" w:rsidRDefault="00626746" w:rsidP="00626746">
      <w:pPr>
        <w:pStyle w:val="ListParagraph"/>
        <w:numPr>
          <w:ilvl w:val="0"/>
          <w:numId w:val="36"/>
        </w:numPr>
        <w:jc w:val="both"/>
      </w:pPr>
      <w:r>
        <w:t xml:space="preserve">Read and analyze essential corporate documents such as </w:t>
      </w:r>
      <w:r w:rsidR="004B24C1">
        <w:t>Form 10-Ks, certificate of incorporation, and bond indentures</w:t>
      </w:r>
      <w:r>
        <w:t xml:space="preserve">. </w:t>
      </w:r>
    </w:p>
    <w:p w:rsidR="00AB3EBA" w:rsidRPr="00800466" w:rsidRDefault="00AB3EBA" w:rsidP="00626746">
      <w:pPr>
        <w:pStyle w:val="ListParagraph"/>
        <w:numPr>
          <w:ilvl w:val="0"/>
          <w:numId w:val="36"/>
        </w:numPr>
        <w:jc w:val="both"/>
      </w:pPr>
      <w:r>
        <w:t xml:space="preserve">Work with financing documents and structures in corporate finance transactions. </w:t>
      </w:r>
    </w:p>
    <w:p w:rsidR="00626746" w:rsidRPr="00DF53FF" w:rsidRDefault="00626746" w:rsidP="00195D7B">
      <w:pPr>
        <w:jc w:val="both"/>
      </w:pPr>
    </w:p>
    <w:p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rsidR="00195D7B" w:rsidRPr="00423960" w:rsidRDefault="00195D7B" w:rsidP="00195D7B">
      <w:pPr>
        <w:jc w:val="both"/>
        <w:rPr>
          <w:rFonts w:ascii="Book Antiqua" w:eastAsia="Times New Roman" w:hAnsi="Book Antiqua" w:cs="Times New Roman"/>
        </w:rPr>
      </w:pPr>
    </w:p>
    <w:p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rsidR="00B62B65" w:rsidRPr="00B62B65" w:rsidRDefault="00B62B65" w:rsidP="00B62B65">
      <w:pPr>
        <w:rPr>
          <w:rFonts w:ascii="Book Antiqua" w:eastAsia="Times New Roman" w:hAnsi="Book Antiqua" w:cs="Times New Roman"/>
          <w:b/>
        </w:rPr>
      </w:pPr>
    </w:p>
    <w:p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195D7B" w:rsidRDefault="00195D7B" w:rsidP="00195D7B">
      <w:pPr>
        <w:jc w:val="both"/>
        <w:rPr>
          <w:rFonts w:ascii="Book Antiqua" w:eastAsia="Times New Roman" w:hAnsi="Book Antiqua" w:cs="Times New Roman"/>
        </w:rPr>
      </w:pPr>
    </w:p>
    <w:p w:rsidR="00195D7B" w:rsidRDefault="00195D7B" w:rsidP="00195D7B">
      <w:pPr>
        <w:jc w:val="both"/>
        <w:rPr>
          <w:rFonts w:ascii="Book Antiqua" w:eastAsia="Times New Roman" w:hAnsi="Book Antiqua" w:cs="Times New Roman"/>
        </w:rPr>
      </w:pPr>
      <w:r>
        <w:rPr>
          <w:rFonts w:ascii="Book Antiqua" w:eastAsia="Times New Roman" w:hAnsi="Book Antiqua" w:cs="Times New Roman"/>
        </w:rPr>
        <w:t xml:space="preserve">The final exam will be a take home, open book exam. You may use the class reading assignments and any handouts, including PowerPoint class notes, and any notes or outlines you or your peers in the course created. You may </w:t>
      </w:r>
      <w:r w:rsidRPr="003E2986">
        <w:rPr>
          <w:rFonts w:ascii="Book Antiqua" w:eastAsia="Times New Roman" w:hAnsi="Book Antiqua" w:cs="Times New Roman"/>
          <w:b/>
          <w:u w:val="single"/>
        </w:rPr>
        <w:t>not</w:t>
      </w:r>
      <w:r>
        <w:rPr>
          <w:rFonts w:ascii="Book Antiqua" w:eastAsia="Times New Roman" w:hAnsi="Book Antiqua" w:cs="Times New Roman"/>
        </w:rPr>
        <w:t xml:space="preserve"> use any other materials, including such things as internet resources and other published materials including textbooks and commercial outlines. The exam is a sole effort, and you may </w:t>
      </w:r>
      <w:r w:rsidRPr="003E2986">
        <w:rPr>
          <w:rFonts w:ascii="Book Antiqua" w:eastAsia="Times New Roman" w:hAnsi="Book Antiqua" w:cs="Times New Roman"/>
          <w:b/>
          <w:u w:val="single"/>
        </w:rPr>
        <w:t>not</w:t>
      </w:r>
      <w:r>
        <w:rPr>
          <w:rFonts w:ascii="Book Antiqua" w:eastAsia="Times New Roman" w:hAnsi="Book Antiqua" w:cs="Times New Roman"/>
        </w:rPr>
        <w:t xml:space="preserve"> consult any person during the exam period. </w:t>
      </w:r>
    </w:p>
    <w:p w:rsidR="00195D7B" w:rsidRDefault="00195D7B" w:rsidP="00195D7B">
      <w:pPr>
        <w:jc w:val="both"/>
        <w:rPr>
          <w:rFonts w:ascii="Book Antiqua" w:eastAsia="Times New Roman" w:hAnsi="Book Antiqua" w:cs="Times New Roman"/>
        </w:rPr>
      </w:pPr>
    </w:p>
    <w:p w:rsidR="00195D7B" w:rsidRDefault="00195D7B" w:rsidP="00195D7B">
      <w:pPr>
        <w:jc w:val="both"/>
        <w:rPr>
          <w:rFonts w:ascii="Book Antiqua" w:eastAsia="Times New Roman" w:hAnsi="Book Antiqua" w:cs="Times New Roman"/>
        </w:rPr>
      </w:pPr>
      <w:r>
        <w:rPr>
          <w:rFonts w:ascii="Book Antiqua" w:eastAsia="Times New Roman" w:hAnsi="Book Antiqua" w:cs="Times New Roman"/>
        </w:rPr>
        <w:t xml:space="preserve">The final exam may have will have at least </w:t>
      </w:r>
      <w:r w:rsidR="004B24C1">
        <w:rPr>
          <w:rFonts w:ascii="Book Antiqua" w:eastAsia="Times New Roman" w:hAnsi="Book Antiqua" w:cs="Times New Roman"/>
        </w:rPr>
        <w:t xml:space="preserve">a combination of </w:t>
      </w:r>
      <w:r>
        <w:rPr>
          <w:rFonts w:ascii="Book Antiqua" w:eastAsia="Times New Roman" w:hAnsi="Book Antiqua" w:cs="Times New Roman"/>
        </w:rPr>
        <w:t xml:space="preserve">essay, short answer and multiple choice questions. </w:t>
      </w:r>
      <w:r w:rsidR="004B24C1">
        <w:rPr>
          <w:rFonts w:ascii="Book Antiqua" w:eastAsia="Times New Roman" w:hAnsi="Book Antiqua" w:cs="Times New Roman"/>
        </w:rPr>
        <w:t xml:space="preserve">The exam will have each of these forms of questions. </w:t>
      </w:r>
      <w:r>
        <w:rPr>
          <w:rFonts w:ascii="Book Antiqua" w:eastAsia="Times New Roman" w:hAnsi="Book Antiqua" w:cs="Times New Roman"/>
        </w:rPr>
        <w:t xml:space="preserve">Short answer and multiple choice questions are fairly self-explanatory. Essay questions will be an issue-spotting, analysis, or problem-solving format typically seen in most law school exams. The essay and short answer questions will have page limits or other writing restrictions. You will receive instruction on the specific format of the exam toward the end of the course. The issues and topics for exam questions will come from the course readings and class discussions. Accordingly, class attendance and class preparation will be important to doing well in the course. </w:t>
      </w:r>
    </w:p>
    <w:p w:rsidR="00195D7B" w:rsidRDefault="00195D7B" w:rsidP="00195D7B">
      <w:pPr>
        <w:jc w:val="both"/>
        <w:rPr>
          <w:rFonts w:ascii="Book Antiqua" w:eastAsia="Times New Roman" w:hAnsi="Book Antiqua" w:cs="Times New Roman"/>
        </w:rPr>
      </w:pPr>
    </w:p>
    <w:p w:rsidR="00195D7B" w:rsidRPr="004A37DE" w:rsidRDefault="00195D7B" w:rsidP="00195D7B">
      <w:pPr>
        <w:jc w:val="both"/>
        <w:rPr>
          <w:rFonts w:ascii="Book Antiqua" w:eastAsia="Times New Roman" w:hAnsi="Book Antiqua" w:cs="Times New Roman"/>
          <w:b/>
        </w:rPr>
      </w:pPr>
      <w:r w:rsidRPr="004A37DE">
        <w:rPr>
          <w:rFonts w:ascii="Book Antiqua" w:eastAsia="Times New Roman" w:hAnsi="Book Antiqua" w:cs="Times New Roman"/>
          <w:b/>
        </w:rPr>
        <w:t>EXAM PROCEDURE</w:t>
      </w:r>
    </w:p>
    <w:p w:rsidR="00195D7B" w:rsidRDefault="00195D7B" w:rsidP="00195D7B">
      <w:pPr>
        <w:jc w:val="both"/>
        <w:rPr>
          <w:rFonts w:ascii="Book Antiqua" w:eastAsia="Times New Roman" w:hAnsi="Book Antiqua" w:cs="Times New Roman"/>
        </w:rPr>
      </w:pPr>
    </w:p>
    <w:p w:rsidR="00195D7B" w:rsidRPr="002967FE" w:rsidRDefault="00A664FE" w:rsidP="00195D7B">
      <w:pPr>
        <w:jc w:val="both"/>
      </w:pPr>
      <w:r w:rsidRPr="00A664FE">
        <w:t xml:space="preserve">This exam will be a 24 hour take-home exam.  Exam can be picked up at 10:00 am on May 1st </w:t>
      </w:r>
      <w:r>
        <w:t xml:space="preserve">at the Dean’s Office </w:t>
      </w:r>
      <w:r w:rsidRPr="00A664FE">
        <w:t xml:space="preserve">and must be submitted by 10am </w:t>
      </w:r>
      <w:r w:rsidRPr="00A664FE">
        <w:lastRenderedPageBreak/>
        <w:t>on May 2nd</w:t>
      </w:r>
      <w:r>
        <w:t xml:space="preserve"> at the Dean’s Office. Students will sign in the time of submission. </w:t>
      </w:r>
      <w:r w:rsidRPr="00A664FE">
        <w:t>No exam will be accepted after 4:30pm, May 2nd, which will result in a failing grade</w:t>
      </w:r>
      <w:r w:rsidRPr="004A37DE">
        <w:rPr>
          <w:rFonts w:ascii="Book Antiqua" w:eastAsia="Times New Roman" w:hAnsi="Book Antiqua" w:cs="Times New Roman"/>
        </w:rPr>
        <w:t>.</w:t>
      </w:r>
      <w:r>
        <w:rPr>
          <w:rFonts w:ascii="Book Antiqua" w:eastAsia="Times New Roman" w:hAnsi="Book Antiqua" w:cs="Times New Roman"/>
        </w:rPr>
        <w:t xml:space="preserve"> </w:t>
      </w:r>
      <w:r w:rsidR="00195D7B" w:rsidRPr="004A37DE">
        <w:rPr>
          <w:rFonts w:ascii="Book Antiqua" w:eastAsia="Times New Roman" w:hAnsi="Book Antiqua" w:cs="Times New Roman"/>
        </w:rPr>
        <w:t>If an exam is late, for every 1 hour period, the exam grade will be deducted by 5% of th</w:t>
      </w:r>
      <w:r>
        <w:rPr>
          <w:rFonts w:ascii="Book Antiqua" w:eastAsia="Times New Roman" w:hAnsi="Book Antiqua" w:cs="Times New Roman"/>
        </w:rPr>
        <w:t xml:space="preserve">e total maximum grade of 100%. </w:t>
      </w:r>
      <w:r w:rsidR="00195D7B">
        <w:rPr>
          <w:rFonts w:ascii="Book Antiqua" w:eastAsia="Times New Roman" w:hAnsi="Book Antiqua" w:cs="Times New Roman"/>
        </w:rPr>
        <w:t>A</w:t>
      </w:r>
      <w:r w:rsidR="00195D7B" w:rsidRPr="004A37DE">
        <w:rPr>
          <w:rFonts w:ascii="Book Antiqua" w:eastAsia="Times New Roman" w:hAnsi="Book Antiqua" w:cs="Times New Roman"/>
        </w:rPr>
        <w:t xml:space="preserve">ny fraction of </w:t>
      </w:r>
      <w:r w:rsidR="00195D7B">
        <w:rPr>
          <w:rFonts w:ascii="Book Antiqua" w:eastAsia="Times New Roman" w:hAnsi="Book Antiqua" w:cs="Times New Roman"/>
        </w:rPr>
        <w:t>an hour</w:t>
      </w:r>
      <w:r w:rsidR="00195D7B" w:rsidRPr="004A37DE">
        <w:rPr>
          <w:rFonts w:ascii="Book Antiqua" w:eastAsia="Times New Roman" w:hAnsi="Book Antiqua" w:cs="Times New Roman"/>
        </w:rPr>
        <w:t xml:space="preserve"> </w:t>
      </w:r>
      <w:r w:rsidR="00195D7B">
        <w:rPr>
          <w:rFonts w:ascii="Book Antiqua" w:eastAsia="Times New Roman" w:hAnsi="Book Antiqua" w:cs="Times New Roman"/>
        </w:rPr>
        <w:t xml:space="preserve">will be rounded up to one whole hour. </w:t>
      </w:r>
    </w:p>
    <w:p w:rsidR="00195D7B" w:rsidRPr="004A37DE" w:rsidRDefault="00195D7B" w:rsidP="00195D7B">
      <w:pPr>
        <w:jc w:val="both"/>
        <w:rPr>
          <w:rFonts w:ascii="Book Antiqua" w:eastAsia="Times New Roman" w:hAnsi="Book Antiqua" w:cs="Times New Roman"/>
        </w:rPr>
      </w:pPr>
    </w:p>
    <w:p w:rsidR="00195D7B" w:rsidRPr="004A37DE" w:rsidRDefault="00195D7B" w:rsidP="00195D7B">
      <w:pPr>
        <w:jc w:val="both"/>
        <w:rPr>
          <w:rFonts w:ascii="Book Antiqua" w:eastAsia="Times New Roman" w:hAnsi="Book Antiqua" w:cs="Times New Roman"/>
        </w:rPr>
      </w:pPr>
      <w:r w:rsidRPr="004A37DE">
        <w:rPr>
          <w:rFonts w:ascii="Book Antiqua" w:eastAsia="Times New Roman" w:hAnsi="Book Antiqua" w:cs="Times New Roman"/>
        </w:rPr>
        <w:t xml:space="preserve">Barring some exigent circumstance, Professor Rhee </w:t>
      </w:r>
      <w:r>
        <w:rPr>
          <w:rFonts w:ascii="Book Antiqua" w:eastAsia="Times New Roman" w:hAnsi="Book Antiqua" w:cs="Times New Roman"/>
        </w:rPr>
        <w:t>and</w:t>
      </w:r>
      <w:r w:rsidRPr="004A37DE">
        <w:rPr>
          <w:rFonts w:ascii="Book Antiqua" w:eastAsia="Times New Roman" w:hAnsi="Book Antiqua" w:cs="Times New Roman"/>
        </w:rPr>
        <w:t xml:space="preserve"> the Dean’s Office will </w:t>
      </w:r>
      <w:r w:rsidR="00CF36E7" w:rsidRPr="00E32473">
        <w:rPr>
          <w:rFonts w:ascii="Book Antiqua" w:eastAsia="Times New Roman" w:hAnsi="Book Antiqua" w:cs="Times New Roman"/>
          <w:b/>
          <w:u w:val="single"/>
        </w:rPr>
        <w:t>NOT</w:t>
      </w:r>
      <w:r w:rsidRPr="004A37DE">
        <w:rPr>
          <w:rFonts w:ascii="Book Antiqua" w:eastAsia="Times New Roman" w:hAnsi="Book Antiqua" w:cs="Times New Roman"/>
        </w:rPr>
        <w:t xml:space="preserve"> accept email delivery. Exams must be delivered in printed physical form. Please note </w:t>
      </w:r>
      <w:r w:rsidR="00E32473">
        <w:rPr>
          <w:rFonts w:ascii="Book Antiqua" w:eastAsia="Times New Roman" w:hAnsi="Book Antiqua" w:cs="Times New Roman"/>
        </w:rPr>
        <w:t>if a student emails</w:t>
      </w:r>
      <w:r w:rsidRPr="004A37DE">
        <w:rPr>
          <w:rFonts w:ascii="Book Antiqua" w:eastAsia="Times New Roman" w:hAnsi="Book Antiqua" w:cs="Times New Roman"/>
        </w:rPr>
        <w:t xml:space="preserve"> Professor Rhee </w:t>
      </w:r>
      <w:r w:rsidR="00E32473">
        <w:rPr>
          <w:rFonts w:ascii="Book Antiqua" w:eastAsia="Times New Roman" w:hAnsi="Book Antiqua" w:cs="Times New Roman"/>
        </w:rPr>
        <w:t xml:space="preserve">the exam, the student </w:t>
      </w:r>
      <w:r w:rsidRPr="004A37DE">
        <w:rPr>
          <w:rFonts w:ascii="Book Antiqua" w:eastAsia="Times New Roman" w:hAnsi="Book Antiqua" w:cs="Times New Roman"/>
        </w:rPr>
        <w:t xml:space="preserve">will </w:t>
      </w:r>
      <w:r>
        <w:rPr>
          <w:rFonts w:ascii="Book Antiqua" w:eastAsia="Times New Roman" w:hAnsi="Book Antiqua" w:cs="Times New Roman"/>
        </w:rPr>
        <w:t xml:space="preserve">necessarily </w:t>
      </w:r>
      <w:r w:rsidRPr="004A37DE">
        <w:rPr>
          <w:rFonts w:ascii="Book Antiqua" w:eastAsia="Times New Roman" w:hAnsi="Book Antiqua" w:cs="Times New Roman"/>
        </w:rPr>
        <w:t xml:space="preserve">compromise anonymity. </w:t>
      </w:r>
      <w:r w:rsidR="004D360D">
        <w:rPr>
          <w:rFonts w:ascii="Book Antiqua" w:eastAsia="Times New Roman" w:hAnsi="Book Antiqua" w:cs="Times New Roman"/>
        </w:rPr>
        <w:t xml:space="preserve">Please do not email the exam. </w:t>
      </w:r>
    </w:p>
    <w:p w:rsidR="0048487B" w:rsidRDefault="0048487B" w:rsidP="00EB437C">
      <w:pPr>
        <w:rPr>
          <w:rFonts w:ascii="Book Antiqua" w:hAnsi="Book Antiqua"/>
        </w:rPr>
      </w:pPr>
    </w:p>
    <w:p w:rsidR="00626746" w:rsidRPr="00D01FEB" w:rsidRDefault="00626746" w:rsidP="00626746">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626746" w:rsidRPr="00D01FEB" w:rsidRDefault="00626746" w:rsidP="00626746"/>
    <w:p w:rsidR="00626746" w:rsidRPr="00D01FEB" w:rsidRDefault="00626746" w:rsidP="00626746">
      <w:r w:rsidRPr="00D01FEB">
        <w:t>The Levin College of Law’s mean and mandatory distributions are posted on the College’s website and this class adheres to that posted grading policy. The following chart describes the specific letter grade/grade point equivalent in place:</w:t>
      </w:r>
    </w:p>
    <w:p w:rsidR="00626746" w:rsidRPr="00D01FEB" w:rsidRDefault="00626746" w:rsidP="00626746"/>
    <w:tbl>
      <w:tblPr>
        <w:tblW w:w="0" w:type="auto"/>
        <w:tblInd w:w="2330" w:type="dxa"/>
        <w:tblCellMar>
          <w:left w:w="0" w:type="dxa"/>
          <w:right w:w="0" w:type="dxa"/>
        </w:tblCellMar>
        <w:tblLook w:val="04A0" w:firstRow="1" w:lastRow="0" w:firstColumn="1" w:lastColumn="0" w:noHBand="0" w:noVBand="1"/>
      </w:tblPr>
      <w:tblGrid>
        <w:gridCol w:w="2312"/>
        <w:gridCol w:w="1980"/>
      </w:tblGrid>
      <w:tr w:rsidR="00626746" w:rsidRPr="00D01FEB" w:rsidTr="00DA5FC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Point Equivalent</w:t>
            </w:r>
          </w:p>
        </w:tc>
      </w:tr>
      <w:tr w:rsidR="00626746" w:rsidRPr="00D01FEB" w:rsidTr="00DA5FC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4.0</w:t>
            </w:r>
            <w:r>
              <w:t>0</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3.67</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3.33</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3.0</w:t>
            </w:r>
            <w:r>
              <w:t>0</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2.67</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2.33</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2.0</w:t>
            </w:r>
            <w:r>
              <w:t>0</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1.67</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1.33</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1.0</w:t>
            </w:r>
            <w:r>
              <w:t>0</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0.67</w:t>
            </w:r>
          </w:p>
        </w:tc>
      </w:tr>
      <w:tr w:rsidR="00626746" w:rsidRPr="00D01FEB"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746" w:rsidRPr="00D01FEB" w:rsidRDefault="00626746" w:rsidP="00DA5FCB">
            <w:pPr>
              <w:jc w:val="center"/>
            </w:pPr>
            <w:r w:rsidRPr="00D01FEB">
              <w:t>0.0</w:t>
            </w:r>
            <w:r>
              <w:t>0</w:t>
            </w:r>
          </w:p>
        </w:tc>
      </w:tr>
    </w:tbl>
    <w:p w:rsidR="00626746" w:rsidRPr="00D01FEB" w:rsidRDefault="00626746" w:rsidP="00626746"/>
    <w:p w:rsidR="00626746" w:rsidRPr="00D01FEB" w:rsidRDefault="00626746" w:rsidP="00626746">
      <w:pPr>
        <w:jc w:val="both"/>
      </w:pPr>
      <w:r w:rsidRPr="00D01FEB">
        <w:t xml:space="preserve">The law school grading policy is available at: </w:t>
      </w:r>
      <w:hyperlink r:id="rId5" w:anchor="9" w:history="1">
        <w:r w:rsidRPr="00D01FEB">
          <w:rPr>
            <w:rStyle w:val="Hyperlink"/>
          </w:rPr>
          <w:t>http://www.law.ufl.edu/student-affairs/current-students/academic-policies#9</w:t>
        </w:r>
      </w:hyperlink>
      <w:r w:rsidRPr="00D01FEB">
        <w:t>.</w:t>
      </w:r>
    </w:p>
    <w:p w:rsidR="00626746" w:rsidRDefault="00626746" w:rsidP="00626746">
      <w:pPr>
        <w:jc w:val="both"/>
        <w:rPr>
          <w:rFonts w:ascii="Book Antiqua" w:eastAsia="Times New Roman" w:hAnsi="Book Antiqua" w:cs="Times New Roman"/>
        </w:rPr>
      </w:pPr>
    </w:p>
    <w:p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626746" w:rsidRDefault="00626746" w:rsidP="00626746">
      <w:pPr>
        <w:jc w:val="both"/>
        <w:rPr>
          <w:rFonts w:ascii="Book Antiqua" w:eastAsia="Times New Roman" w:hAnsi="Book Antiqua" w:cs="Times New Roman"/>
        </w:rPr>
      </w:pPr>
    </w:p>
    <w:p w:rsidR="00626746" w:rsidRDefault="00626746" w:rsidP="00626746">
      <w:pPr>
        <w:jc w:val="both"/>
      </w:pPr>
      <w:r w:rsidRPr="00800466">
        <w:t>It is anticipated that you will spend approximately 2 hours out of class reading and/or preparing for in class assignments for every 1 hour in class.</w:t>
      </w:r>
    </w:p>
    <w:p w:rsidR="00626746" w:rsidRPr="00800466" w:rsidRDefault="00626746" w:rsidP="00626746">
      <w:pPr>
        <w:jc w:val="both"/>
      </w:pPr>
    </w:p>
    <w:p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lastRenderedPageBreak/>
        <w:t xml:space="preserve">ATTENDANCE  </w:t>
      </w:r>
    </w:p>
    <w:p w:rsidR="00626746" w:rsidRPr="006B2D85" w:rsidRDefault="00626746" w:rsidP="00626746">
      <w:pPr>
        <w:jc w:val="both"/>
        <w:rPr>
          <w:rFonts w:ascii="Book Antiqua" w:eastAsia="Times New Roman" w:hAnsi="Book Antiqua" w:cs="Times New Roman"/>
        </w:rPr>
      </w:pPr>
    </w:p>
    <w:p w:rsidR="00626746" w:rsidRDefault="00626746" w:rsidP="00626746">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6"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626746" w:rsidRDefault="00626746" w:rsidP="00626746">
      <w:pPr>
        <w:jc w:val="both"/>
        <w:rPr>
          <w:rFonts w:cs="Times New Roman"/>
        </w:rPr>
      </w:pPr>
    </w:p>
    <w:p w:rsidR="00626746" w:rsidRPr="0068569A" w:rsidRDefault="00626746" w:rsidP="00626746">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626746" w:rsidRDefault="00626746" w:rsidP="00626746">
      <w:pPr>
        <w:jc w:val="both"/>
        <w:rPr>
          <w:rFonts w:ascii="Book Antiqua" w:eastAsia="Times New Roman" w:hAnsi="Book Antiqua" w:cs="Times New Roman"/>
        </w:rPr>
      </w:pPr>
    </w:p>
    <w:p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rsidR="00626746" w:rsidRDefault="00626746" w:rsidP="00626746">
      <w:pPr>
        <w:jc w:val="both"/>
        <w:rPr>
          <w:rFonts w:ascii="Book Antiqua" w:eastAsia="Times New Roman" w:hAnsi="Book Antiqua" w:cs="Times New Roman"/>
        </w:rPr>
      </w:pPr>
    </w:p>
    <w:p w:rsidR="00626746" w:rsidRDefault="00626746" w:rsidP="00626746">
      <w:pPr>
        <w:jc w:val="both"/>
      </w:pPr>
      <w:r w:rsidRPr="00D01FEB">
        <w:t xml:space="preserve">Students requesting accommodation for disabilities must first register with the Disability Resource </w:t>
      </w:r>
      <w:proofErr w:type="gramStart"/>
      <w:r w:rsidRPr="00D01FEB">
        <w:t>Center  (</w:t>
      </w:r>
      <w:proofErr w:type="gramEnd"/>
      <w:r>
        <w:fldChar w:fldCharType="begin"/>
      </w:r>
      <w:r>
        <w:instrText xml:space="preserve"> HYPERLINK "http://www.dso.ufl.edu/drc/" </w:instrText>
      </w:r>
      <w:r>
        <w:fldChar w:fldCharType="separate"/>
      </w:r>
      <w:r w:rsidRPr="00D01FEB">
        <w:rPr>
          <w:rStyle w:val="Hyperlink"/>
        </w:rPr>
        <w:t>http</w:t>
      </w:r>
      <w:r>
        <w:rPr>
          <w:rStyle w:val="Hyperlink"/>
        </w:rPr>
        <w:fldChar w:fldCharType="end"/>
      </w:r>
      <w:hyperlink r:id="rId7" w:history="1">
        <w:r w:rsidRPr="00D01FEB">
          <w:rPr>
            <w:rStyle w:val="Hyperlink"/>
          </w:rPr>
          <w:t>://</w:t>
        </w:r>
      </w:hyperlink>
      <w:hyperlink r:id="rId8" w:history="1">
        <w:r w:rsidRPr="00D01FEB">
          <w:rPr>
            <w:rStyle w:val="Hyperlink"/>
          </w:rPr>
          <w:t>www</w:t>
        </w:r>
      </w:hyperlink>
      <w:hyperlink r:id="rId9" w:history="1">
        <w:r w:rsidRPr="00D01FEB">
          <w:rPr>
            <w:rStyle w:val="Hyperlink"/>
          </w:rPr>
          <w:t>.</w:t>
        </w:r>
      </w:hyperlink>
      <w:hyperlink r:id="rId10" w:history="1">
        <w:proofErr w:type="gramStart"/>
        <w:r w:rsidRPr="00D01FEB">
          <w:rPr>
            <w:rStyle w:val="Hyperlink"/>
          </w:rPr>
          <w:t>ds</w:t>
        </w:r>
        <w:proofErr w:type="gramEnd"/>
      </w:hyperlink>
      <w:hyperlink r:id="rId11" w:history="1">
        <w:r w:rsidRPr="00D01FEB">
          <w:rPr>
            <w:rStyle w:val="Hyperlink"/>
          </w:rPr>
          <w:t>o</w:t>
        </w:r>
      </w:hyperlink>
      <w:hyperlink r:id="rId12" w:history="1">
        <w:r w:rsidRPr="00D01FEB">
          <w:rPr>
            <w:rStyle w:val="Hyperlink"/>
          </w:rPr>
          <w:t>.</w:t>
        </w:r>
      </w:hyperlink>
      <w:hyperlink r:id="rId13" w:history="1">
        <w:proofErr w:type="gramStart"/>
        <w:r w:rsidRPr="00D01FEB">
          <w:rPr>
            <w:rStyle w:val="Hyperlink"/>
          </w:rPr>
          <w:t>ufl</w:t>
        </w:r>
        <w:proofErr w:type="gramEnd"/>
      </w:hyperlink>
      <w:hyperlink r:id="rId14" w:history="1">
        <w:r w:rsidRPr="00D01FEB">
          <w:rPr>
            <w:rStyle w:val="Hyperlink"/>
          </w:rPr>
          <w:t>.</w:t>
        </w:r>
      </w:hyperlink>
      <w:hyperlink r:id="rId15" w:history="1">
        <w:proofErr w:type="gramStart"/>
        <w:r w:rsidRPr="00D01FEB">
          <w:rPr>
            <w:rStyle w:val="Hyperlink"/>
          </w:rPr>
          <w:t>edu</w:t>
        </w:r>
      </w:hyperlink>
      <w:hyperlink r:id="rId16" w:history="1">
        <w:r w:rsidRPr="00D01FEB">
          <w:rPr>
            <w:rStyle w:val="Hyperlink"/>
          </w:rPr>
          <w:t>/</w:t>
        </w:r>
      </w:hyperlink>
      <w:hyperlink r:id="rId17" w:history="1">
        <w:r w:rsidRPr="00D01FEB">
          <w:rPr>
            <w:rStyle w:val="Hyperlink"/>
          </w:rPr>
          <w:t>drc</w:t>
        </w:r>
        <w:proofErr w:type="gramEnd"/>
      </w:hyperlink>
      <w:hyperlink r:id="rId18"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626746" w:rsidRDefault="00626746" w:rsidP="00626746">
      <w:pPr>
        <w:jc w:val="both"/>
      </w:pPr>
    </w:p>
    <w:p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626746" w:rsidRDefault="00626746" w:rsidP="00626746">
      <w:pPr>
        <w:jc w:val="both"/>
      </w:pPr>
    </w:p>
    <w:p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626746" w:rsidRDefault="00626746" w:rsidP="00626746">
      <w:pPr>
        <w:jc w:val="both"/>
        <w:rPr>
          <w:rFonts w:ascii="Book Antiqua" w:eastAsia="Times New Roman" w:hAnsi="Book Antiqua" w:cs="Times New Roman"/>
        </w:rPr>
      </w:pPr>
    </w:p>
    <w:p w:rsidR="00626746" w:rsidRPr="00E1609C" w:rsidRDefault="00626746" w:rsidP="00626746">
      <w:pPr>
        <w:jc w:val="both"/>
        <w:rPr>
          <w:rFonts w:eastAsia="Times New Roman" w:cs="Times New Roman"/>
        </w:rPr>
      </w:pPr>
      <w:r w:rsidRPr="00D01FEB">
        <w:t xml:space="preserve">Academic honesty and integrity are fundamental values of the University community. Students should be sure that they understand the UF Student Honor Code at </w:t>
      </w:r>
      <w:hyperlink r:id="rId19" w:history="1">
        <w:r w:rsidRPr="00D01FEB">
          <w:rPr>
            <w:rStyle w:val="Hyperlink"/>
          </w:rPr>
          <w:t>http</w:t>
        </w:r>
      </w:hyperlink>
      <w:hyperlink r:id="rId20" w:history="1">
        <w:proofErr w:type="gramStart"/>
        <w:r w:rsidRPr="00D01FEB">
          <w:rPr>
            <w:rStyle w:val="Hyperlink"/>
          </w:rPr>
          <w:t>:/</w:t>
        </w:r>
        <w:proofErr w:type="gramEnd"/>
        <w:r w:rsidRPr="00D01FEB">
          <w:rPr>
            <w:rStyle w:val="Hyperlink"/>
          </w:rPr>
          <w:t>/</w:t>
        </w:r>
      </w:hyperlink>
      <w:hyperlink r:id="rId21" w:history="1">
        <w:r w:rsidRPr="00D01FEB">
          <w:rPr>
            <w:rStyle w:val="Hyperlink"/>
          </w:rPr>
          <w:t>www</w:t>
        </w:r>
      </w:hyperlink>
      <w:hyperlink r:id="rId22" w:history="1">
        <w:r w:rsidRPr="00D01FEB">
          <w:rPr>
            <w:rStyle w:val="Hyperlink"/>
          </w:rPr>
          <w:t>.</w:t>
        </w:r>
      </w:hyperlink>
      <w:hyperlink r:id="rId23" w:history="1">
        <w:proofErr w:type="gramStart"/>
        <w:r w:rsidRPr="00D01FEB">
          <w:rPr>
            <w:rStyle w:val="Hyperlink"/>
          </w:rPr>
          <w:t>dso</w:t>
        </w:r>
        <w:proofErr w:type="gramEnd"/>
      </w:hyperlink>
      <w:hyperlink r:id="rId24" w:history="1">
        <w:r w:rsidRPr="00D01FEB">
          <w:rPr>
            <w:rStyle w:val="Hyperlink"/>
          </w:rPr>
          <w:t>.</w:t>
        </w:r>
      </w:hyperlink>
      <w:hyperlink r:id="rId25" w:history="1">
        <w:proofErr w:type="gramStart"/>
        <w:r w:rsidRPr="00D01FEB">
          <w:rPr>
            <w:rStyle w:val="Hyperlink"/>
          </w:rPr>
          <w:t>ufl</w:t>
        </w:r>
        <w:proofErr w:type="gramEnd"/>
      </w:hyperlink>
      <w:hyperlink r:id="rId26" w:history="1">
        <w:r w:rsidRPr="00D01FEB">
          <w:rPr>
            <w:rStyle w:val="Hyperlink"/>
          </w:rPr>
          <w:t>.</w:t>
        </w:r>
      </w:hyperlink>
      <w:hyperlink r:id="rId27" w:history="1">
        <w:proofErr w:type="gramStart"/>
        <w:r w:rsidRPr="00D01FEB">
          <w:rPr>
            <w:rStyle w:val="Hyperlink"/>
          </w:rPr>
          <w:t>edu</w:t>
        </w:r>
      </w:hyperlink>
      <w:hyperlink r:id="rId28" w:history="1">
        <w:r w:rsidRPr="00D01FEB">
          <w:rPr>
            <w:rStyle w:val="Hyperlink"/>
          </w:rPr>
          <w:t>/</w:t>
        </w:r>
      </w:hyperlink>
      <w:hyperlink r:id="rId29" w:history="1">
        <w:r w:rsidRPr="00D01FEB">
          <w:rPr>
            <w:rStyle w:val="Hyperlink"/>
          </w:rPr>
          <w:t>students</w:t>
        </w:r>
        <w:proofErr w:type="gramEnd"/>
      </w:hyperlink>
      <w:hyperlink r:id="rId30" w:history="1">
        <w:r w:rsidRPr="00D01FEB">
          <w:rPr>
            <w:rStyle w:val="Hyperlink"/>
          </w:rPr>
          <w:t>.</w:t>
        </w:r>
      </w:hyperlink>
      <w:hyperlink r:id="rId31" w:history="1">
        <w:proofErr w:type="gramStart"/>
        <w:r w:rsidRPr="00D01FEB">
          <w:rPr>
            <w:rStyle w:val="Hyperlink"/>
          </w:rPr>
          <w:t>php</w:t>
        </w:r>
        <w:proofErr w:type="gramEnd"/>
      </w:hyperlink>
      <w:r w:rsidRPr="00D01FEB">
        <w:t xml:space="preserve">. </w:t>
      </w:r>
    </w:p>
    <w:p w:rsidR="00DF53FF" w:rsidRDefault="00DF53FF" w:rsidP="00DF53FF">
      <w:pPr>
        <w:rPr>
          <w:rFonts w:ascii="Book Antiqua" w:hAnsi="Book Antiqua"/>
        </w:rPr>
      </w:pPr>
    </w:p>
    <w:p w:rsidR="00DF53FF" w:rsidRPr="00423960" w:rsidRDefault="00DF53FF" w:rsidP="00EB437C">
      <w:pPr>
        <w:rPr>
          <w:rFonts w:ascii="Book Antiqua" w:hAnsi="Book Antiqua"/>
        </w:rPr>
        <w:sectPr w:rsidR="00DF53FF" w:rsidRPr="00423960">
          <w:pgSz w:w="12240" w:h="15840"/>
          <w:pgMar w:top="1440" w:right="1440" w:bottom="1440" w:left="1440" w:header="720" w:footer="720" w:gutter="0"/>
          <w:cols w:space="720"/>
          <w:docGrid w:linePitch="360"/>
        </w:sectPr>
      </w:pPr>
    </w:p>
    <w:p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rsidR="00AD33CD" w:rsidRDefault="00AD33CD" w:rsidP="00AD33CD">
      <w:pPr>
        <w:rPr>
          <w:rFonts w:ascii="Book Antiqua" w:hAnsi="Book Antiqua"/>
          <w:b/>
        </w:rPr>
      </w:pPr>
    </w:p>
    <w:p w:rsidR="00AD33CD" w:rsidRPr="0048487B"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rsidTr="00B57107">
        <w:trPr>
          <w:trHeight w:val="773"/>
        </w:trPr>
        <w:tc>
          <w:tcPr>
            <w:tcW w:w="810" w:type="dxa"/>
            <w:vAlign w:val="center"/>
          </w:tcPr>
          <w:p w:rsidR="00AD33CD" w:rsidRPr="00E81769" w:rsidRDefault="00AD33CD" w:rsidP="00B57107">
            <w:pPr>
              <w:jc w:val="center"/>
              <w:rPr>
                <w:rFonts w:ascii="Book Antiqua" w:hAnsi="Book Antiqua"/>
                <w:b/>
              </w:rPr>
            </w:pPr>
            <w:r w:rsidRPr="00E81769">
              <w:rPr>
                <w:rFonts w:ascii="Book Antiqua" w:hAnsi="Book Antiqua"/>
                <w:b/>
              </w:rPr>
              <w:t>Class #</w:t>
            </w:r>
          </w:p>
        </w:tc>
        <w:tc>
          <w:tcPr>
            <w:tcW w:w="6660" w:type="dxa"/>
          </w:tcPr>
          <w:p w:rsidR="00AD33CD" w:rsidRPr="00E81769" w:rsidRDefault="00AD33CD" w:rsidP="00B57107">
            <w:pPr>
              <w:jc w:val="center"/>
              <w:rPr>
                <w:rFonts w:ascii="Book Antiqua" w:hAnsi="Book Antiqua"/>
                <w:b/>
              </w:rPr>
            </w:pPr>
          </w:p>
          <w:p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890" w:type="dxa"/>
            <w:vAlign w:val="center"/>
          </w:tcPr>
          <w:p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rsidTr="00B57107">
        <w:trPr>
          <w:trHeight w:val="692"/>
        </w:trPr>
        <w:tc>
          <w:tcPr>
            <w:tcW w:w="810" w:type="dxa"/>
            <w:shd w:val="clear" w:color="auto" w:fill="D9D9D9" w:themeFill="background1" w:themeFillShade="D9"/>
          </w:tcPr>
          <w:p w:rsidR="00AD33CD" w:rsidRPr="00E81769" w:rsidRDefault="00AD33CD" w:rsidP="00B57107">
            <w:pPr>
              <w:jc w:val="center"/>
              <w:rPr>
                <w:rFonts w:ascii="Book Antiqua" w:hAnsi="Book Antiqua"/>
              </w:rPr>
            </w:pPr>
            <w:r w:rsidRPr="00E81769">
              <w:rPr>
                <w:rFonts w:ascii="Book Antiqua" w:hAnsi="Book Antiqua"/>
              </w:rPr>
              <w:t>1.1</w:t>
            </w:r>
          </w:p>
        </w:tc>
        <w:tc>
          <w:tcPr>
            <w:tcW w:w="6660" w:type="dxa"/>
            <w:shd w:val="clear" w:color="auto" w:fill="D9D9D9" w:themeFill="background1" w:themeFillShade="D9"/>
          </w:tcPr>
          <w:p w:rsidR="00FF1776" w:rsidRPr="00E81769" w:rsidRDefault="00FF1776" w:rsidP="00B57107">
            <w:pPr>
              <w:jc w:val="both"/>
              <w:rPr>
                <w:rFonts w:ascii="Book Antiqua" w:hAnsi="Book Antiqua"/>
              </w:rPr>
            </w:pPr>
            <w:r w:rsidRPr="00E81769">
              <w:rPr>
                <w:rFonts w:ascii="Book Antiqua" w:hAnsi="Book Antiqua"/>
              </w:rPr>
              <w:t>INTRODUCTION</w:t>
            </w:r>
          </w:p>
          <w:p w:rsidR="00FF1776" w:rsidRPr="00E81769" w:rsidRDefault="00FF1776" w:rsidP="00B57107">
            <w:pPr>
              <w:jc w:val="both"/>
              <w:rPr>
                <w:rFonts w:ascii="Book Antiqua" w:hAnsi="Book Antiqua"/>
              </w:rPr>
            </w:pPr>
          </w:p>
          <w:p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rsidR="00583F99" w:rsidRPr="00E81769" w:rsidRDefault="00583F99" w:rsidP="00583F99">
            <w:pPr>
              <w:pStyle w:val="ListParagraph"/>
              <w:numPr>
                <w:ilvl w:val="1"/>
                <w:numId w:val="1"/>
              </w:numPr>
              <w:jc w:val="both"/>
              <w:rPr>
                <w:rFonts w:ascii="Book Antiqua" w:hAnsi="Book Antiqua"/>
                <w:i/>
              </w:rPr>
            </w:pPr>
            <w:r w:rsidRPr="00E81769">
              <w:rPr>
                <w:rFonts w:ascii="Book Antiqua" w:hAnsi="Book Antiqua"/>
                <w:i/>
              </w:rPr>
              <w:t>Bolt v. Merrimack Pharmaceuticals, Inc.</w:t>
            </w:r>
          </w:p>
          <w:p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rsidR="00FF1776" w:rsidRPr="00E81769" w:rsidRDefault="00FF1776" w:rsidP="00FF1776">
            <w:pPr>
              <w:pStyle w:val="ListParagraph"/>
              <w:ind w:left="360"/>
              <w:jc w:val="both"/>
              <w:rPr>
                <w:rFonts w:ascii="Book Antiqua" w:hAnsi="Book Antiqua"/>
              </w:rPr>
            </w:pPr>
          </w:p>
        </w:tc>
        <w:tc>
          <w:tcPr>
            <w:tcW w:w="1890" w:type="dxa"/>
            <w:shd w:val="clear" w:color="auto" w:fill="D9D9D9" w:themeFill="background1" w:themeFillShade="D9"/>
          </w:tcPr>
          <w:p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-20</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1.2</w:t>
            </w:r>
          </w:p>
        </w:tc>
        <w:tc>
          <w:tcPr>
            <w:tcW w:w="6660" w:type="dxa"/>
            <w:shd w:val="clear" w:color="auto" w:fill="D9D9D9" w:themeFill="background1" w:themeFillShade="D9"/>
          </w:tcPr>
          <w:p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rsidR="00AD33CD" w:rsidRPr="00E81769" w:rsidRDefault="00AD33CD" w:rsidP="00B57107"/>
        </w:tc>
        <w:tc>
          <w:tcPr>
            <w:tcW w:w="1890" w:type="dxa"/>
            <w:shd w:val="clear" w:color="auto" w:fill="D9D9D9" w:themeFill="background1" w:themeFillShade="D9"/>
          </w:tcPr>
          <w:p w:rsidR="00AD33CD" w:rsidRPr="00E81769" w:rsidRDefault="00583F99" w:rsidP="00B57107">
            <w:pPr>
              <w:jc w:val="center"/>
            </w:pPr>
            <w:r w:rsidRPr="00E81769">
              <w:t>20</w:t>
            </w:r>
            <w:r w:rsidR="00FF1776" w:rsidRPr="00E81769">
              <w:t>-</w:t>
            </w:r>
            <w:r w:rsidRPr="00E81769">
              <w:t>36</w:t>
            </w:r>
          </w:p>
        </w:tc>
      </w:tr>
      <w:tr w:rsidR="00AD33CD" w:rsidRPr="00420406" w:rsidTr="00B57107">
        <w:tc>
          <w:tcPr>
            <w:tcW w:w="810" w:type="dxa"/>
          </w:tcPr>
          <w:p w:rsidR="00AD33CD" w:rsidRPr="00E81769" w:rsidRDefault="00AD33CD" w:rsidP="00B57107">
            <w:pPr>
              <w:jc w:val="center"/>
            </w:pPr>
            <w:r w:rsidRPr="00E81769">
              <w:t>2.1</w:t>
            </w:r>
          </w:p>
        </w:tc>
        <w:tc>
          <w:tcPr>
            <w:tcW w:w="6660" w:type="dxa"/>
          </w:tcPr>
          <w:p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Alcoa financial statements   </w:t>
            </w:r>
          </w:p>
          <w:p w:rsidR="00583F99" w:rsidRPr="00E81769" w:rsidRDefault="00583F99" w:rsidP="00B57107">
            <w:pPr>
              <w:jc w:val="both"/>
              <w:rPr>
                <w:rFonts w:ascii="Book Antiqua" w:hAnsi="Book Antiqua"/>
              </w:rPr>
            </w:pPr>
          </w:p>
          <w:p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rsidR="00AD33CD" w:rsidRPr="00E81769" w:rsidRDefault="00AD33CD" w:rsidP="00DD3428">
            <w:pPr>
              <w:jc w:val="both"/>
            </w:pPr>
          </w:p>
        </w:tc>
        <w:tc>
          <w:tcPr>
            <w:tcW w:w="1890" w:type="dxa"/>
          </w:tcPr>
          <w:p w:rsidR="00AD33CD" w:rsidRPr="00E81769" w:rsidRDefault="00583F99" w:rsidP="00B57107">
            <w:pPr>
              <w:jc w:val="center"/>
            </w:pPr>
            <w:r w:rsidRPr="00E81769">
              <w:t>37-40</w:t>
            </w:r>
          </w:p>
          <w:p w:rsidR="00AD33CD" w:rsidRPr="00E81769" w:rsidRDefault="00AD33CD" w:rsidP="00B57107">
            <w:pPr>
              <w:jc w:val="center"/>
            </w:pPr>
          </w:p>
          <w:p w:rsidR="00AD33CD" w:rsidRPr="00E81769" w:rsidRDefault="00DD3428" w:rsidP="00B57107">
            <w:pPr>
              <w:jc w:val="center"/>
            </w:pPr>
            <w:r w:rsidRPr="00E81769">
              <w:t>41-56</w:t>
            </w:r>
          </w:p>
          <w:p w:rsidR="00AD33CD" w:rsidRPr="00E81769" w:rsidRDefault="00AD33CD" w:rsidP="00B57107">
            <w:pPr>
              <w:jc w:val="center"/>
            </w:pPr>
            <w:r w:rsidRPr="00E81769">
              <w:t xml:space="preserve"> </w:t>
            </w:r>
          </w:p>
        </w:tc>
      </w:tr>
      <w:tr w:rsidR="00E81769" w:rsidRPr="00420406" w:rsidTr="00B57107">
        <w:tc>
          <w:tcPr>
            <w:tcW w:w="810" w:type="dxa"/>
          </w:tcPr>
          <w:p w:rsidR="00E81769" w:rsidRPr="00E81769" w:rsidRDefault="00E81769" w:rsidP="00B57107">
            <w:pPr>
              <w:jc w:val="center"/>
            </w:pPr>
            <w:r>
              <w:t>2.2</w:t>
            </w:r>
          </w:p>
        </w:tc>
        <w:tc>
          <w:tcPr>
            <w:tcW w:w="6660" w:type="dxa"/>
          </w:tcPr>
          <w:p w:rsidR="00E81769" w:rsidRPr="00E81769" w:rsidRDefault="00E81769" w:rsidP="00E81769">
            <w:pPr>
              <w:jc w:val="both"/>
              <w:rPr>
                <w:rFonts w:ascii="Book Antiqua" w:hAnsi="Book Antiqua"/>
              </w:rPr>
            </w:pPr>
            <w:r w:rsidRPr="00E81769">
              <w:rPr>
                <w:rFonts w:ascii="Book Antiqua" w:hAnsi="Book Antiqua"/>
              </w:rPr>
              <w:t>CHAPTER 2:  FINANCE PRINCIPLES</w:t>
            </w:r>
          </w:p>
          <w:p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Vanderveer</w:t>
            </w:r>
            <w:proofErr w:type="spellEnd"/>
            <w:r w:rsidRPr="00E81769">
              <w:rPr>
                <w:rFonts w:ascii="Book Antiqua" w:hAnsi="Book Antiqua"/>
                <w:i/>
              </w:rPr>
              <w:t xml:space="preserve"> Estates Holding, LLC</w:t>
            </w:r>
          </w:p>
          <w:p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rsidR="00E81769" w:rsidRPr="00E81769" w:rsidRDefault="00E81769" w:rsidP="00583F99">
            <w:pPr>
              <w:jc w:val="both"/>
              <w:rPr>
                <w:rFonts w:ascii="Book Antiqua" w:hAnsi="Book Antiqua"/>
              </w:rPr>
            </w:pPr>
          </w:p>
        </w:tc>
        <w:tc>
          <w:tcPr>
            <w:tcW w:w="1890" w:type="dxa"/>
          </w:tcPr>
          <w:p w:rsidR="00E81769" w:rsidRPr="00E81769" w:rsidRDefault="005B2893" w:rsidP="00B57107">
            <w:pPr>
              <w:jc w:val="center"/>
            </w:pPr>
            <w:r w:rsidRPr="00E81769">
              <w:t>56-79</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3.2</w:t>
            </w:r>
          </w:p>
        </w:tc>
        <w:tc>
          <w:tcPr>
            <w:tcW w:w="6660" w:type="dxa"/>
            <w:shd w:val="clear" w:color="auto" w:fill="D9D9D9" w:themeFill="background1" w:themeFillShade="D9"/>
          </w:tcPr>
          <w:p w:rsidR="00E808EE" w:rsidRPr="00E808EE" w:rsidRDefault="00E808EE" w:rsidP="00B57107">
            <w:pPr>
              <w:jc w:val="both"/>
              <w:rPr>
                <w:rFonts w:ascii="Book Antiqua" w:hAnsi="Book Antiqua"/>
                <w:b/>
              </w:rPr>
            </w:pPr>
            <w:r>
              <w:rPr>
                <w:rFonts w:ascii="Book Antiqua" w:hAnsi="Book Antiqua"/>
                <w:b/>
              </w:rPr>
              <w:t>NOTE:  This class will be held on Friday, Jan. 18 (rather than the regular Tuesday, Jan. 22</w:t>
            </w:r>
            <w:r w:rsidR="000B3501">
              <w:rPr>
                <w:rFonts w:ascii="Book Antiqua" w:hAnsi="Book Antiqua"/>
                <w:b/>
              </w:rPr>
              <w:t xml:space="preserve"> and no class on Tuesday, Jan. 22</w:t>
            </w:r>
            <w:r>
              <w:rPr>
                <w:rFonts w:ascii="Book Antiqua" w:hAnsi="Book Antiqua"/>
                <w:b/>
              </w:rPr>
              <w:t>)</w:t>
            </w:r>
          </w:p>
          <w:p w:rsidR="00E808EE" w:rsidRDefault="00E808EE" w:rsidP="00B57107">
            <w:pPr>
              <w:jc w:val="both"/>
              <w:rPr>
                <w:rFonts w:ascii="Book Antiqua" w:hAnsi="Book Antiqua"/>
              </w:rPr>
            </w:pPr>
          </w:p>
          <w:p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rsidR="00DC05DE" w:rsidRPr="00E81769" w:rsidRDefault="00DC05DE" w:rsidP="00404778">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rsidR="00404778" w:rsidRPr="00E81769" w:rsidRDefault="00DC05DE" w:rsidP="006A3BFD">
            <w:pPr>
              <w:pStyle w:val="ListParagraph"/>
              <w:numPr>
                <w:ilvl w:val="0"/>
                <w:numId w:val="8"/>
              </w:numPr>
              <w:jc w:val="both"/>
              <w:rPr>
                <w:rFonts w:ascii="Book Antiqua" w:hAnsi="Book Antiqua"/>
              </w:rPr>
            </w:pPr>
            <w:r w:rsidRPr="00E81769">
              <w:rPr>
                <w:rFonts w:ascii="Book Antiqua" w:hAnsi="Book Antiqua"/>
              </w:rPr>
              <w:t xml:space="preserve">Valuation of bonds </w:t>
            </w:r>
          </w:p>
          <w:p w:rsidR="0093203E" w:rsidRDefault="0093203E" w:rsidP="00E808EE">
            <w:pPr>
              <w:jc w:val="both"/>
            </w:pPr>
          </w:p>
          <w:p w:rsidR="00CB50D2" w:rsidRDefault="00CB50D2" w:rsidP="00E808EE">
            <w:pPr>
              <w:jc w:val="both"/>
            </w:pPr>
          </w:p>
          <w:p w:rsidR="00CB50D2" w:rsidRDefault="00CB50D2" w:rsidP="00E808EE">
            <w:pPr>
              <w:jc w:val="both"/>
            </w:pPr>
          </w:p>
          <w:p w:rsidR="0093203E" w:rsidRPr="00E81769" w:rsidRDefault="0093203E" w:rsidP="00DC05DE">
            <w:pPr>
              <w:pStyle w:val="ListParagraph"/>
              <w:ind w:left="360"/>
              <w:jc w:val="both"/>
            </w:pPr>
          </w:p>
        </w:tc>
        <w:tc>
          <w:tcPr>
            <w:tcW w:w="1890" w:type="dxa"/>
            <w:shd w:val="clear" w:color="auto" w:fill="D9D9D9" w:themeFill="background1" w:themeFillShade="D9"/>
          </w:tcPr>
          <w:p w:rsidR="00AD33CD" w:rsidRPr="00E81769" w:rsidRDefault="00404778" w:rsidP="00B57107">
            <w:pPr>
              <w:jc w:val="center"/>
            </w:pPr>
            <w:r w:rsidRPr="00E81769">
              <w:lastRenderedPageBreak/>
              <w:t>81-</w:t>
            </w:r>
            <w:r w:rsidR="00DC05DE" w:rsidRPr="00E81769">
              <w:t>108</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4.1</w:t>
            </w:r>
          </w:p>
        </w:tc>
        <w:tc>
          <w:tcPr>
            <w:tcW w:w="6660" w:type="dxa"/>
            <w:shd w:val="clear" w:color="auto" w:fill="FFFFFF" w:themeFill="background1"/>
          </w:tcPr>
          <w:p w:rsidR="00DC05DE" w:rsidRPr="00E81769" w:rsidRDefault="00DC05DE" w:rsidP="00DC05DE">
            <w:pPr>
              <w:jc w:val="both"/>
              <w:rPr>
                <w:rFonts w:ascii="Book Antiqua" w:hAnsi="Book Antiqua"/>
              </w:rPr>
            </w:pPr>
            <w:r w:rsidRPr="00E81769">
              <w:rPr>
                <w:rFonts w:ascii="Book Antiqua" w:hAnsi="Book Antiqua"/>
              </w:rPr>
              <w:t xml:space="preserve">CHAPTER 3:  VALUATION  </w:t>
            </w:r>
          </w:p>
          <w:p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rsidR="00AD33CD" w:rsidRPr="00E81769" w:rsidRDefault="00AD33CD" w:rsidP="00DC05DE">
            <w:pPr>
              <w:jc w:val="both"/>
            </w:pPr>
          </w:p>
          <w:p w:rsidR="0052773E" w:rsidRPr="00E81769" w:rsidRDefault="0052773E" w:rsidP="00DC05DE">
            <w:pPr>
              <w:jc w:val="both"/>
            </w:pPr>
          </w:p>
          <w:p w:rsidR="0052773E" w:rsidRPr="00E81769" w:rsidRDefault="0052773E" w:rsidP="00DC05DE">
            <w:pPr>
              <w:jc w:val="both"/>
            </w:pPr>
          </w:p>
        </w:tc>
        <w:tc>
          <w:tcPr>
            <w:tcW w:w="1890" w:type="dxa"/>
            <w:shd w:val="clear" w:color="auto" w:fill="FFFFFF" w:themeFill="background1"/>
          </w:tcPr>
          <w:p w:rsidR="00AD33CD" w:rsidRPr="00E81769" w:rsidRDefault="00DC05DE" w:rsidP="00B57107">
            <w:pPr>
              <w:jc w:val="center"/>
            </w:pPr>
            <w:r w:rsidRPr="00E81769">
              <w:t>108-136</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4.2</w:t>
            </w:r>
          </w:p>
        </w:tc>
        <w:tc>
          <w:tcPr>
            <w:tcW w:w="6660" w:type="dxa"/>
            <w:shd w:val="clear" w:color="auto" w:fill="FFFFFF" w:themeFill="background1"/>
          </w:tcPr>
          <w:p w:rsidR="00DC05DE" w:rsidRPr="00E81769" w:rsidRDefault="00DC05DE" w:rsidP="00DC05DE">
            <w:pPr>
              <w:jc w:val="both"/>
              <w:rPr>
                <w:rFonts w:ascii="Book Antiqua" w:hAnsi="Book Antiqua"/>
              </w:rPr>
            </w:pPr>
            <w:r w:rsidRPr="00E81769">
              <w:rPr>
                <w:rFonts w:ascii="Book Antiqua" w:hAnsi="Book Antiqua"/>
              </w:rPr>
              <w:t xml:space="preserve">CHAPTER 3:  VALUATION  </w:t>
            </w:r>
          </w:p>
          <w:p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Basic, Inc. v. Levinson </w:t>
            </w:r>
          </w:p>
          <w:p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West v. Prudential Securities, Inc. </w:t>
            </w:r>
          </w:p>
          <w:p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Polymedica</w:t>
            </w:r>
            <w:proofErr w:type="spellEnd"/>
            <w:r w:rsidRPr="00E81769">
              <w:rPr>
                <w:rFonts w:ascii="Book Antiqua" w:hAnsi="Book Antiqua"/>
                <w:i/>
              </w:rPr>
              <w:t xml:space="preserve"> Corp. Sec. </w:t>
            </w:r>
            <w:proofErr w:type="spellStart"/>
            <w:r w:rsidRPr="00E81769">
              <w:rPr>
                <w:rFonts w:ascii="Book Antiqua" w:hAnsi="Book Antiqua"/>
                <w:i/>
              </w:rPr>
              <w:t>Litig</w:t>
            </w:r>
            <w:proofErr w:type="spellEnd"/>
            <w:r w:rsidRPr="00E81769">
              <w:rPr>
                <w:rFonts w:ascii="Book Antiqua" w:hAnsi="Book Antiqua"/>
                <w:i/>
              </w:rPr>
              <w:t xml:space="preserve">. </w:t>
            </w:r>
          </w:p>
          <w:p w:rsidR="00AD33CD" w:rsidRPr="00E81769" w:rsidRDefault="00AD33CD" w:rsidP="00B57107">
            <w:pPr>
              <w:jc w:val="both"/>
            </w:pPr>
          </w:p>
        </w:tc>
        <w:tc>
          <w:tcPr>
            <w:tcW w:w="1890" w:type="dxa"/>
            <w:shd w:val="clear" w:color="auto" w:fill="FFFFFF" w:themeFill="background1"/>
          </w:tcPr>
          <w:p w:rsidR="00AD33CD" w:rsidRPr="00E81769" w:rsidRDefault="00DC05DE" w:rsidP="00B57107">
            <w:pPr>
              <w:jc w:val="center"/>
            </w:pPr>
            <w:r w:rsidRPr="00E81769">
              <w:t>136-</w:t>
            </w:r>
            <w:r w:rsidR="001E7403" w:rsidRPr="00E81769">
              <w:t>166</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5.1</w:t>
            </w:r>
          </w:p>
        </w:tc>
        <w:tc>
          <w:tcPr>
            <w:tcW w:w="6660" w:type="dxa"/>
            <w:shd w:val="clear" w:color="auto" w:fill="D9D9D9" w:themeFill="background1" w:themeFillShade="D9"/>
          </w:tcPr>
          <w:p w:rsidR="00802836" w:rsidRPr="00E81769" w:rsidRDefault="00802836" w:rsidP="00802836">
            <w:pPr>
              <w:jc w:val="both"/>
              <w:rPr>
                <w:rFonts w:ascii="Book Antiqua" w:hAnsi="Book Antiqua"/>
              </w:rPr>
            </w:pPr>
            <w:r w:rsidRPr="00E81769">
              <w:rPr>
                <w:rFonts w:ascii="Book Antiqua" w:hAnsi="Book Antiqua"/>
              </w:rPr>
              <w:t xml:space="preserve">CHAPTER 4:  CAPITAL TRANSACTIONS, STRUCTURE, AND MARKETS   </w:t>
            </w:r>
          </w:p>
          <w:p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rsidR="00AD33CD" w:rsidRPr="00E81769" w:rsidRDefault="00AD33CD" w:rsidP="00802836">
            <w:pPr>
              <w:jc w:val="both"/>
            </w:pPr>
          </w:p>
        </w:tc>
        <w:tc>
          <w:tcPr>
            <w:tcW w:w="1890" w:type="dxa"/>
            <w:shd w:val="clear" w:color="auto" w:fill="D9D9D9" w:themeFill="background1" w:themeFillShade="D9"/>
          </w:tcPr>
          <w:p w:rsidR="00AD33CD" w:rsidRPr="00E81769" w:rsidRDefault="00802836" w:rsidP="001E7403">
            <w:pPr>
              <w:jc w:val="center"/>
            </w:pPr>
            <w:r w:rsidRPr="00E81769">
              <w:t>167-195</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5.2</w:t>
            </w:r>
          </w:p>
        </w:tc>
        <w:tc>
          <w:tcPr>
            <w:tcW w:w="6660" w:type="dxa"/>
            <w:shd w:val="clear" w:color="auto" w:fill="D9D9D9" w:themeFill="background1" w:themeFillShade="D9"/>
          </w:tcPr>
          <w:p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 xml:space="preserve">CHAPTER 4:  CAPITAL TRANSACTIONS, STRUCTURE, AND MARKETS   </w:t>
            </w:r>
          </w:p>
          <w:p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rsidR="00EF1FB2" w:rsidRPr="00E81769" w:rsidRDefault="00EF1FB2" w:rsidP="00EF1FB2">
            <w:pPr>
              <w:jc w:val="both"/>
              <w:rPr>
                <w:rFonts w:ascii="Book Antiqua" w:hAnsi="Book Antiqua"/>
              </w:rPr>
            </w:pPr>
          </w:p>
          <w:p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rsidR="00AD33CD" w:rsidRPr="00E81769" w:rsidRDefault="00AD33CD" w:rsidP="00B57107"/>
        </w:tc>
        <w:tc>
          <w:tcPr>
            <w:tcW w:w="1890" w:type="dxa"/>
            <w:shd w:val="clear" w:color="auto" w:fill="D9D9D9" w:themeFill="background1" w:themeFillShade="D9"/>
          </w:tcPr>
          <w:p w:rsidR="00AD33CD" w:rsidRPr="00E81769" w:rsidRDefault="00EF1FB2" w:rsidP="00B57107">
            <w:pPr>
              <w:jc w:val="center"/>
            </w:pPr>
            <w:r w:rsidRPr="00E81769">
              <w:t>195-224</w:t>
            </w:r>
          </w:p>
          <w:p w:rsidR="00EF1FB2" w:rsidRPr="00E81769" w:rsidRDefault="00EF1FB2" w:rsidP="00B57107">
            <w:pPr>
              <w:jc w:val="center"/>
            </w:pPr>
          </w:p>
          <w:p w:rsidR="00EF1FB2" w:rsidRPr="00E81769" w:rsidRDefault="00EF1FB2" w:rsidP="00B57107">
            <w:pPr>
              <w:jc w:val="center"/>
            </w:pPr>
            <w:r w:rsidRPr="00E81769">
              <w:t>225-229</w:t>
            </w:r>
          </w:p>
          <w:p w:rsidR="00AD33CD" w:rsidRPr="00E81769" w:rsidRDefault="00AD33CD" w:rsidP="00B57107">
            <w:pPr>
              <w:jc w:val="center"/>
            </w:pP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6.1</w:t>
            </w:r>
          </w:p>
        </w:tc>
        <w:tc>
          <w:tcPr>
            <w:tcW w:w="6660" w:type="dxa"/>
            <w:shd w:val="clear" w:color="auto" w:fill="FFFFFF" w:themeFill="background1"/>
          </w:tcPr>
          <w:p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In re C-T of Virginia, Inc. </w:t>
            </w:r>
          </w:p>
          <w:p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Matter of Munford, Inc. </w:t>
            </w:r>
          </w:p>
          <w:p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Kamin</w:t>
            </w:r>
            <w:proofErr w:type="spellEnd"/>
            <w:r w:rsidRPr="00E81769">
              <w:rPr>
                <w:rFonts w:ascii="Book Antiqua" w:hAnsi="Book Antiqua"/>
                <w:i/>
              </w:rPr>
              <w:t xml:space="preserve"> v. American Express Co. </w:t>
            </w:r>
          </w:p>
          <w:p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rsidR="00AD33CD" w:rsidRPr="00E81769" w:rsidRDefault="00AD33CD" w:rsidP="00B57107"/>
        </w:tc>
        <w:tc>
          <w:tcPr>
            <w:tcW w:w="1890" w:type="dxa"/>
            <w:shd w:val="clear" w:color="auto" w:fill="FFFFFF" w:themeFill="background1"/>
          </w:tcPr>
          <w:p w:rsidR="00AD33CD" w:rsidRPr="00E81769" w:rsidRDefault="00EF1FB2" w:rsidP="00B57107">
            <w:pPr>
              <w:jc w:val="center"/>
            </w:pPr>
            <w:r w:rsidRPr="00E81769">
              <w:t>229-</w:t>
            </w:r>
            <w:r w:rsidR="00137AD5" w:rsidRPr="00E81769">
              <w:t>256</w:t>
            </w:r>
          </w:p>
        </w:tc>
      </w:tr>
      <w:tr w:rsidR="00AD33CD" w:rsidRPr="00420406" w:rsidTr="00B57107">
        <w:tc>
          <w:tcPr>
            <w:tcW w:w="810" w:type="dxa"/>
          </w:tcPr>
          <w:p w:rsidR="00AD33CD" w:rsidRPr="00E81769" w:rsidRDefault="00AD33CD" w:rsidP="00B57107">
            <w:pPr>
              <w:jc w:val="center"/>
            </w:pPr>
            <w:r w:rsidRPr="00E81769">
              <w:t>6.2</w:t>
            </w:r>
          </w:p>
        </w:tc>
        <w:tc>
          <w:tcPr>
            <w:tcW w:w="6660" w:type="dxa"/>
          </w:tcPr>
          <w:p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Gabelli</w:t>
            </w:r>
            <w:proofErr w:type="spellEnd"/>
            <w:r w:rsidRPr="00E81769">
              <w:rPr>
                <w:rFonts w:ascii="Book Antiqua" w:hAnsi="Book Antiqua"/>
                <w:i/>
              </w:rPr>
              <w:t xml:space="preserve"> &amp; Co. Profit Sharing Plan v. Liggett Group, Inc. </w:t>
            </w:r>
          </w:p>
          <w:p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rsidR="0052773E" w:rsidRPr="005B2893" w:rsidRDefault="005F1D8D" w:rsidP="00B57107">
            <w:pPr>
              <w:pStyle w:val="ListParagraph"/>
              <w:numPr>
                <w:ilvl w:val="0"/>
                <w:numId w:val="34"/>
              </w:numPr>
              <w:jc w:val="both"/>
              <w:rPr>
                <w:rFonts w:ascii="Book Antiqua" w:hAnsi="Book Antiqua"/>
                <w:i/>
              </w:rPr>
            </w:pPr>
            <w:proofErr w:type="spellStart"/>
            <w:r w:rsidRPr="00E81769">
              <w:rPr>
                <w:rFonts w:ascii="Book Antiqua" w:hAnsi="Book Antiqua"/>
                <w:i/>
              </w:rPr>
              <w:lastRenderedPageBreak/>
              <w:t>Kahan</w:t>
            </w:r>
            <w:proofErr w:type="spellEnd"/>
            <w:r w:rsidRPr="00E81769">
              <w:rPr>
                <w:rFonts w:ascii="Book Antiqua" w:hAnsi="Book Antiqua"/>
                <w:i/>
              </w:rPr>
              <w:t xml:space="preserve"> v. United States Sugar Corp. </w:t>
            </w:r>
            <w:r w:rsidR="00137AD5" w:rsidRPr="00E81769">
              <w:rPr>
                <w:rFonts w:ascii="Book Antiqua" w:hAnsi="Book Antiqua"/>
                <w:i/>
              </w:rPr>
              <w:t xml:space="preserve">  </w:t>
            </w:r>
          </w:p>
          <w:p w:rsidR="005B2893" w:rsidRPr="00E81769" w:rsidRDefault="005B2893" w:rsidP="0093203E"/>
        </w:tc>
        <w:tc>
          <w:tcPr>
            <w:tcW w:w="1890" w:type="dxa"/>
          </w:tcPr>
          <w:p w:rsidR="00AD33CD" w:rsidRPr="00E81769" w:rsidRDefault="00137AD5" w:rsidP="00B57107">
            <w:pPr>
              <w:jc w:val="center"/>
            </w:pPr>
            <w:r w:rsidRPr="00E81769">
              <w:lastRenderedPageBreak/>
              <w:t>256-</w:t>
            </w:r>
            <w:r w:rsidR="005F1D8D" w:rsidRPr="00E81769">
              <w:t>286</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7.1</w:t>
            </w:r>
          </w:p>
        </w:tc>
        <w:tc>
          <w:tcPr>
            <w:tcW w:w="6660" w:type="dxa"/>
            <w:shd w:val="clear" w:color="auto" w:fill="D9D9D9" w:themeFill="background1" w:themeFillShade="D9"/>
          </w:tcPr>
          <w:p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w:t>
            </w:r>
            <w:proofErr w:type="spellStart"/>
            <w:r w:rsidRPr="00E81769">
              <w:rPr>
                <w:rFonts w:ascii="Book Antiqua" w:hAnsi="Book Antiqua"/>
                <w:i/>
              </w:rPr>
              <w:t>Schottenstein</w:t>
            </w:r>
            <w:proofErr w:type="spellEnd"/>
          </w:p>
          <w:p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rsidR="0067297B" w:rsidRPr="00E81769" w:rsidRDefault="0067297B" w:rsidP="0067297B">
            <w:pPr>
              <w:pStyle w:val="ListParagraph"/>
              <w:numPr>
                <w:ilvl w:val="0"/>
                <w:numId w:val="34"/>
              </w:numPr>
              <w:jc w:val="both"/>
              <w:rPr>
                <w:rFonts w:ascii="Book Antiqua" w:hAnsi="Book Antiqua"/>
                <w:i/>
              </w:rPr>
            </w:pPr>
            <w:proofErr w:type="spellStart"/>
            <w:r w:rsidRPr="00E81769">
              <w:rPr>
                <w:rFonts w:ascii="Book Antiqua" w:hAnsi="Book Antiqua"/>
                <w:i/>
              </w:rPr>
              <w:t>Applebaum</w:t>
            </w:r>
            <w:proofErr w:type="spellEnd"/>
            <w:r w:rsidRPr="00E81769">
              <w:rPr>
                <w:rFonts w:ascii="Book Antiqua" w:hAnsi="Book Antiqua"/>
                <w:i/>
              </w:rPr>
              <w:t xml:space="preserve"> v. Avaya, Inc.</w:t>
            </w:r>
          </w:p>
          <w:p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rsidR="00AD33CD" w:rsidRPr="00E81769" w:rsidRDefault="00AD33CD" w:rsidP="0067297B">
            <w:pPr>
              <w:jc w:val="both"/>
              <w:rPr>
                <w:rFonts w:ascii="Book Antiqua" w:hAnsi="Book Antiqua"/>
              </w:rPr>
            </w:pPr>
          </w:p>
          <w:p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rsidR="0067297B" w:rsidRPr="00E81769" w:rsidRDefault="0067297B" w:rsidP="0067297B">
            <w:pPr>
              <w:jc w:val="both"/>
              <w:rPr>
                <w:rFonts w:ascii="Book Antiqua" w:hAnsi="Book Antiqua"/>
              </w:rPr>
            </w:pPr>
          </w:p>
        </w:tc>
        <w:tc>
          <w:tcPr>
            <w:tcW w:w="1890" w:type="dxa"/>
            <w:shd w:val="clear" w:color="auto" w:fill="D9D9D9" w:themeFill="background1" w:themeFillShade="D9"/>
          </w:tcPr>
          <w:p w:rsidR="00AD33CD" w:rsidRPr="00E81769" w:rsidRDefault="002D6951" w:rsidP="00B57107">
            <w:pPr>
              <w:jc w:val="center"/>
            </w:pPr>
            <w:r w:rsidRPr="00E81769">
              <w:t>286-</w:t>
            </w:r>
            <w:r w:rsidR="0067297B" w:rsidRPr="00E81769">
              <w:t>309</w:t>
            </w:r>
          </w:p>
          <w:p w:rsidR="0067297B" w:rsidRPr="00E81769" w:rsidRDefault="0067297B" w:rsidP="00B57107">
            <w:pPr>
              <w:jc w:val="center"/>
            </w:pPr>
          </w:p>
          <w:p w:rsidR="0067297B" w:rsidRPr="00E81769" w:rsidRDefault="0067297B" w:rsidP="00B57107">
            <w:pPr>
              <w:jc w:val="center"/>
            </w:pPr>
            <w:r w:rsidRPr="00E81769">
              <w:t>311-315</w:t>
            </w:r>
          </w:p>
          <w:p w:rsidR="00AD33CD" w:rsidRPr="00E81769" w:rsidRDefault="00AD33CD" w:rsidP="00B57107">
            <w:pPr>
              <w:jc w:val="center"/>
            </w:pPr>
          </w:p>
          <w:p w:rsidR="00AD33CD" w:rsidRPr="00E81769" w:rsidRDefault="00AD33CD" w:rsidP="00B57107">
            <w:pPr>
              <w:jc w:val="center"/>
            </w:pP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7.2</w:t>
            </w:r>
          </w:p>
        </w:tc>
        <w:tc>
          <w:tcPr>
            <w:tcW w:w="6660" w:type="dxa"/>
            <w:shd w:val="clear" w:color="auto" w:fill="D9D9D9" w:themeFill="background1" w:themeFillShade="D9"/>
          </w:tcPr>
          <w:p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In the matter of the Appraisal of Ford Holdings, Inc. Preferred Stock</w:t>
            </w:r>
          </w:p>
          <w:p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rsidR="007241D0" w:rsidRPr="00E81769" w:rsidRDefault="007241D0" w:rsidP="007241D0">
            <w:pPr>
              <w:pStyle w:val="ListParagraph"/>
              <w:numPr>
                <w:ilvl w:val="0"/>
                <w:numId w:val="34"/>
              </w:numPr>
              <w:jc w:val="both"/>
              <w:rPr>
                <w:rFonts w:ascii="Book Antiqua" w:hAnsi="Book Antiqua"/>
                <w:i/>
              </w:rPr>
            </w:pPr>
            <w:proofErr w:type="spellStart"/>
            <w:r w:rsidRPr="00E81769">
              <w:rPr>
                <w:rFonts w:ascii="Book Antiqua" w:hAnsi="Book Antiqua"/>
                <w:i/>
              </w:rPr>
              <w:t>Guttman</w:t>
            </w:r>
            <w:proofErr w:type="spellEnd"/>
            <w:r w:rsidRPr="00E81769">
              <w:rPr>
                <w:rFonts w:ascii="Book Antiqua" w:hAnsi="Book Antiqua"/>
                <w:i/>
              </w:rPr>
              <w:t xml:space="preserve"> v. Illinois Central R. Co.</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rsidR="00AD33CD" w:rsidRPr="00E81769" w:rsidRDefault="00AD33CD" w:rsidP="00B57107"/>
        </w:tc>
        <w:tc>
          <w:tcPr>
            <w:tcW w:w="1890" w:type="dxa"/>
            <w:shd w:val="clear" w:color="auto" w:fill="D9D9D9" w:themeFill="background1" w:themeFillShade="D9"/>
          </w:tcPr>
          <w:p w:rsidR="00AD33CD" w:rsidRPr="00E81769" w:rsidRDefault="0067297B" w:rsidP="00B57107">
            <w:pPr>
              <w:jc w:val="center"/>
            </w:pPr>
            <w:r w:rsidRPr="00E81769">
              <w:t>315-</w:t>
            </w:r>
            <w:r w:rsidR="007241D0" w:rsidRPr="00E81769">
              <w:t>346</w:t>
            </w:r>
          </w:p>
          <w:p w:rsidR="00AD33CD" w:rsidRPr="00E81769" w:rsidRDefault="00AD33CD" w:rsidP="00B57107">
            <w:pPr>
              <w:jc w:val="center"/>
            </w:pP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8.1</w:t>
            </w:r>
          </w:p>
        </w:tc>
        <w:tc>
          <w:tcPr>
            <w:tcW w:w="6660" w:type="dxa"/>
            <w:shd w:val="clear" w:color="auto" w:fill="FFFFFF" w:themeFill="background1"/>
          </w:tcPr>
          <w:p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rsidR="007241D0" w:rsidRPr="00E81769" w:rsidRDefault="007241D0" w:rsidP="007241D0">
            <w:pPr>
              <w:pStyle w:val="ListParagraph"/>
              <w:numPr>
                <w:ilvl w:val="0"/>
                <w:numId w:val="34"/>
              </w:numPr>
              <w:jc w:val="both"/>
              <w:rPr>
                <w:rFonts w:ascii="Book Antiqua" w:hAnsi="Book Antiqua"/>
                <w:i/>
              </w:rPr>
            </w:pPr>
            <w:proofErr w:type="spellStart"/>
            <w:r w:rsidRPr="00E81769">
              <w:rPr>
                <w:rFonts w:ascii="Book Antiqua" w:hAnsi="Book Antiqua"/>
                <w:i/>
              </w:rPr>
              <w:t>Bove</w:t>
            </w:r>
            <w:proofErr w:type="spellEnd"/>
            <w:r w:rsidRPr="00E81769">
              <w:rPr>
                <w:rFonts w:ascii="Book Antiqua" w:hAnsi="Book Antiqua"/>
                <w:i/>
              </w:rPr>
              <w:t xml:space="preserve"> v. Community Hotel Corp.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Warner Communications v. Chris-Craft Industries, Inc. </w:t>
            </w:r>
          </w:p>
          <w:p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rsidR="00AA0C33" w:rsidRPr="00E81769" w:rsidRDefault="00AA0C33" w:rsidP="00AA0C33">
            <w:pPr>
              <w:ind w:left="360"/>
              <w:jc w:val="both"/>
              <w:rPr>
                <w:rFonts w:ascii="Book Antiqua" w:hAnsi="Book Antiqua"/>
                <w:i/>
              </w:rPr>
            </w:pPr>
          </w:p>
          <w:p w:rsidR="00AA0C33" w:rsidRPr="00E81769" w:rsidRDefault="00AA0C33" w:rsidP="00AA0C33">
            <w:pPr>
              <w:ind w:left="360"/>
              <w:jc w:val="both"/>
              <w:rPr>
                <w:rFonts w:ascii="Book Antiqua" w:hAnsi="Book Antiqua"/>
              </w:rPr>
            </w:pPr>
            <w:r w:rsidRPr="00E81769">
              <w:rPr>
                <w:rFonts w:ascii="Book Antiqua" w:hAnsi="Book Antiqua"/>
                <w:b/>
              </w:rPr>
              <w:t>Note:</w:t>
            </w:r>
            <w:r w:rsidRPr="00E81769">
              <w:rPr>
                <w:rFonts w:ascii="Book Antiqua" w:hAnsi="Book Antiqua"/>
              </w:rPr>
              <w:t xml:space="preserve">  Do not read </w:t>
            </w: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rsidR="00AD33CD" w:rsidRPr="00E81769" w:rsidRDefault="00AD33CD" w:rsidP="00B57107"/>
        </w:tc>
        <w:tc>
          <w:tcPr>
            <w:tcW w:w="1890" w:type="dxa"/>
            <w:shd w:val="clear" w:color="auto" w:fill="FFFFFF" w:themeFill="background1"/>
          </w:tcPr>
          <w:p w:rsidR="00AD33CD" w:rsidRPr="00E81769" w:rsidRDefault="007241D0" w:rsidP="00B57107">
            <w:pPr>
              <w:jc w:val="center"/>
            </w:pPr>
            <w:r w:rsidRPr="00E81769">
              <w:t>346-</w:t>
            </w:r>
            <w:r w:rsidR="00871688" w:rsidRPr="00E81769">
              <w:t>376</w:t>
            </w:r>
          </w:p>
          <w:p w:rsidR="00AD33CD" w:rsidRPr="00E81769" w:rsidRDefault="00AD33CD" w:rsidP="00B57107">
            <w:pPr>
              <w:jc w:val="center"/>
            </w:pPr>
          </w:p>
        </w:tc>
      </w:tr>
      <w:tr w:rsidR="00AD33CD" w:rsidRPr="00420406" w:rsidTr="00B57107">
        <w:tc>
          <w:tcPr>
            <w:tcW w:w="810" w:type="dxa"/>
          </w:tcPr>
          <w:p w:rsidR="00AD33CD" w:rsidRPr="00E81769" w:rsidRDefault="00AD33CD" w:rsidP="00B57107">
            <w:pPr>
              <w:jc w:val="center"/>
            </w:pPr>
            <w:r w:rsidRPr="00E81769">
              <w:t>8.2</w:t>
            </w:r>
          </w:p>
        </w:tc>
        <w:tc>
          <w:tcPr>
            <w:tcW w:w="6660" w:type="dxa"/>
          </w:tcPr>
          <w:p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rsidR="00871688"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Dalton v. American Investment Co. </w:t>
            </w:r>
          </w:p>
          <w:p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rsidR="00AD33CD" w:rsidRPr="00E81769" w:rsidRDefault="00AD33CD" w:rsidP="00B57107"/>
        </w:tc>
        <w:tc>
          <w:tcPr>
            <w:tcW w:w="1890" w:type="dxa"/>
          </w:tcPr>
          <w:p w:rsidR="00AD33CD" w:rsidRPr="00E81769" w:rsidRDefault="00D83505" w:rsidP="00871688">
            <w:pPr>
              <w:jc w:val="center"/>
            </w:pPr>
            <w:r w:rsidRPr="00E81769">
              <w:t>382</w:t>
            </w:r>
            <w:r w:rsidR="00871688" w:rsidRPr="00E81769">
              <w:t>-</w:t>
            </w:r>
            <w:r w:rsidR="00DF56B9" w:rsidRPr="00E81769">
              <w:t>407</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9.1</w:t>
            </w:r>
          </w:p>
        </w:tc>
        <w:tc>
          <w:tcPr>
            <w:tcW w:w="6660" w:type="dxa"/>
            <w:shd w:val="clear" w:color="auto" w:fill="D9D9D9" w:themeFill="background1" w:themeFillShade="D9"/>
          </w:tcPr>
          <w:p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Fiduciary duty </w:t>
            </w:r>
          </w:p>
          <w:p w:rsidR="00DF56B9" w:rsidRPr="00E81769" w:rsidRDefault="00DF56B9" w:rsidP="00DF56B9">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Equity-Linked Investors, L.P. v. Adams </w:t>
            </w:r>
          </w:p>
          <w:p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lastRenderedPageBreak/>
              <w:t xml:space="preserve">In re </w:t>
            </w:r>
            <w:proofErr w:type="spellStart"/>
            <w:r w:rsidRPr="00E81769">
              <w:rPr>
                <w:rFonts w:ascii="Book Antiqua" w:hAnsi="Book Antiqua"/>
                <w:i/>
              </w:rPr>
              <w:t>Trados</w:t>
            </w:r>
            <w:proofErr w:type="spellEnd"/>
            <w:r w:rsidRPr="00E81769">
              <w:rPr>
                <w:rFonts w:ascii="Book Antiqua" w:hAnsi="Book Antiqua"/>
                <w:i/>
              </w:rPr>
              <w:t xml:space="preserve">, Inc. Shareholder Litigation </w:t>
            </w:r>
          </w:p>
          <w:p w:rsidR="00AD33CD" w:rsidRPr="00E81769" w:rsidRDefault="00DF56B9" w:rsidP="00B57107">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rsidR="0052773E" w:rsidRPr="00E81769" w:rsidRDefault="0052773E" w:rsidP="00B57107"/>
          <w:p w:rsidR="0052773E" w:rsidRPr="00E81769" w:rsidRDefault="0052773E" w:rsidP="00B57107"/>
        </w:tc>
        <w:tc>
          <w:tcPr>
            <w:tcW w:w="1890" w:type="dxa"/>
            <w:shd w:val="clear" w:color="auto" w:fill="D9D9D9" w:themeFill="background1" w:themeFillShade="D9"/>
          </w:tcPr>
          <w:p w:rsidR="00AD33CD" w:rsidRPr="00E81769" w:rsidRDefault="00DF56B9" w:rsidP="00B57107">
            <w:pPr>
              <w:pStyle w:val="ListParagraph"/>
              <w:ind w:left="0"/>
              <w:jc w:val="center"/>
            </w:pPr>
            <w:r w:rsidRPr="00E81769">
              <w:lastRenderedPageBreak/>
              <w:t>407-446</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9.2</w:t>
            </w:r>
          </w:p>
        </w:tc>
        <w:tc>
          <w:tcPr>
            <w:tcW w:w="6660" w:type="dxa"/>
            <w:shd w:val="clear" w:color="auto" w:fill="D9D9D9" w:themeFill="background1" w:themeFillShade="D9"/>
          </w:tcPr>
          <w:p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Goldman Sachs case study  </w:t>
            </w:r>
          </w:p>
          <w:p w:rsidR="00AD33CD" w:rsidRPr="00E81769" w:rsidRDefault="00AD33CD" w:rsidP="00B57107"/>
          <w:p w:rsidR="00DF56B9" w:rsidRPr="00E81769" w:rsidRDefault="00DF56B9" w:rsidP="00DF56B9">
            <w:pPr>
              <w:jc w:val="both"/>
              <w:rPr>
                <w:rFonts w:ascii="Book Antiqua" w:hAnsi="Book Antiqua"/>
              </w:rPr>
            </w:pPr>
            <w:r w:rsidRPr="00E81769">
              <w:rPr>
                <w:rFonts w:ascii="Book Antiqua" w:hAnsi="Book Antiqua"/>
              </w:rPr>
              <w:t xml:space="preserve">CHAPTER 7:  DEBT INSTRUMENTS    </w:t>
            </w:r>
          </w:p>
          <w:p w:rsidR="004301E1" w:rsidRPr="00E81769" w:rsidRDefault="00DF56B9" w:rsidP="004301E1">
            <w:pPr>
              <w:pStyle w:val="ListParagraph"/>
              <w:numPr>
                <w:ilvl w:val="0"/>
                <w:numId w:val="2"/>
              </w:numPr>
              <w:jc w:val="both"/>
              <w:rPr>
                <w:rFonts w:ascii="Book Antiqua" w:hAnsi="Book Antiqua"/>
              </w:rPr>
            </w:pPr>
            <w:r w:rsidRPr="00E81769">
              <w:rPr>
                <w:rFonts w:ascii="Book Antiqua" w:hAnsi="Book Antiqua"/>
              </w:rPr>
              <w:t xml:space="preserve">Debt financing   </w:t>
            </w:r>
          </w:p>
          <w:p w:rsidR="004301E1"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Cred</w:t>
            </w:r>
            <w:r w:rsidR="00201147" w:rsidRPr="00E81769">
              <w:rPr>
                <w:rFonts w:ascii="Book Antiqua" w:hAnsi="Book Antiqua"/>
                <w:i/>
              </w:rPr>
              <w:t>it Lyonnais Bank Nederland</w:t>
            </w:r>
            <w:r w:rsidRPr="00E81769">
              <w:rPr>
                <w:rFonts w:ascii="Book Antiqua" w:hAnsi="Book Antiqua"/>
                <w:i/>
              </w:rPr>
              <w:t xml:space="preserve"> v. </w:t>
            </w:r>
            <w:proofErr w:type="spellStart"/>
            <w:r w:rsidRPr="00E81769">
              <w:rPr>
                <w:rFonts w:ascii="Book Antiqua" w:hAnsi="Book Antiqua"/>
                <w:i/>
              </w:rPr>
              <w:t>Pathe</w:t>
            </w:r>
            <w:proofErr w:type="spellEnd"/>
            <w:r w:rsidRPr="00E81769">
              <w:rPr>
                <w:rFonts w:ascii="Book Antiqua" w:hAnsi="Book Antiqua"/>
                <w:i/>
              </w:rPr>
              <w:t xml:space="preserve"> </w:t>
            </w:r>
            <w:proofErr w:type="spellStart"/>
            <w:r w:rsidRPr="00E81769">
              <w:rPr>
                <w:rFonts w:ascii="Book Antiqua" w:hAnsi="Book Antiqua"/>
                <w:i/>
              </w:rPr>
              <w:t>Comm’n</w:t>
            </w:r>
            <w:proofErr w:type="spellEnd"/>
            <w:r w:rsidRPr="00E81769">
              <w:rPr>
                <w:rFonts w:ascii="Book Antiqua" w:hAnsi="Book Antiqua"/>
                <w:i/>
              </w:rPr>
              <w:t xml:space="preserve"> Corp. </w:t>
            </w:r>
          </w:p>
          <w:p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rsidR="00DF56B9"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rsidR="00DF56B9" w:rsidRPr="00E81769" w:rsidRDefault="00DF56B9" w:rsidP="00B57107"/>
        </w:tc>
        <w:tc>
          <w:tcPr>
            <w:tcW w:w="1890" w:type="dxa"/>
            <w:shd w:val="clear" w:color="auto" w:fill="D9D9D9" w:themeFill="background1" w:themeFillShade="D9"/>
          </w:tcPr>
          <w:p w:rsidR="00AD33CD" w:rsidRPr="00E81769" w:rsidRDefault="00DF56B9" w:rsidP="00B57107">
            <w:pPr>
              <w:jc w:val="center"/>
            </w:pPr>
            <w:r w:rsidRPr="00E81769">
              <w:t>447-462</w:t>
            </w:r>
          </w:p>
          <w:p w:rsidR="00DF56B9" w:rsidRPr="00E81769" w:rsidRDefault="00DF56B9" w:rsidP="00B57107">
            <w:pPr>
              <w:jc w:val="center"/>
            </w:pPr>
          </w:p>
          <w:p w:rsidR="00DF56B9" w:rsidRPr="00E81769" w:rsidRDefault="00DF56B9" w:rsidP="00B57107">
            <w:pPr>
              <w:jc w:val="center"/>
            </w:pPr>
            <w:r w:rsidRPr="00E81769">
              <w:t>463-</w:t>
            </w:r>
            <w:r w:rsidR="004301E1" w:rsidRPr="00E81769">
              <w:t>486</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10.1</w:t>
            </w:r>
          </w:p>
        </w:tc>
        <w:tc>
          <w:tcPr>
            <w:tcW w:w="6660" w:type="dxa"/>
            <w:shd w:val="clear" w:color="auto" w:fill="FFFFFF" w:themeFill="background1"/>
          </w:tcPr>
          <w:p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rsidR="004301E1"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 Co.</w:t>
            </w:r>
          </w:p>
          <w:p w:rsidR="00F67952" w:rsidRPr="00E81769" w:rsidRDefault="00F67952" w:rsidP="00F67952">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N.A. </w:t>
            </w:r>
          </w:p>
          <w:p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UnitedHealth Group, Inc. v. Wilmington Trust Co. </w:t>
            </w:r>
          </w:p>
          <w:p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Rabinowitz v. Kaiser-Frazer Corp. </w:t>
            </w:r>
          </w:p>
          <w:p w:rsidR="00AD33CD" w:rsidRPr="00E81769" w:rsidRDefault="00AD33CD" w:rsidP="00B57107">
            <w:pPr>
              <w:jc w:val="both"/>
            </w:pPr>
          </w:p>
        </w:tc>
        <w:tc>
          <w:tcPr>
            <w:tcW w:w="1890" w:type="dxa"/>
            <w:shd w:val="clear" w:color="auto" w:fill="FFFFFF" w:themeFill="background1"/>
          </w:tcPr>
          <w:p w:rsidR="00AD33CD" w:rsidRPr="00E81769" w:rsidRDefault="004301E1" w:rsidP="00B57107">
            <w:pPr>
              <w:pStyle w:val="ListParagraph"/>
              <w:ind w:left="0"/>
              <w:jc w:val="center"/>
            </w:pPr>
            <w:r w:rsidRPr="00E81769">
              <w:t>486-</w:t>
            </w:r>
            <w:r w:rsidR="00F67952" w:rsidRPr="00E81769">
              <w:t>515</w:t>
            </w:r>
          </w:p>
        </w:tc>
      </w:tr>
      <w:tr w:rsidR="00AD33CD" w:rsidRPr="00420406" w:rsidTr="00B57107">
        <w:tc>
          <w:tcPr>
            <w:tcW w:w="810" w:type="dxa"/>
            <w:shd w:val="clear" w:color="auto" w:fill="auto"/>
          </w:tcPr>
          <w:p w:rsidR="00AD33CD" w:rsidRPr="00E81769" w:rsidRDefault="00AD33CD" w:rsidP="00B57107">
            <w:pPr>
              <w:jc w:val="center"/>
            </w:pPr>
            <w:r w:rsidRPr="00E81769">
              <w:t>10.2</w:t>
            </w:r>
          </w:p>
        </w:tc>
        <w:tc>
          <w:tcPr>
            <w:tcW w:w="6660" w:type="dxa"/>
            <w:shd w:val="clear" w:color="auto" w:fill="auto"/>
          </w:tcPr>
          <w:p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rsidR="00F67952"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Morgan Stanley &amp; Co. v. Archer Daniels Midlands Co.</w:t>
            </w:r>
          </w:p>
          <w:p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Bank of</w:t>
            </w:r>
            <w:r w:rsidR="00201147" w:rsidRPr="00E81769">
              <w:rPr>
                <w:rFonts w:ascii="Book Antiqua" w:hAnsi="Book Antiqua"/>
                <w:i/>
              </w:rPr>
              <w:t xml:space="preserve"> New York Mellon Trust</w:t>
            </w:r>
            <w:r w:rsidRPr="00E81769">
              <w:rPr>
                <w:rFonts w:ascii="Book Antiqua" w:hAnsi="Book Antiqua"/>
                <w:i/>
              </w:rPr>
              <w:t xml:space="preserve"> v. Liberty Media Corp. </w:t>
            </w:r>
          </w:p>
          <w:p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rsidR="00AD33CD" w:rsidRPr="00E81769" w:rsidRDefault="00AD33CD" w:rsidP="00B57107"/>
        </w:tc>
        <w:tc>
          <w:tcPr>
            <w:tcW w:w="1890" w:type="dxa"/>
            <w:shd w:val="clear" w:color="auto" w:fill="auto"/>
          </w:tcPr>
          <w:p w:rsidR="00AD33CD" w:rsidRPr="00E81769" w:rsidRDefault="008F0309" w:rsidP="00B57107">
            <w:pPr>
              <w:jc w:val="center"/>
            </w:pPr>
            <w:r w:rsidRPr="00E81769">
              <w:t>515-544</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11.1</w:t>
            </w:r>
          </w:p>
        </w:tc>
        <w:tc>
          <w:tcPr>
            <w:tcW w:w="6660" w:type="dxa"/>
            <w:shd w:val="clear" w:color="auto" w:fill="D9D9D9" w:themeFill="background1" w:themeFillShade="D9"/>
          </w:tcPr>
          <w:p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Rights of creditors </w:t>
            </w:r>
          </w:p>
          <w:p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Katz v. Oak Industries, Inc. </w:t>
            </w:r>
          </w:p>
          <w:p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Simons v. Cogan </w:t>
            </w:r>
          </w:p>
          <w:p w:rsidR="00D47C38"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N. Am. Catholic </w:t>
            </w:r>
            <w:r w:rsidR="00201147" w:rsidRPr="00E81769">
              <w:rPr>
                <w:rFonts w:ascii="Book Antiqua" w:hAnsi="Book Antiqua"/>
                <w:i/>
              </w:rPr>
              <w:t>Educ. Programming Found.</w:t>
            </w:r>
            <w:r w:rsidRPr="00E81769">
              <w:rPr>
                <w:rFonts w:ascii="Book Antiqua" w:hAnsi="Book Antiqua"/>
                <w:i/>
              </w:rPr>
              <w:t xml:space="preserve"> v. </w:t>
            </w:r>
            <w:proofErr w:type="spellStart"/>
            <w:r w:rsidRPr="00E81769">
              <w:rPr>
                <w:rFonts w:ascii="Book Antiqua" w:hAnsi="Book Antiqua"/>
                <w:i/>
              </w:rPr>
              <w:t>Gheewalla</w:t>
            </w:r>
            <w:proofErr w:type="spellEnd"/>
            <w:r w:rsidRPr="00E81769">
              <w:rPr>
                <w:rFonts w:ascii="Book Antiqua" w:hAnsi="Book Antiqua"/>
                <w:i/>
              </w:rPr>
              <w:t xml:space="preserve"> </w:t>
            </w:r>
          </w:p>
          <w:p w:rsidR="008F0309" w:rsidRPr="00E81769" w:rsidRDefault="00D47C38" w:rsidP="00D47C38">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r w:rsidR="008F0309" w:rsidRPr="00E81769">
              <w:rPr>
                <w:rFonts w:ascii="Book Antiqua" w:hAnsi="Book Antiqua"/>
                <w:i/>
              </w:rPr>
              <w:t xml:space="preserve"> </w:t>
            </w:r>
          </w:p>
          <w:p w:rsidR="00AD33CD" w:rsidRPr="00E81769" w:rsidRDefault="00AD33CD" w:rsidP="00B57107"/>
        </w:tc>
        <w:tc>
          <w:tcPr>
            <w:tcW w:w="1890" w:type="dxa"/>
            <w:shd w:val="clear" w:color="auto" w:fill="D9D9D9" w:themeFill="background1" w:themeFillShade="D9"/>
          </w:tcPr>
          <w:p w:rsidR="00AD33CD" w:rsidRPr="00E81769" w:rsidRDefault="008F0309" w:rsidP="00B57107">
            <w:pPr>
              <w:jc w:val="center"/>
            </w:pPr>
            <w:r w:rsidRPr="00E81769">
              <w:t>545-</w:t>
            </w:r>
            <w:r w:rsidR="00D47C38" w:rsidRPr="00E81769">
              <w:t>571</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11.2</w:t>
            </w:r>
          </w:p>
        </w:tc>
        <w:tc>
          <w:tcPr>
            <w:tcW w:w="6660" w:type="dxa"/>
            <w:shd w:val="clear" w:color="auto" w:fill="D9D9D9" w:themeFill="background1" w:themeFillShade="D9"/>
          </w:tcPr>
          <w:p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Overview of bankruptcy and reorganization </w:t>
            </w:r>
          </w:p>
          <w:p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Marriott Corp. case study </w:t>
            </w:r>
          </w:p>
          <w:p w:rsidR="00D47C38" w:rsidRPr="00E81769" w:rsidRDefault="00D47C38" w:rsidP="00D47C38">
            <w:pPr>
              <w:jc w:val="both"/>
              <w:rPr>
                <w:rFonts w:ascii="Book Antiqua" w:hAnsi="Book Antiqua"/>
              </w:rPr>
            </w:pPr>
          </w:p>
          <w:p w:rsidR="00D47C38" w:rsidRPr="00E81769" w:rsidRDefault="00D47C38" w:rsidP="00D47C38">
            <w:pPr>
              <w:jc w:val="both"/>
              <w:rPr>
                <w:rFonts w:ascii="Book Antiqua" w:hAnsi="Book Antiqua"/>
              </w:rPr>
            </w:pPr>
            <w:r w:rsidRPr="00E81769">
              <w:rPr>
                <w:rFonts w:ascii="Book Antiqua" w:hAnsi="Book Antiqua"/>
              </w:rPr>
              <w:t xml:space="preserve">CHAPTER 8:  CONVERTIBLE SECURITIES    </w:t>
            </w:r>
          </w:p>
          <w:p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rsidR="00AD33CD" w:rsidRPr="00E81769" w:rsidRDefault="00AD33CD" w:rsidP="00B57107">
            <w:pPr>
              <w:pStyle w:val="ListParagraph"/>
              <w:ind w:left="360"/>
            </w:pPr>
          </w:p>
          <w:p w:rsidR="0052773E" w:rsidRPr="00E81769" w:rsidRDefault="0052773E" w:rsidP="00B57107">
            <w:pPr>
              <w:pStyle w:val="ListParagraph"/>
              <w:ind w:left="360"/>
            </w:pPr>
          </w:p>
          <w:p w:rsidR="0052773E" w:rsidRPr="00E81769" w:rsidRDefault="0052773E" w:rsidP="00B57107">
            <w:pPr>
              <w:pStyle w:val="ListParagraph"/>
              <w:ind w:left="360"/>
            </w:pPr>
          </w:p>
          <w:p w:rsidR="0052773E" w:rsidRPr="00E81769" w:rsidRDefault="0052773E" w:rsidP="00B57107">
            <w:pPr>
              <w:pStyle w:val="ListParagraph"/>
              <w:ind w:left="360"/>
            </w:pPr>
          </w:p>
          <w:p w:rsidR="0052773E" w:rsidRPr="00E81769" w:rsidRDefault="0052773E" w:rsidP="00B57107">
            <w:pPr>
              <w:pStyle w:val="ListParagraph"/>
              <w:ind w:left="360"/>
            </w:pPr>
          </w:p>
          <w:p w:rsidR="0052773E" w:rsidRPr="00E81769" w:rsidRDefault="0052773E" w:rsidP="00B57107">
            <w:pPr>
              <w:pStyle w:val="ListParagraph"/>
              <w:ind w:left="360"/>
            </w:pPr>
          </w:p>
        </w:tc>
        <w:tc>
          <w:tcPr>
            <w:tcW w:w="1890" w:type="dxa"/>
            <w:shd w:val="clear" w:color="auto" w:fill="D9D9D9" w:themeFill="background1" w:themeFillShade="D9"/>
          </w:tcPr>
          <w:p w:rsidR="00AD33CD" w:rsidRPr="00E81769" w:rsidRDefault="00D47C38" w:rsidP="00B57107">
            <w:pPr>
              <w:jc w:val="center"/>
            </w:pPr>
            <w:r w:rsidRPr="00E81769">
              <w:lastRenderedPageBreak/>
              <w:t>571-586</w:t>
            </w:r>
          </w:p>
          <w:p w:rsidR="00D47C38" w:rsidRPr="00E81769" w:rsidRDefault="00D47C38" w:rsidP="00B57107">
            <w:pPr>
              <w:jc w:val="center"/>
            </w:pPr>
          </w:p>
          <w:p w:rsidR="00D47C38" w:rsidRPr="00E81769" w:rsidRDefault="00D47C38" w:rsidP="00B57107">
            <w:pPr>
              <w:jc w:val="center"/>
            </w:pPr>
            <w:r w:rsidRPr="00E81769">
              <w:t>587-</w:t>
            </w:r>
            <w:r w:rsidR="000E2502" w:rsidRPr="00E81769">
              <w:t>592</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12.1</w:t>
            </w:r>
          </w:p>
        </w:tc>
        <w:tc>
          <w:tcPr>
            <w:tcW w:w="6660" w:type="dxa"/>
            <w:shd w:val="clear" w:color="auto" w:fill="FFFFFF" w:themeFill="background1"/>
          </w:tcPr>
          <w:p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rsidR="00AD33CD" w:rsidRPr="00E81769" w:rsidRDefault="00AD33CD" w:rsidP="00A314FE">
            <w:pPr>
              <w:pStyle w:val="ListParagraph"/>
              <w:ind w:left="360"/>
              <w:jc w:val="both"/>
            </w:pPr>
          </w:p>
        </w:tc>
        <w:tc>
          <w:tcPr>
            <w:tcW w:w="1890" w:type="dxa"/>
            <w:shd w:val="clear" w:color="auto" w:fill="FFFFFF" w:themeFill="background1"/>
          </w:tcPr>
          <w:p w:rsidR="00AD33CD" w:rsidRPr="00E81769" w:rsidRDefault="00A314FE" w:rsidP="00B57107">
            <w:pPr>
              <w:jc w:val="center"/>
            </w:pPr>
            <w:r w:rsidRPr="00E81769">
              <w:t>592-619</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12.2</w:t>
            </w:r>
          </w:p>
        </w:tc>
        <w:tc>
          <w:tcPr>
            <w:tcW w:w="6660" w:type="dxa"/>
            <w:shd w:val="clear" w:color="auto" w:fill="FFFFFF" w:themeFill="background1"/>
          </w:tcPr>
          <w:p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Lorenz v. CSC Corp. </w:t>
            </w:r>
          </w:p>
          <w:p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rsidR="00AD33CD" w:rsidRPr="00E81769" w:rsidRDefault="00AD33CD" w:rsidP="00B57107">
            <w:pPr>
              <w:pStyle w:val="ListParagraph"/>
            </w:pPr>
          </w:p>
        </w:tc>
        <w:tc>
          <w:tcPr>
            <w:tcW w:w="1890" w:type="dxa"/>
            <w:shd w:val="clear" w:color="auto" w:fill="FFFFFF" w:themeFill="background1"/>
          </w:tcPr>
          <w:p w:rsidR="00AD33CD" w:rsidRPr="00E81769" w:rsidRDefault="00A314FE" w:rsidP="00B57107">
            <w:pPr>
              <w:jc w:val="center"/>
            </w:pPr>
            <w:r w:rsidRPr="00E81769">
              <w:t>619-</w:t>
            </w:r>
            <w:r w:rsidR="00D66F61" w:rsidRPr="00E81769">
              <w:t>646</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13.1</w:t>
            </w:r>
          </w:p>
        </w:tc>
        <w:tc>
          <w:tcPr>
            <w:tcW w:w="6660" w:type="dxa"/>
            <w:shd w:val="clear" w:color="auto" w:fill="D9D9D9" w:themeFill="background1" w:themeFillShade="D9"/>
          </w:tcPr>
          <w:p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rsidR="00AD33CD" w:rsidRPr="00E81769" w:rsidRDefault="00AD33CD" w:rsidP="00B57107">
            <w:pPr>
              <w:jc w:val="both"/>
            </w:pPr>
          </w:p>
        </w:tc>
        <w:tc>
          <w:tcPr>
            <w:tcW w:w="1890" w:type="dxa"/>
            <w:shd w:val="clear" w:color="auto" w:fill="D9D9D9" w:themeFill="background1" w:themeFillShade="D9"/>
          </w:tcPr>
          <w:p w:rsidR="00AD33CD" w:rsidRPr="00E81769" w:rsidRDefault="00D66F61" w:rsidP="00B57107">
            <w:pPr>
              <w:jc w:val="center"/>
            </w:pPr>
            <w:r w:rsidRPr="00E81769">
              <w:t>645-674</w:t>
            </w:r>
          </w:p>
        </w:tc>
      </w:tr>
      <w:tr w:rsidR="00AD33CD" w:rsidRPr="00420406" w:rsidTr="00B57107">
        <w:tc>
          <w:tcPr>
            <w:tcW w:w="810" w:type="dxa"/>
            <w:shd w:val="clear" w:color="auto" w:fill="D9D9D9" w:themeFill="background1" w:themeFillShade="D9"/>
          </w:tcPr>
          <w:p w:rsidR="00AD33CD" w:rsidRPr="00E81769" w:rsidRDefault="00AD33CD" w:rsidP="00B57107">
            <w:pPr>
              <w:jc w:val="center"/>
            </w:pPr>
            <w:r w:rsidRPr="00E81769">
              <w:t>13.2</w:t>
            </w:r>
          </w:p>
        </w:tc>
        <w:tc>
          <w:tcPr>
            <w:tcW w:w="6660" w:type="dxa"/>
            <w:shd w:val="clear" w:color="auto" w:fill="D9D9D9" w:themeFill="background1" w:themeFillShade="D9"/>
          </w:tcPr>
          <w:p w:rsidR="00D66F61" w:rsidRPr="00E81769" w:rsidRDefault="00D66F61" w:rsidP="00D66F61">
            <w:pPr>
              <w:jc w:val="both"/>
              <w:rPr>
                <w:rFonts w:ascii="Book Antiqua" w:hAnsi="Book Antiqua"/>
              </w:rPr>
            </w:pPr>
            <w:r w:rsidRPr="00E81769">
              <w:rPr>
                <w:rFonts w:ascii="Book Antiqua" w:hAnsi="Book Antiqua"/>
              </w:rPr>
              <w:t xml:space="preserve">CHAPTER 9:  DERIVATIVES    </w:t>
            </w:r>
          </w:p>
          <w:p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rsidR="00AD33CD" w:rsidRPr="00E81769" w:rsidRDefault="00AD33CD" w:rsidP="00D66F61">
            <w:pPr>
              <w:jc w:val="both"/>
            </w:pPr>
          </w:p>
        </w:tc>
        <w:tc>
          <w:tcPr>
            <w:tcW w:w="1890" w:type="dxa"/>
            <w:shd w:val="clear" w:color="auto" w:fill="D9D9D9" w:themeFill="background1" w:themeFillShade="D9"/>
          </w:tcPr>
          <w:p w:rsidR="00AD33CD" w:rsidRPr="00E81769" w:rsidRDefault="00D66F61" w:rsidP="00B57107">
            <w:pPr>
              <w:jc w:val="center"/>
            </w:pPr>
            <w:r w:rsidRPr="00E81769">
              <w:t>675-683</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14.1</w:t>
            </w:r>
          </w:p>
        </w:tc>
        <w:tc>
          <w:tcPr>
            <w:tcW w:w="6660" w:type="dxa"/>
            <w:shd w:val="clear" w:color="auto" w:fill="FFFFFF" w:themeFill="background1"/>
          </w:tcPr>
          <w:p w:rsidR="00D66F61" w:rsidRPr="00E81769" w:rsidRDefault="00D66F61" w:rsidP="00D66F61">
            <w:pPr>
              <w:jc w:val="both"/>
              <w:rPr>
                <w:rFonts w:ascii="Book Antiqua" w:hAnsi="Book Antiqua"/>
              </w:rPr>
            </w:pPr>
            <w:r w:rsidRPr="00E81769">
              <w:rPr>
                <w:rFonts w:ascii="Book Antiqua" w:hAnsi="Book Antiqua"/>
              </w:rPr>
              <w:t xml:space="preserve">CHAPTER 9:  DERIVATIVES    </w:t>
            </w:r>
          </w:p>
          <w:p w:rsidR="00D66F61" w:rsidRPr="00E81769" w:rsidRDefault="00D145E7" w:rsidP="00D66F61">
            <w:pPr>
              <w:pStyle w:val="ListParagraph"/>
              <w:numPr>
                <w:ilvl w:val="0"/>
                <w:numId w:val="2"/>
              </w:numPr>
              <w:jc w:val="both"/>
              <w:rPr>
                <w:rFonts w:ascii="Book Antiqua" w:hAnsi="Book Antiqua"/>
              </w:rPr>
            </w:pPr>
            <w:r w:rsidRPr="00E81769">
              <w:rPr>
                <w:rFonts w:ascii="Book Antiqua" w:hAnsi="Book Antiqua"/>
              </w:rPr>
              <w:t>Option valuation</w:t>
            </w:r>
          </w:p>
          <w:p w:rsidR="00D145E7" w:rsidRPr="00E81769" w:rsidRDefault="00D145E7" w:rsidP="00D145E7">
            <w:pPr>
              <w:pStyle w:val="ListParagraph"/>
              <w:numPr>
                <w:ilvl w:val="0"/>
                <w:numId w:val="2"/>
              </w:numPr>
              <w:jc w:val="both"/>
              <w:rPr>
                <w:rFonts w:ascii="Book Antiqua" w:hAnsi="Book Antiqua"/>
              </w:rPr>
            </w:pPr>
            <w:r w:rsidRPr="00E81769">
              <w:rPr>
                <w:rFonts w:ascii="Book Antiqua" w:hAnsi="Book Antiqua"/>
              </w:rPr>
              <w:t xml:space="preserve">Uses of derivatives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 xml:space="preserve">Ryan v. Gifford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 xml:space="preserve">Weiss v. Swanson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Brane v. Roth</w:t>
            </w:r>
          </w:p>
          <w:p w:rsidR="00AD33CD" w:rsidRPr="00E81769" w:rsidRDefault="00AD33CD" w:rsidP="00B57107"/>
        </w:tc>
        <w:tc>
          <w:tcPr>
            <w:tcW w:w="1890" w:type="dxa"/>
            <w:shd w:val="clear" w:color="auto" w:fill="FFFFFF" w:themeFill="background1"/>
          </w:tcPr>
          <w:p w:rsidR="00AD33CD" w:rsidRPr="00E81769" w:rsidRDefault="00D66F61" w:rsidP="00B57107">
            <w:pPr>
              <w:jc w:val="center"/>
            </w:pPr>
            <w:r w:rsidRPr="00E81769">
              <w:t>683-</w:t>
            </w:r>
            <w:r w:rsidR="00D145E7" w:rsidRPr="00E81769">
              <w:t>699</w:t>
            </w:r>
          </w:p>
        </w:tc>
      </w:tr>
      <w:tr w:rsidR="00AD33CD" w:rsidRPr="00420406" w:rsidTr="00B57107">
        <w:tc>
          <w:tcPr>
            <w:tcW w:w="810" w:type="dxa"/>
            <w:shd w:val="clear" w:color="auto" w:fill="FFFFFF" w:themeFill="background1"/>
          </w:tcPr>
          <w:p w:rsidR="00AD33CD" w:rsidRPr="00E81769" w:rsidRDefault="00AD33CD" w:rsidP="00B57107">
            <w:pPr>
              <w:jc w:val="center"/>
            </w:pPr>
            <w:r w:rsidRPr="00E81769">
              <w:t>14.2</w:t>
            </w:r>
          </w:p>
        </w:tc>
        <w:tc>
          <w:tcPr>
            <w:tcW w:w="6660" w:type="dxa"/>
            <w:shd w:val="clear" w:color="auto" w:fill="FFFFFF" w:themeFill="background1"/>
          </w:tcPr>
          <w:p w:rsidR="00D145E7" w:rsidRPr="00E81769" w:rsidRDefault="00D145E7" w:rsidP="00D145E7">
            <w:pPr>
              <w:jc w:val="both"/>
              <w:rPr>
                <w:rFonts w:ascii="Book Antiqua" w:hAnsi="Book Antiqua"/>
              </w:rPr>
            </w:pPr>
            <w:r w:rsidRPr="00E81769">
              <w:rPr>
                <w:rFonts w:ascii="Book Antiqua" w:hAnsi="Book Antiqua"/>
              </w:rPr>
              <w:t xml:space="preserve">CHAPTER 9:  DERIVATIVES    </w:t>
            </w:r>
          </w:p>
          <w:p w:rsidR="00D145E7" w:rsidRPr="00E81769" w:rsidRDefault="00D145E7" w:rsidP="00D145E7">
            <w:pPr>
              <w:pStyle w:val="ListParagraph"/>
              <w:numPr>
                <w:ilvl w:val="0"/>
                <w:numId w:val="2"/>
              </w:numPr>
              <w:jc w:val="both"/>
              <w:rPr>
                <w:rFonts w:ascii="Book Antiqua" w:hAnsi="Book Antiqua"/>
              </w:rPr>
            </w:pPr>
            <w:r w:rsidRPr="00E81769">
              <w:rPr>
                <w:rFonts w:ascii="Book Antiqua" w:hAnsi="Book Antiqua"/>
              </w:rPr>
              <w:t xml:space="preserve">Credit derivatives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Eternity Global Master Fund Ltd. V.</w:t>
            </w:r>
            <w:r w:rsidR="00201147" w:rsidRPr="00E81769">
              <w:rPr>
                <w:rFonts w:ascii="Book Antiqua" w:hAnsi="Book Antiqua"/>
                <w:i/>
              </w:rPr>
              <w:t xml:space="preserve"> Morgan Guaranty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 xml:space="preserve">Deutsche Bank AG v. Ambac Credit Prods., LLC </w:t>
            </w:r>
          </w:p>
          <w:p w:rsidR="00D145E7" w:rsidRPr="00E81769" w:rsidRDefault="00D145E7" w:rsidP="00D145E7">
            <w:pPr>
              <w:pStyle w:val="ListParagraph"/>
              <w:numPr>
                <w:ilvl w:val="0"/>
                <w:numId w:val="34"/>
              </w:numPr>
              <w:jc w:val="both"/>
              <w:rPr>
                <w:rFonts w:ascii="Book Antiqua" w:hAnsi="Book Antiqua"/>
                <w:i/>
              </w:rPr>
            </w:pPr>
            <w:r w:rsidRPr="00E81769">
              <w:rPr>
                <w:rFonts w:ascii="Book Antiqua" w:hAnsi="Book Antiqua"/>
                <w:i/>
              </w:rPr>
              <w:t xml:space="preserve">Aon Fin. Prods., Inc. v. </w:t>
            </w:r>
            <w:proofErr w:type="spellStart"/>
            <w:r w:rsidRPr="00E81769">
              <w:rPr>
                <w:rFonts w:ascii="Book Antiqua" w:hAnsi="Book Antiqua"/>
                <w:i/>
              </w:rPr>
              <w:t>Société</w:t>
            </w:r>
            <w:proofErr w:type="spellEnd"/>
            <w:r w:rsidRPr="00E81769">
              <w:rPr>
                <w:rFonts w:ascii="Book Antiqua" w:hAnsi="Book Antiqua"/>
                <w:i/>
              </w:rPr>
              <w:t xml:space="preserve"> </w:t>
            </w:r>
            <w:proofErr w:type="spellStart"/>
            <w:r w:rsidRPr="00E81769">
              <w:rPr>
                <w:rFonts w:ascii="Book Antiqua" w:hAnsi="Book Antiqua"/>
                <w:i/>
              </w:rPr>
              <w:t>Générale</w:t>
            </w:r>
            <w:proofErr w:type="spellEnd"/>
            <w:r w:rsidRPr="00E81769">
              <w:rPr>
                <w:rFonts w:ascii="Book Antiqua" w:hAnsi="Book Antiqua"/>
                <w:i/>
              </w:rPr>
              <w:t xml:space="preserve"> </w:t>
            </w:r>
          </w:p>
          <w:p w:rsidR="00AD33CD" w:rsidRPr="00E81769" w:rsidRDefault="00AD33CD" w:rsidP="00B57107">
            <w:pPr>
              <w:pStyle w:val="ListParagraph"/>
              <w:ind w:left="360"/>
            </w:pPr>
          </w:p>
        </w:tc>
        <w:tc>
          <w:tcPr>
            <w:tcW w:w="1890" w:type="dxa"/>
            <w:shd w:val="clear" w:color="auto" w:fill="FFFFFF" w:themeFill="background1"/>
          </w:tcPr>
          <w:p w:rsidR="00AD33CD" w:rsidRPr="00E81769" w:rsidRDefault="00D145E7" w:rsidP="00B57107">
            <w:pPr>
              <w:jc w:val="center"/>
            </w:pPr>
            <w:r w:rsidRPr="00E81769">
              <w:t>699-729</w:t>
            </w:r>
          </w:p>
        </w:tc>
      </w:tr>
      <w:tr w:rsidR="00AD33CD" w:rsidRPr="00200420" w:rsidTr="00B57107">
        <w:tc>
          <w:tcPr>
            <w:tcW w:w="810" w:type="dxa"/>
            <w:shd w:val="clear" w:color="auto" w:fill="D9D9D9" w:themeFill="background1" w:themeFillShade="D9"/>
          </w:tcPr>
          <w:p w:rsidR="00AD33CD" w:rsidRPr="00E81769" w:rsidRDefault="00AD33CD" w:rsidP="00B57107">
            <w:pPr>
              <w:jc w:val="center"/>
            </w:pPr>
            <w:r w:rsidRPr="00E81769">
              <w:t>15.1</w:t>
            </w:r>
          </w:p>
        </w:tc>
        <w:tc>
          <w:tcPr>
            <w:tcW w:w="6660" w:type="dxa"/>
            <w:shd w:val="clear" w:color="auto" w:fill="D9D9D9" w:themeFill="background1" w:themeFillShade="D9"/>
          </w:tcPr>
          <w:p w:rsidR="00AD33CD" w:rsidRPr="00E81769" w:rsidRDefault="00D145E7" w:rsidP="00D145E7">
            <w:r w:rsidRPr="00E81769">
              <w:t xml:space="preserve">Overflow class </w:t>
            </w:r>
          </w:p>
          <w:p w:rsidR="00AD33CD" w:rsidRPr="00E81769" w:rsidRDefault="00AD33CD" w:rsidP="00B57107">
            <w:pPr>
              <w:jc w:val="both"/>
            </w:pPr>
          </w:p>
        </w:tc>
        <w:tc>
          <w:tcPr>
            <w:tcW w:w="1890" w:type="dxa"/>
            <w:shd w:val="clear" w:color="auto" w:fill="D9D9D9" w:themeFill="background1" w:themeFillShade="D9"/>
          </w:tcPr>
          <w:p w:rsidR="00AD33CD" w:rsidRPr="00E81769" w:rsidRDefault="00AD33CD" w:rsidP="00B57107">
            <w:pPr>
              <w:jc w:val="center"/>
            </w:pPr>
          </w:p>
        </w:tc>
      </w:tr>
      <w:tr w:rsidR="00AD33CD" w:rsidRPr="00200420" w:rsidTr="00B57107">
        <w:tc>
          <w:tcPr>
            <w:tcW w:w="810" w:type="dxa"/>
            <w:shd w:val="clear" w:color="auto" w:fill="FFFFFF" w:themeFill="background1"/>
          </w:tcPr>
          <w:p w:rsidR="00AD33CD" w:rsidRPr="00E81769" w:rsidRDefault="00AD33CD" w:rsidP="00B57107">
            <w:pPr>
              <w:jc w:val="center"/>
            </w:pPr>
          </w:p>
        </w:tc>
        <w:tc>
          <w:tcPr>
            <w:tcW w:w="6660" w:type="dxa"/>
            <w:shd w:val="clear" w:color="auto" w:fill="FFFFFF" w:themeFill="background1"/>
          </w:tcPr>
          <w:p w:rsidR="00AD33CD" w:rsidRPr="00E81769" w:rsidRDefault="00AD33CD" w:rsidP="00E945E4">
            <w:pPr>
              <w:pStyle w:val="ListParagraph"/>
              <w:ind w:left="360"/>
              <w:jc w:val="both"/>
            </w:pPr>
            <w:r w:rsidRPr="00E81769">
              <w:rPr>
                <w:b/>
                <w:sz w:val="32"/>
              </w:rPr>
              <w:t xml:space="preserve">FINAL EXAM:  </w:t>
            </w:r>
            <w:r w:rsidR="00D11EDB" w:rsidRPr="00E81769">
              <w:t xml:space="preserve">This exam will be a 24 hour take-home exam.  Exam can be picked up at 10:00 am on </w:t>
            </w:r>
            <w:r w:rsidR="00D11EDB" w:rsidRPr="00E81769">
              <w:lastRenderedPageBreak/>
              <w:t xml:space="preserve">May 1st at the </w:t>
            </w:r>
            <w:r w:rsidR="00E945E4">
              <w:t>Registrar</w:t>
            </w:r>
            <w:r w:rsidR="00D11EDB" w:rsidRPr="00E81769">
              <w:t xml:space="preserve"> and must be submitted by 10</w:t>
            </w:r>
            <w:r w:rsidR="00626746" w:rsidRPr="00E81769">
              <w:t xml:space="preserve">:00 </w:t>
            </w:r>
            <w:r w:rsidR="00D11EDB" w:rsidRPr="00E81769">
              <w:t xml:space="preserve">am on May 2nd at the </w:t>
            </w:r>
            <w:r w:rsidR="00E945E4">
              <w:t>Registrar</w:t>
            </w:r>
            <w:r w:rsidR="00D11EDB" w:rsidRPr="00E81769">
              <w:t>.</w:t>
            </w:r>
          </w:p>
        </w:tc>
        <w:tc>
          <w:tcPr>
            <w:tcW w:w="1890" w:type="dxa"/>
            <w:shd w:val="clear" w:color="auto" w:fill="FFFFFF" w:themeFill="background1"/>
          </w:tcPr>
          <w:p w:rsidR="00AD33CD" w:rsidRPr="00E81769" w:rsidRDefault="00AD33CD" w:rsidP="00B57107">
            <w:pPr>
              <w:jc w:val="center"/>
            </w:pPr>
          </w:p>
        </w:tc>
      </w:tr>
    </w:tbl>
    <w:p w:rsidR="00AD33CD" w:rsidRPr="00200420" w:rsidRDefault="00AD33CD" w:rsidP="00AD33CD"/>
    <w:p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0"/>
  </w:num>
  <w:num w:numId="4">
    <w:abstractNumId w:val="24"/>
  </w:num>
  <w:num w:numId="5">
    <w:abstractNumId w:val="28"/>
  </w:num>
  <w:num w:numId="6">
    <w:abstractNumId w:val="31"/>
  </w:num>
  <w:num w:numId="7">
    <w:abstractNumId w:val="27"/>
  </w:num>
  <w:num w:numId="8">
    <w:abstractNumId w:val="16"/>
  </w:num>
  <w:num w:numId="9">
    <w:abstractNumId w:val="25"/>
  </w:num>
  <w:num w:numId="10">
    <w:abstractNumId w:val="4"/>
  </w:num>
  <w:num w:numId="11">
    <w:abstractNumId w:val="10"/>
  </w:num>
  <w:num w:numId="12">
    <w:abstractNumId w:val="6"/>
  </w:num>
  <w:num w:numId="13">
    <w:abstractNumId w:val="26"/>
  </w:num>
  <w:num w:numId="14">
    <w:abstractNumId w:val="1"/>
  </w:num>
  <w:num w:numId="15">
    <w:abstractNumId w:val="15"/>
  </w:num>
  <w:num w:numId="16">
    <w:abstractNumId w:val="8"/>
  </w:num>
  <w:num w:numId="17">
    <w:abstractNumId w:val="21"/>
  </w:num>
  <w:num w:numId="18">
    <w:abstractNumId w:val="29"/>
  </w:num>
  <w:num w:numId="19">
    <w:abstractNumId w:val="7"/>
  </w:num>
  <w:num w:numId="20">
    <w:abstractNumId w:val="14"/>
  </w:num>
  <w:num w:numId="21">
    <w:abstractNumId w:val="12"/>
  </w:num>
  <w:num w:numId="22">
    <w:abstractNumId w:val="22"/>
  </w:num>
  <w:num w:numId="23">
    <w:abstractNumId w:val="32"/>
  </w:num>
  <w:num w:numId="24">
    <w:abstractNumId w:val="11"/>
  </w:num>
  <w:num w:numId="25">
    <w:abstractNumId w:val="35"/>
  </w:num>
  <w:num w:numId="26">
    <w:abstractNumId w:val="17"/>
  </w:num>
  <w:num w:numId="27">
    <w:abstractNumId w:val="3"/>
  </w:num>
  <w:num w:numId="28">
    <w:abstractNumId w:val="34"/>
  </w:num>
  <w:num w:numId="29">
    <w:abstractNumId w:val="19"/>
  </w:num>
  <w:num w:numId="30">
    <w:abstractNumId w:val="18"/>
  </w:num>
  <w:num w:numId="31">
    <w:abstractNumId w:val="2"/>
  </w:num>
  <w:num w:numId="32">
    <w:abstractNumId w:val="33"/>
  </w:num>
  <w:num w:numId="33">
    <w:abstractNumId w:val="13"/>
  </w:num>
  <w:num w:numId="34">
    <w:abstractNumId w:val="5"/>
  </w:num>
  <w:num w:numId="35">
    <w:abstractNumId w:val="30"/>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E7"/>
    <w:rsid w:val="0000616B"/>
    <w:rsid w:val="00013A9A"/>
    <w:rsid w:val="000330D3"/>
    <w:rsid w:val="00035A2A"/>
    <w:rsid w:val="00045725"/>
    <w:rsid w:val="00052E7F"/>
    <w:rsid w:val="000564C3"/>
    <w:rsid w:val="00061D88"/>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E2502"/>
    <w:rsid w:val="000F0767"/>
    <w:rsid w:val="00101C65"/>
    <w:rsid w:val="001260ED"/>
    <w:rsid w:val="001261D0"/>
    <w:rsid w:val="00126A4C"/>
    <w:rsid w:val="001361E7"/>
    <w:rsid w:val="001362BB"/>
    <w:rsid w:val="00137AD5"/>
    <w:rsid w:val="00144788"/>
    <w:rsid w:val="00153DA6"/>
    <w:rsid w:val="00171036"/>
    <w:rsid w:val="001732D0"/>
    <w:rsid w:val="001733F5"/>
    <w:rsid w:val="001753D5"/>
    <w:rsid w:val="001838F3"/>
    <w:rsid w:val="001869BF"/>
    <w:rsid w:val="00195D7B"/>
    <w:rsid w:val="001A41C8"/>
    <w:rsid w:val="001A6B78"/>
    <w:rsid w:val="001B7BED"/>
    <w:rsid w:val="001C244A"/>
    <w:rsid w:val="001E7403"/>
    <w:rsid w:val="001E7C51"/>
    <w:rsid w:val="002003A3"/>
    <w:rsid w:val="00200420"/>
    <w:rsid w:val="00201147"/>
    <w:rsid w:val="002025F9"/>
    <w:rsid w:val="00225031"/>
    <w:rsid w:val="002301F2"/>
    <w:rsid w:val="002347C4"/>
    <w:rsid w:val="002416C9"/>
    <w:rsid w:val="002430C3"/>
    <w:rsid w:val="00252706"/>
    <w:rsid w:val="0026339F"/>
    <w:rsid w:val="002709F6"/>
    <w:rsid w:val="00281625"/>
    <w:rsid w:val="0029181D"/>
    <w:rsid w:val="002967FE"/>
    <w:rsid w:val="002C4DE6"/>
    <w:rsid w:val="002D14A9"/>
    <w:rsid w:val="002D2666"/>
    <w:rsid w:val="002D2844"/>
    <w:rsid w:val="002D495B"/>
    <w:rsid w:val="002D5D65"/>
    <w:rsid w:val="002D6951"/>
    <w:rsid w:val="002E0053"/>
    <w:rsid w:val="002F3457"/>
    <w:rsid w:val="00301C56"/>
    <w:rsid w:val="003051E0"/>
    <w:rsid w:val="00305D29"/>
    <w:rsid w:val="00310CC4"/>
    <w:rsid w:val="0031131E"/>
    <w:rsid w:val="0031281A"/>
    <w:rsid w:val="00316B55"/>
    <w:rsid w:val="00317AE6"/>
    <w:rsid w:val="003422ED"/>
    <w:rsid w:val="003542BC"/>
    <w:rsid w:val="0035433A"/>
    <w:rsid w:val="00354D51"/>
    <w:rsid w:val="00360723"/>
    <w:rsid w:val="0039279E"/>
    <w:rsid w:val="003971C7"/>
    <w:rsid w:val="003E2986"/>
    <w:rsid w:val="003E3205"/>
    <w:rsid w:val="003E5957"/>
    <w:rsid w:val="003F1CD4"/>
    <w:rsid w:val="004016E5"/>
    <w:rsid w:val="00401A87"/>
    <w:rsid w:val="00403430"/>
    <w:rsid w:val="00404778"/>
    <w:rsid w:val="00417B6C"/>
    <w:rsid w:val="00420F19"/>
    <w:rsid w:val="00423960"/>
    <w:rsid w:val="00423BF0"/>
    <w:rsid w:val="004300A5"/>
    <w:rsid w:val="004301E1"/>
    <w:rsid w:val="0043226E"/>
    <w:rsid w:val="00435D89"/>
    <w:rsid w:val="00441A68"/>
    <w:rsid w:val="00443556"/>
    <w:rsid w:val="004466FB"/>
    <w:rsid w:val="0045362F"/>
    <w:rsid w:val="004554F5"/>
    <w:rsid w:val="004747EE"/>
    <w:rsid w:val="0048487B"/>
    <w:rsid w:val="00486C35"/>
    <w:rsid w:val="004A37DE"/>
    <w:rsid w:val="004B24C1"/>
    <w:rsid w:val="004D360D"/>
    <w:rsid w:val="004E3745"/>
    <w:rsid w:val="005048D5"/>
    <w:rsid w:val="00512450"/>
    <w:rsid w:val="0051265E"/>
    <w:rsid w:val="00514426"/>
    <w:rsid w:val="00517ABF"/>
    <w:rsid w:val="00517ADB"/>
    <w:rsid w:val="0052773E"/>
    <w:rsid w:val="00527FAC"/>
    <w:rsid w:val="00535858"/>
    <w:rsid w:val="005379BC"/>
    <w:rsid w:val="00541A33"/>
    <w:rsid w:val="0056188F"/>
    <w:rsid w:val="00576215"/>
    <w:rsid w:val="00583F99"/>
    <w:rsid w:val="00594A8C"/>
    <w:rsid w:val="00595077"/>
    <w:rsid w:val="00595258"/>
    <w:rsid w:val="005A1552"/>
    <w:rsid w:val="005A1ABD"/>
    <w:rsid w:val="005A28D6"/>
    <w:rsid w:val="005B0D26"/>
    <w:rsid w:val="005B1F82"/>
    <w:rsid w:val="005B2893"/>
    <w:rsid w:val="005C14CC"/>
    <w:rsid w:val="005D01BE"/>
    <w:rsid w:val="005D111E"/>
    <w:rsid w:val="005D4119"/>
    <w:rsid w:val="005E69F1"/>
    <w:rsid w:val="005F1D8D"/>
    <w:rsid w:val="005F1DC5"/>
    <w:rsid w:val="005F4375"/>
    <w:rsid w:val="00610C4A"/>
    <w:rsid w:val="00625D10"/>
    <w:rsid w:val="00626746"/>
    <w:rsid w:val="00642696"/>
    <w:rsid w:val="00645F95"/>
    <w:rsid w:val="00655535"/>
    <w:rsid w:val="00660D57"/>
    <w:rsid w:val="00667C00"/>
    <w:rsid w:val="00670E2E"/>
    <w:rsid w:val="0067297B"/>
    <w:rsid w:val="006946BB"/>
    <w:rsid w:val="006A3BFD"/>
    <w:rsid w:val="006A5EE1"/>
    <w:rsid w:val="006B204F"/>
    <w:rsid w:val="006B2D85"/>
    <w:rsid w:val="006C69BB"/>
    <w:rsid w:val="006D09CC"/>
    <w:rsid w:val="006D32B0"/>
    <w:rsid w:val="006E16E2"/>
    <w:rsid w:val="006F3B92"/>
    <w:rsid w:val="006F5D3D"/>
    <w:rsid w:val="00701F14"/>
    <w:rsid w:val="00702CFB"/>
    <w:rsid w:val="00713EC3"/>
    <w:rsid w:val="00723D80"/>
    <w:rsid w:val="007241D0"/>
    <w:rsid w:val="007549A0"/>
    <w:rsid w:val="00757C6D"/>
    <w:rsid w:val="0076530A"/>
    <w:rsid w:val="0076530F"/>
    <w:rsid w:val="00771173"/>
    <w:rsid w:val="007857CD"/>
    <w:rsid w:val="00786814"/>
    <w:rsid w:val="0078716A"/>
    <w:rsid w:val="0079271C"/>
    <w:rsid w:val="007A0615"/>
    <w:rsid w:val="007A565E"/>
    <w:rsid w:val="007C4137"/>
    <w:rsid w:val="007C5947"/>
    <w:rsid w:val="007D43ED"/>
    <w:rsid w:val="007E1407"/>
    <w:rsid w:val="007E5E28"/>
    <w:rsid w:val="007E6BA2"/>
    <w:rsid w:val="007F3481"/>
    <w:rsid w:val="00802836"/>
    <w:rsid w:val="008428F7"/>
    <w:rsid w:val="008707BC"/>
    <w:rsid w:val="00871688"/>
    <w:rsid w:val="00872C09"/>
    <w:rsid w:val="00877A58"/>
    <w:rsid w:val="008B60C9"/>
    <w:rsid w:val="008C137C"/>
    <w:rsid w:val="008C54A2"/>
    <w:rsid w:val="008C7F69"/>
    <w:rsid w:val="008D4815"/>
    <w:rsid w:val="008D7647"/>
    <w:rsid w:val="008F0309"/>
    <w:rsid w:val="008F148A"/>
    <w:rsid w:val="00906F45"/>
    <w:rsid w:val="0093203E"/>
    <w:rsid w:val="0093588A"/>
    <w:rsid w:val="00945779"/>
    <w:rsid w:val="0096364D"/>
    <w:rsid w:val="00964452"/>
    <w:rsid w:val="00972F70"/>
    <w:rsid w:val="00975B31"/>
    <w:rsid w:val="00987638"/>
    <w:rsid w:val="00992281"/>
    <w:rsid w:val="009A3411"/>
    <w:rsid w:val="009A535B"/>
    <w:rsid w:val="009A74D1"/>
    <w:rsid w:val="009B0433"/>
    <w:rsid w:val="009B1252"/>
    <w:rsid w:val="009D65E2"/>
    <w:rsid w:val="009E250D"/>
    <w:rsid w:val="009E532B"/>
    <w:rsid w:val="009F7171"/>
    <w:rsid w:val="00A005B4"/>
    <w:rsid w:val="00A02BF9"/>
    <w:rsid w:val="00A24B30"/>
    <w:rsid w:val="00A26C82"/>
    <w:rsid w:val="00A314FE"/>
    <w:rsid w:val="00A405F5"/>
    <w:rsid w:val="00A4415C"/>
    <w:rsid w:val="00A4530E"/>
    <w:rsid w:val="00A60609"/>
    <w:rsid w:val="00A63DE7"/>
    <w:rsid w:val="00A664FE"/>
    <w:rsid w:val="00A70139"/>
    <w:rsid w:val="00A73D01"/>
    <w:rsid w:val="00AA0C33"/>
    <w:rsid w:val="00AB3EBA"/>
    <w:rsid w:val="00AD33CD"/>
    <w:rsid w:val="00AF0459"/>
    <w:rsid w:val="00AF4122"/>
    <w:rsid w:val="00AF7915"/>
    <w:rsid w:val="00B149CC"/>
    <w:rsid w:val="00B25E2F"/>
    <w:rsid w:val="00B41954"/>
    <w:rsid w:val="00B441C8"/>
    <w:rsid w:val="00B57986"/>
    <w:rsid w:val="00B62B65"/>
    <w:rsid w:val="00B77088"/>
    <w:rsid w:val="00B7731E"/>
    <w:rsid w:val="00B81F0D"/>
    <w:rsid w:val="00B82CF4"/>
    <w:rsid w:val="00BA57D8"/>
    <w:rsid w:val="00BC47BF"/>
    <w:rsid w:val="00BD0C6E"/>
    <w:rsid w:val="00BD30AC"/>
    <w:rsid w:val="00BF00A2"/>
    <w:rsid w:val="00BF0B85"/>
    <w:rsid w:val="00C04395"/>
    <w:rsid w:val="00C05310"/>
    <w:rsid w:val="00C3525B"/>
    <w:rsid w:val="00C54B86"/>
    <w:rsid w:val="00C80152"/>
    <w:rsid w:val="00CB1DFC"/>
    <w:rsid w:val="00CB2A6A"/>
    <w:rsid w:val="00CB50D2"/>
    <w:rsid w:val="00CD1FC3"/>
    <w:rsid w:val="00CD499F"/>
    <w:rsid w:val="00CE15B0"/>
    <w:rsid w:val="00CF1962"/>
    <w:rsid w:val="00CF36E7"/>
    <w:rsid w:val="00D0169D"/>
    <w:rsid w:val="00D11EDB"/>
    <w:rsid w:val="00D145E7"/>
    <w:rsid w:val="00D27FC3"/>
    <w:rsid w:val="00D32178"/>
    <w:rsid w:val="00D47C38"/>
    <w:rsid w:val="00D65334"/>
    <w:rsid w:val="00D654F8"/>
    <w:rsid w:val="00D66F61"/>
    <w:rsid w:val="00D819B2"/>
    <w:rsid w:val="00D81AF1"/>
    <w:rsid w:val="00D83505"/>
    <w:rsid w:val="00DA7AF1"/>
    <w:rsid w:val="00DB03D5"/>
    <w:rsid w:val="00DB19E4"/>
    <w:rsid w:val="00DC05DE"/>
    <w:rsid w:val="00DC13DD"/>
    <w:rsid w:val="00DC4835"/>
    <w:rsid w:val="00DD281C"/>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5126"/>
    <w:rsid w:val="00E909F8"/>
    <w:rsid w:val="00E90EFF"/>
    <w:rsid w:val="00E9223C"/>
    <w:rsid w:val="00E93E0B"/>
    <w:rsid w:val="00E945E4"/>
    <w:rsid w:val="00EA16B7"/>
    <w:rsid w:val="00EA48F0"/>
    <w:rsid w:val="00EB0D11"/>
    <w:rsid w:val="00EB437C"/>
    <w:rsid w:val="00EF1635"/>
    <w:rsid w:val="00EF1FB2"/>
    <w:rsid w:val="00EF3940"/>
    <w:rsid w:val="00F01104"/>
    <w:rsid w:val="00F0703B"/>
    <w:rsid w:val="00F22093"/>
    <w:rsid w:val="00F24C50"/>
    <w:rsid w:val="00F26258"/>
    <w:rsid w:val="00F327DB"/>
    <w:rsid w:val="00F41A69"/>
    <w:rsid w:val="00F463B9"/>
    <w:rsid w:val="00F62A46"/>
    <w:rsid w:val="00F638DB"/>
    <w:rsid w:val="00F63938"/>
    <w:rsid w:val="00F67952"/>
    <w:rsid w:val="00F949D2"/>
    <w:rsid w:val="00F9742D"/>
    <w:rsid w:val="00FA6CDD"/>
    <w:rsid w:val="00FB295F"/>
    <w:rsid w:val="00FE0E57"/>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fontTable" Target="fontTable.xm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2192</Words>
  <Characters>12499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Krista Vaught</cp:lastModifiedBy>
  <cp:revision>2</cp:revision>
  <cp:lastPrinted>2014-08-28T15:00:00Z</cp:lastPrinted>
  <dcterms:created xsi:type="dcterms:W3CDTF">2018-11-13T20:55:00Z</dcterms:created>
  <dcterms:modified xsi:type="dcterms:W3CDTF">2018-11-13T20:55:00Z</dcterms:modified>
</cp:coreProperties>
</file>