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C1" w:rsidRPr="00423960" w:rsidRDefault="000A0BC1" w:rsidP="000A0BC1">
      <w:pPr>
        <w:jc w:val="center"/>
        <w:rPr>
          <w:rFonts w:eastAsia="Times New Roman" w:cs="Times New Roman"/>
          <w:b/>
          <w:sz w:val="28"/>
          <w:szCs w:val="28"/>
        </w:rPr>
      </w:pPr>
      <w:r w:rsidRPr="00423960">
        <w:rPr>
          <w:rFonts w:eastAsia="Times New Roman" w:cs="Times New Roman"/>
          <w:b/>
          <w:sz w:val="40"/>
          <w:szCs w:val="28"/>
        </w:rPr>
        <w:t>SYLLABUS</w:t>
      </w:r>
    </w:p>
    <w:p w:rsidR="000A0BC1" w:rsidRPr="00401A87" w:rsidRDefault="002519F1" w:rsidP="000A0BC1">
      <w:pPr>
        <w:jc w:val="center"/>
        <w:rPr>
          <w:rFonts w:eastAsia="Times New Roman" w:cs="Times New Roman"/>
          <w:b/>
          <w:sz w:val="28"/>
          <w:szCs w:val="28"/>
        </w:rPr>
      </w:pPr>
      <w:r>
        <w:rPr>
          <w:rFonts w:eastAsia="Times New Roman" w:cs="Times New Roman"/>
          <w:b/>
          <w:sz w:val="28"/>
          <w:szCs w:val="28"/>
        </w:rPr>
        <w:t>CORPORATIONS (</w:t>
      </w:r>
      <w:r w:rsidR="007A25A1">
        <w:rPr>
          <w:rFonts w:eastAsia="Times New Roman" w:cs="Times New Roman"/>
          <w:b/>
          <w:sz w:val="28"/>
          <w:szCs w:val="28"/>
        </w:rPr>
        <w:t>Fall 2019</w:t>
      </w:r>
      <w:r w:rsidR="000A0BC1">
        <w:rPr>
          <w:rFonts w:eastAsia="Times New Roman" w:cs="Times New Roman"/>
          <w:b/>
          <w:sz w:val="28"/>
          <w:szCs w:val="28"/>
        </w:rPr>
        <w:t>)</w:t>
      </w:r>
    </w:p>
    <w:p w:rsidR="000A0BC1" w:rsidRDefault="000A0BC1" w:rsidP="000A0BC1">
      <w:pPr>
        <w:ind w:right="-180"/>
        <w:jc w:val="both"/>
        <w:rPr>
          <w:rFonts w:ascii="Book Antiqua" w:eastAsia="Times New Roman" w:hAnsi="Book Antiqua" w:cs="Times New Roman"/>
          <w:sz w:val="26"/>
          <w:szCs w:val="26"/>
        </w:rPr>
      </w:pPr>
    </w:p>
    <w:p w:rsidR="00CE5B5C" w:rsidRDefault="00CE5B5C" w:rsidP="000A0BC1">
      <w:pPr>
        <w:ind w:right="-180"/>
        <w:jc w:val="both"/>
        <w:rPr>
          <w:rFonts w:ascii="Book Antiqua" w:eastAsia="Times New Roman" w:hAnsi="Book Antiqua" w:cs="Times New Roman"/>
          <w:sz w:val="26"/>
          <w:szCs w:val="26"/>
        </w:rPr>
      </w:pPr>
    </w:p>
    <w:p w:rsidR="00930AAD" w:rsidRDefault="000A0BC1" w:rsidP="000A0BC1">
      <w:pPr>
        <w:ind w:right="-180"/>
        <w:jc w:val="both"/>
        <w:rPr>
          <w:rFonts w:ascii="Book Antiqua" w:eastAsia="Times New Roman" w:hAnsi="Book Antiqua" w:cs="Times New Roman"/>
        </w:rPr>
      </w:pPr>
      <w:r w:rsidRPr="00423960">
        <w:rPr>
          <w:rFonts w:ascii="Book Antiqua" w:eastAsia="Times New Roman" w:hAnsi="Book Antiqua" w:cs="Times New Roman"/>
        </w:rPr>
        <w:t>CONTACT</w:t>
      </w:r>
      <w:r>
        <w:rPr>
          <w:rFonts w:ascii="Book Antiqua" w:eastAsia="Times New Roman" w:hAnsi="Book Antiqua" w:cs="Times New Roman"/>
        </w:rPr>
        <w:t>:</w:t>
      </w:r>
      <w:r>
        <w:rPr>
          <w:rFonts w:ascii="Book Antiqua" w:eastAsia="Times New Roman" w:hAnsi="Book Antiqua" w:cs="Times New Roman"/>
        </w:rPr>
        <w:tab/>
      </w:r>
      <w:r w:rsidRPr="00423960">
        <w:rPr>
          <w:rFonts w:ascii="Book Antiqua" w:eastAsia="Times New Roman" w:hAnsi="Book Antiqua" w:cs="Times New Roman"/>
        </w:rPr>
        <w:tab/>
      </w:r>
      <w:r w:rsidRPr="00423960">
        <w:rPr>
          <w:rFonts w:ascii="Book Antiqua" w:eastAsia="Times New Roman" w:hAnsi="Book Antiqua" w:cs="Times New Roman"/>
        </w:rPr>
        <w:tab/>
      </w:r>
      <w:r>
        <w:rPr>
          <w:rFonts w:ascii="Book Antiqua" w:eastAsia="Times New Roman" w:hAnsi="Book Antiqua" w:cs="Times New Roman"/>
        </w:rPr>
        <w:t>Holland Hall</w:t>
      </w:r>
      <w:r w:rsidRPr="00423960">
        <w:rPr>
          <w:rFonts w:ascii="Book Antiqua" w:eastAsia="Times New Roman" w:hAnsi="Book Antiqua" w:cs="Times New Roman"/>
        </w:rPr>
        <w:t xml:space="preserve"> # 378</w:t>
      </w:r>
    </w:p>
    <w:p w:rsidR="000A0BC1" w:rsidRPr="00423960" w:rsidRDefault="000A0BC1" w:rsidP="00930AAD">
      <w:pPr>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352-273-0958</w:t>
      </w:r>
    </w:p>
    <w:p w:rsidR="000A0BC1" w:rsidRPr="00423960" w:rsidRDefault="000A0BC1" w:rsidP="000A0BC1">
      <w:pPr>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rhee@law.ufl.edu</w:t>
      </w:r>
    </w:p>
    <w:p w:rsidR="000A0BC1" w:rsidRDefault="000A0BC1" w:rsidP="000A0BC1">
      <w:pPr>
        <w:ind w:right="-180"/>
        <w:jc w:val="both"/>
        <w:rPr>
          <w:rFonts w:ascii="Book Antiqua" w:eastAsia="Times New Roman" w:hAnsi="Book Antiqua" w:cs="Times New Roman"/>
        </w:rPr>
      </w:pPr>
    </w:p>
    <w:p w:rsidR="000A0BC1" w:rsidRPr="00423960" w:rsidRDefault="000A0BC1" w:rsidP="000A0BC1">
      <w:pPr>
        <w:ind w:right="-180"/>
        <w:jc w:val="both"/>
        <w:rPr>
          <w:rFonts w:ascii="Book Antiqua" w:eastAsia="Times New Roman" w:hAnsi="Book Antiqua" w:cs="Times New Roman"/>
        </w:rPr>
      </w:pPr>
      <w:r>
        <w:rPr>
          <w:rFonts w:ascii="Book Antiqua" w:eastAsia="Times New Roman" w:hAnsi="Book Antiqua" w:cs="Times New Roman"/>
        </w:rPr>
        <w:t xml:space="preserve">CLASSROOM: </w:t>
      </w:r>
      <w:r>
        <w:rPr>
          <w:rFonts w:ascii="Book Antiqua" w:eastAsia="Times New Roman" w:hAnsi="Book Antiqua" w:cs="Times New Roman"/>
        </w:rPr>
        <w:tab/>
      </w:r>
      <w:r w:rsidRPr="00423960">
        <w:rPr>
          <w:rFonts w:ascii="Book Antiqua" w:eastAsia="Times New Roman" w:hAnsi="Book Antiqua" w:cs="Times New Roman"/>
        </w:rPr>
        <w:tab/>
      </w:r>
      <w:r w:rsidR="00637B5A">
        <w:rPr>
          <w:rFonts w:ascii="Book Antiqua" w:eastAsia="Times New Roman" w:hAnsi="Book Antiqua" w:cs="Times New Roman"/>
        </w:rPr>
        <w:t>Holland</w:t>
      </w:r>
      <w:r w:rsidRPr="00423960">
        <w:rPr>
          <w:rFonts w:ascii="Book Antiqua" w:eastAsia="Times New Roman" w:hAnsi="Book Antiqua" w:cs="Times New Roman"/>
        </w:rPr>
        <w:t xml:space="preserve"> </w:t>
      </w:r>
      <w:r w:rsidR="003B7DAF">
        <w:rPr>
          <w:rFonts w:ascii="Book Antiqua" w:eastAsia="Times New Roman" w:hAnsi="Book Antiqua" w:cs="Times New Roman"/>
        </w:rPr>
        <w:t>35</w:t>
      </w:r>
      <w:r w:rsidR="00061591">
        <w:rPr>
          <w:rFonts w:ascii="Book Antiqua" w:eastAsia="Times New Roman" w:hAnsi="Book Antiqua" w:cs="Times New Roman"/>
        </w:rPr>
        <w:t>5C</w:t>
      </w:r>
    </w:p>
    <w:p w:rsidR="000A0BC1" w:rsidRDefault="000A0BC1" w:rsidP="000A0BC1">
      <w:pPr>
        <w:ind w:right="-187"/>
        <w:jc w:val="both"/>
        <w:rPr>
          <w:rFonts w:ascii="Book Antiqua" w:eastAsia="Times New Roman" w:hAnsi="Book Antiqua" w:cs="Times New Roman"/>
        </w:rPr>
      </w:pPr>
    </w:p>
    <w:p w:rsidR="000A0BC1" w:rsidRPr="00423960" w:rsidRDefault="000A0BC1" w:rsidP="000A0BC1">
      <w:pPr>
        <w:ind w:right="-187"/>
        <w:jc w:val="both"/>
        <w:rPr>
          <w:rFonts w:ascii="Book Antiqua" w:eastAsia="Times New Roman" w:hAnsi="Book Antiqua" w:cs="Times New Roman"/>
        </w:rPr>
      </w:pPr>
      <w:r>
        <w:rPr>
          <w:rFonts w:ascii="Book Antiqua" w:eastAsia="Times New Roman" w:hAnsi="Book Antiqua" w:cs="Times New Roman"/>
        </w:rPr>
        <w:t xml:space="preserve">CLASS TIME: </w:t>
      </w:r>
      <w:r>
        <w:rPr>
          <w:rFonts w:ascii="Book Antiqua" w:eastAsia="Times New Roman" w:hAnsi="Book Antiqua" w:cs="Times New Roman"/>
        </w:rPr>
        <w:tab/>
      </w:r>
      <w:r>
        <w:rPr>
          <w:rFonts w:ascii="Book Antiqua" w:eastAsia="Times New Roman" w:hAnsi="Book Antiqua" w:cs="Times New Roman"/>
        </w:rPr>
        <w:tab/>
      </w:r>
      <w:r w:rsidR="007A25A1">
        <w:rPr>
          <w:rFonts w:ascii="Book Antiqua" w:eastAsia="Times New Roman" w:hAnsi="Book Antiqua" w:cs="Times New Roman"/>
        </w:rPr>
        <w:t>Mon. &amp; Tues.</w:t>
      </w:r>
      <w:r>
        <w:rPr>
          <w:rFonts w:ascii="Book Antiqua" w:eastAsia="Times New Roman" w:hAnsi="Book Antiqua" w:cs="Times New Roman"/>
        </w:rPr>
        <w:t xml:space="preserve">:  </w:t>
      </w:r>
      <w:r>
        <w:rPr>
          <w:rFonts w:ascii="Book Antiqua" w:eastAsia="Times New Roman" w:hAnsi="Book Antiqua" w:cs="Times New Roman"/>
        </w:rPr>
        <w:tab/>
      </w:r>
      <w:r w:rsidR="007A25A1">
        <w:rPr>
          <w:rFonts w:ascii="Book Antiqua" w:eastAsia="Times New Roman" w:hAnsi="Book Antiqua" w:cs="Times New Roman"/>
        </w:rPr>
        <w:t>3:00 P</w:t>
      </w:r>
      <w:r>
        <w:rPr>
          <w:rFonts w:ascii="Book Antiqua" w:eastAsia="Times New Roman" w:hAnsi="Book Antiqua" w:cs="Times New Roman"/>
        </w:rPr>
        <w:t xml:space="preserve">M to </w:t>
      </w:r>
      <w:r w:rsidR="007A25A1">
        <w:rPr>
          <w:rFonts w:ascii="Book Antiqua" w:eastAsia="Times New Roman" w:hAnsi="Book Antiqua" w:cs="Times New Roman"/>
        </w:rPr>
        <w:t>4:25</w:t>
      </w:r>
      <w:r>
        <w:rPr>
          <w:rFonts w:ascii="Book Antiqua" w:eastAsia="Times New Roman" w:hAnsi="Book Antiqua" w:cs="Times New Roman"/>
        </w:rPr>
        <w:t xml:space="preserve"> </w:t>
      </w:r>
      <w:r w:rsidR="007A25A1">
        <w:rPr>
          <w:rFonts w:ascii="Book Antiqua" w:eastAsia="Times New Roman" w:hAnsi="Book Antiqua" w:cs="Times New Roman"/>
        </w:rPr>
        <w:t>P</w:t>
      </w:r>
      <w:r w:rsidRPr="00423960">
        <w:rPr>
          <w:rFonts w:ascii="Book Antiqua" w:eastAsia="Times New Roman" w:hAnsi="Book Antiqua" w:cs="Times New Roman"/>
        </w:rPr>
        <w:t xml:space="preserve">M </w:t>
      </w:r>
      <w:r>
        <w:rPr>
          <w:rFonts w:ascii="Book Antiqua" w:eastAsia="Times New Roman" w:hAnsi="Book Antiqua" w:cs="Times New Roman"/>
        </w:rPr>
        <w:t xml:space="preserve"> </w:t>
      </w:r>
    </w:p>
    <w:p w:rsidR="000A0BC1" w:rsidRPr="00423960" w:rsidRDefault="000A0BC1" w:rsidP="000A0BC1">
      <w:pPr>
        <w:ind w:right="-187"/>
        <w:jc w:val="both"/>
        <w:rPr>
          <w:rFonts w:ascii="Book Antiqua" w:eastAsia="Times New Roman" w:hAnsi="Book Antiqua" w:cs="Times New Roman"/>
        </w:rPr>
      </w:pPr>
    </w:p>
    <w:p w:rsidR="000A0BC1" w:rsidRPr="00423960" w:rsidRDefault="000A0BC1" w:rsidP="000A0BC1">
      <w:pPr>
        <w:ind w:right="-187"/>
        <w:jc w:val="both"/>
        <w:rPr>
          <w:rFonts w:ascii="Book Antiqua" w:eastAsia="Times New Roman" w:hAnsi="Book Antiqua" w:cs="Times New Roman"/>
        </w:rPr>
      </w:pPr>
      <w:r>
        <w:rPr>
          <w:rFonts w:ascii="Book Antiqua" w:eastAsia="Times New Roman" w:hAnsi="Book Antiqua" w:cs="Times New Roman"/>
        </w:rPr>
        <w:t>O</w:t>
      </w:r>
      <w:r w:rsidR="002519F1">
        <w:rPr>
          <w:rFonts w:ascii="Book Antiqua" w:eastAsia="Times New Roman" w:hAnsi="Book Antiqua" w:cs="Times New Roman"/>
        </w:rPr>
        <w:t xml:space="preserve">FFICE HOURS: </w:t>
      </w:r>
      <w:r w:rsidR="002519F1">
        <w:rPr>
          <w:rFonts w:ascii="Book Antiqua" w:eastAsia="Times New Roman" w:hAnsi="Book Antiqua" w:cs="Times New Roman"/>
        </w:rPr>
        <w:tab/>
      </w:r>
      <w:r w:rsidR="002519F1">
        <w:rPr>
          <w:rFonts w:ascii="Book Antiqua" w:eastAsia="Times New Roman" w:hAnsi="Book Antiqua" w:cs="Times New Roman"/>
        </w:rPr>
        <w:tab/>
      </w:r>
      <w:r w:rsidR="007A25A1">
        <w:rPr>
          <w:rFonts w:ascii="Book Antiqua" w:eastAsia="Times New Roman" w:hAnsi="Book Antiqua" w:cs="Times New Roman"/>
        </w:rPr>
        <w:t xml:space="preserve">Mon. &amp; Tues.:  </w:t>
      </w:r>
      <w:r w:rsidR="007A25A1">
        <w:rPr>
          <w:rFonts w:ascii="Book Antiqua" w:eastAsia="Times New Roman" w:hAnsi="Book Antiqua" w:cs="Times New Roman"/>
        </w:rPr>
        <w:tab/>
        <w:t>12:00 PM to 1:00 P</w:t>
      </w:r>
      <w:r w:rsidR="007A25A1" w:rsidRPr="00423960">
        <w:rPr>
          <w:rFonts w:ascii="Book Antiqua" w:eastAsia="Times New Roman" w:hAnsi="Book Antiqua" w:cs="Times New Roman"/>
        </w:rPr>
        <w:t>M</w:t>
      </w:r>
      <w:r w:rsidRPr="00423960">
        <w:rPr>
          <w:rFonts w:ascii="Book Antiqua" w:eastAsia="Times New Roman" w:hAnsi="Book Antiqua" w:cs="Times New Roman"/>
        </w:rPr>
        <w:t xml:space="preserve"> </w:t>
      </w:r>
      <w:r>
        <w:rPr>
          <w:rFonts w:ascii="Book Antiqua" w:eastAsia="Times New Roman" w:hAnsi="Book Antiqua" w:cs="Times New Roman"/>
        </w:rPr>
        <w:t xml:space="preserve"> </w:t>
      </w:r>
    </w:p>
    <w:p w:rsidR="000A0BC1" w:rsidRPr="00423960" w:rsidRDefault="000A0BC1" w:rsidP="000A0BC1">
      <w:pPr>
        <w:ind w:right="-187"/>
        <w:jc w:val="both"/>
        <w:rPr>
          <w:rFonts w:ascii="Book Antiqua" w:eastAsia="Times New Roman" w:hAnsi="Book Antiqua" w:cs="Times New Roman"/>
        </w:rPr>
      </w:pPr>
    </w:p>
    <w:p w:rsidR="000A0BC1" w:rsidRPr="00CE1F3F" w:rsidRDefault="000A0BC1" w:rsidP="000A0BC1">
      <w:pPr>
        <w:ind w:right="-720"/>
        <w:jc w:val="both"/>
        <w:rPr>
          <w:rFonts w:ascii="Book Antiqua" w:eastAsia="Times New Roman" w:hAnsi="Book Antiqua" w:cs="Times New Roman"/>
          <w:color w:val="000000" w:themeColor="text1"/>
        </w:rPr>
      </w:pPr>
      <w:r>
        <w:rPr>
          <w:rFonts w:ascii="Book Antiqua" w:eastAsia="Times New Roman" w:hAnsi="Book Antiqua" w:cs="Times New Roman"/>
        </w:rPr>
        <w:t xml:space="preserve">FINAL EXAM:  </w:t>
      </w:r>
      <w:r>
        <w:rPr>
          <w:rFonts w:ascii="Book Antiqua" w:eastAsia="Times New Roman" w:hAnsi="Book Antiqua" w:cs="Times New Roman"/>
        </w:rPr>
        <w:tab/>
      </w:r>
      <w:r w:rsidRPr="00CE1F3F">
        <w:rPr>
          <w:rFonts w:ascii="Book Antiqua" w:eastAsia="Times New Roman" w:hAnsi="Book Antiqua" w:cs="Times New Roman"/>
          <w:color w:val="000000" w:themeColor="text1"/>
        </w:rPr>
        <w:tab/>
      </w:r>
      <w:r w:rsidR="003B7DAF">
        <w:rPr>
          <w:rFonts w:ascii="Book Antiqua" w:eastAsia="Times New Roman" w:hAnsi="Book Antiqua" w:cs="Times New Roman"/>
          <w:color w:val="000000" w:themeColor="text1"/>
        </w:rPr>
        <w:t xml:space="preserve">December </w:t>
      </w:r>
      <w:r w:rsidR="007A25A1">
        <w:rPr>
          <w:rFonts w:ascii="Book Antiqua" w:eastAsia="Times New Roman" w:hAnsi="Book Antiqua" w:cs="Times New Roman"/>
          <w:color w:val="000000" w:themeColor="text1"/>
        </w:rPr>
        <w:t>18</w:t>
      </w:r>
      <w:r w:rsidRPr="00CE1F3F">
        <w:rPr>
          <w:rFonts w:ascii="Book Antiqua" w:eastAsia="Times New Roman" w:hAnsi="Book Antiqua" w:cs="Times New Roman"/>
          <w:color w:val="000000" w:themeColor="text1"/>
        </w:rPr>
        <w:t xml:space="preserve">, </w:t>
      </w:r>
      <w:r w:rsidR="003B7DAF">
        <w:rPr>
          <w:rFonts w:ascii="Book Antiqua" w:eastAsia="Times New Roman" w:hAnsi="Book Antiqua" w:cs="Times New Roman"/>
          <w:color w:val="000000" w:themeColor="text1"/>
        </w:rPr>
        <w:t>Monday</w:t>
      </w:r>
      <w:r w:rsidRPr="00CE1F3F">
        <w:rPr>
          <w:rFonts w:ascii="Book Antiqua" w:eastAsia="Times New Roman" w:hAnsi="Book Antiqua" w:cs="Times New Roman"/>
          <w:color w:val="000000" w:themeColor="text1"/>
        </w:rPr>
        <w:t>, 8:30</w:t>
      </w:r>
      <w:r w:rsidR="002519F1">
        <w:rPr>
          <w:rFonts w:ascii="Book Antiqua" w:eastAsia="Times New Roman" w:hAnsi="Book Antiqua" w:cs="Times New Roman"/>
          <w:color w:val="000000" w:themeColor="text1"/>
        </w:rPr>
        <w:t xml:space="preserve"> AM to 1</w:t>
      </w:r>
      <w:r w:rsidR="007A25A1">
        <w:rPr>
          <w:rFonts w:ascii="Book Antiqua" w:eastAsia="Times New Roman" w:hAnsi="Book Antiqua" w:cs="Times New Roman"/>
          <w:color w:val="000000" w:themeColor="text1"/>
        </w:rPr>
        <w:t>2:30 PM (4</w:t>
      </w:r>
      <w:r w:rsidR="002519F1">
        <w:rPr>
          <w:rFonts w:ascii="Book Antiqua" w:eastAsia="Times New Roman" w:hAnsi="Book Antiqua" w:cs="Times New Roman"/>
          <w:color w:val="000000" w:themeColor="text1"/>
        </w:rPr>
        <w:t xml:space="preserve"> hours)</w:t>
      </w:r>
      <w:r w:rsidRPr="00CE1F3F">
        <w:rPr>
          <w:rFonts w:ascii="Book Antiqua" w:eastAsia="Times New Roman" w:hAnsi="Book Antiqua" w:cs="Times New Roman"/>
          <w:color w:val="000000" w:themeColor="text1"/>
        </w:rPr>
        <w:t xml:space="preserve"> </w:t>
      </w:r>
      <w:r w:rsidRPr="00CE1F3F">
        <w:rPr>
          <w:rFonts w:ascii="Book Antiqua" w:eastAsia="Times New Roman" w:hAnsi="Book Antiqua" w:cs="Times New Roman"/>
          <w:color w:val="000000" w:themeColor="text1"/>
        </w:rPr>
        <w:tab/>
      </w:r>
    </w:p>
    <w:p w:rsidR="000A0BC1" w:rsidRDefault="000A0BC1" w:rsidP="000A0BC1">
      <w:pPr>
        <w:jc w:val="both"/>
        <w:rPr>
          <w:rFonts w:ascii="Book Antiqua" w:eastAsia="Times New Roman" w:hAnsi="Book Antiqua" w:cs="Times New Roman"/>
        </w:rPr>
      </w:pPr>
    </w:p>
    <w:p w:rsidR="00C97EB4" w:rsidRPr="00423960" w:rsidRDefault="00C97EB4" w:rsidP="000A0BC1">
      <w:pPr>
        <w:jc w:val="both"/>
        <w:rPr>
          <w:rFonts w:ascii="Book Antiqua" w:eastAsia="Times New Roman" w:hAnsi="Book Antiqua" w:cs="Times New Roman"/>
        </w:rPr>
      </w:pPr>
    </w:p>
    <w:p w:rsidR="000A0BC1" w:rsidRPr="00423960" w:rsidRDefault="000A0BC1" w:rsidP="000A0BC1">
      <w:pPr>
        <w:jc w:val="both"/>
        <w:rPr>
          <w:rFonts w:ascii="Book Antiqua" w:eastAsia="Times New Roman" w:hAnsi="Book Antiqua" w:cs="Times New Roman"/>
          <w:b/>
        </w:rPr>
      </w:pPr>
      <w:r w:rsidRPr="00423960">
        <w:rPr>
          <w:rFonts w:ascii="Book Antiqua" w:eastAsia="Times New Roman" w:hAnsi="Book Antiqua" w:cs="Times New Roman"/>
          <w:b/>
        </w:rPr>
        <w:t xml:space="preserve">TEXTBOOKS </w:t>
      </w:r>
    </w:p>
    <w:p w:rsidR="000A0BC1" w:rsidRPr="00423960" w:rsidRDefault="000A0BC1" w:rsidP="000A0BC1">
      <w:pPr>
        <w:jc w:val="both"/>
        <w:rPr>
          <w:rFonts w:ascii="Book Antiqua" w:eastAsia="Times New Roman" w:hAnsi="Book Antiqua" w:cs="Times New Roman"/>
          <w:b/>
        </w:rPr>
      </w:pPr>
    </w:p>
    <w:p w:rsidR="000A0BC1" w:rsidRPr="00F41A69" w:rsidRDefault="003B7DAF" w:rsidP="000A0BC1">
      <w:pPr>
        <w:jc w:val="both"/>
      </w:pPr>
      <w:r>
        <w:t>Jeffrey Bauman,</w:t>
      </w:r>
      <w:r w:rsidR="000A0BC1" w:rsidRPr="00F41A69">
        <w:t xml:space="preserve"> Russell Stevenson</w:t>
      </w:r>
      <w:r>
        <w:t xml:space="preserve"> &amp; Robert Rhee</w:t>
      </w:r>
      <w:r w:rsidR="000A0BC1" w:rsidRPr="00F41A69">
        <w:t xml:space="preserve">, </w:t>
      </w:r>
      <w:r w:rsidR="00501665">
        <w:t>Business Organizations</w:t>
      </w:r>
      <w:r>
        <w:t xml:space="preserve"> Law and Policy, West, 9</w:t>
      </w:r>
      <w:r w:rsidR="000A0BC1" w:rsidRPr="00F41A69">
        <w:t xml:space="preserve">th </w:t>
      </w:r>
      <w:r w:rsidR="00C97EB4">
        <w:t>ed.</w:t>
      </w:r>
      <w:r>
        <w:t xml:space="preserve">, 2017 </w:t>
      </w:r>
    </w:p>
    <w:p w:rsidR="000A0BC1" w:rsidRPr="00423960" w:rsidRDefault="000A0BC1" w:rsidP="000A0BC1">
      <w:pPr>
        <w:jc w:val="both"/>
        <w:rPr>
          <w:rFonts w:ascii="Book Antiqua" w:eastAsia="Times New Roman" w:hAnsi="Book Antiqua" w:cs="Times New Roman"/>
        </w:rPr>
      </w:pPr>
    </w:p>
    <w:p w:rsidR="000A0BC1" w:rsidRPr="00423960" w:rsidRDefault="000A0BC1" w:rsidP="000A0BC1">
      <w:pPr>
        <w:rPr>
          <w:rFonts w:ascii="Book Antiqua" w:eastAsia="Times New Roman" w:hAnsi="Book Antiqua" w:cs="Times New Roman"/>
          <w:b/>
        </w:rPr>
      </w:pPr>
      <w:r w:rsidRPr="00423960">
        <w:rPr>
          <w:rFonts w:ascii="Book Antiqua" w:eastAsia="Times New Roman" w:hAnsi="Book Antiqua" w:cs="Times New Roman"/>
          <w:b/>
        </w:rPr>
        <w:t>COURSE GRADING</w:t>
      </w:r>
    </w:p>
    <w:p w:rsidR="000A0BC1" w:rsidRPr="00423960" w:rsidRDefault="000A0BC1" w:rsidP="000A0BC1">
      <w:pPr>
        <w:jc w:val="both"/>
        <w:rPr>
          <w:rFonts w:ascii="Book Antiqua" w:eastAsia="Times New Roman" w:hAnsi="Book Antiqua" w:cs="Times New Roman"/>
        </w:rPr>
      </w:pPr>
    </w:p>
    <w:p w:rsidR="000A0BC1" w:rsidRDefault="000A0BC1" w:rsidP="000A0BC1">
      <w:pPr>
        <w:jc w:val="both"/>
        <w:rPr>
          <w:rFonts w:ascii="Book Antiqua" w:eastAsia="Times New Roman" w:hAnsi="Book Antiqua" w:cs="Times New Roman"/>
        </w:rPr>
      </w:pPr>
      <w:r w:rsidRPr="00423960">
        <w:rPr>
          <w:rFonts w:ascii="Book Antiqua" w:eastAsia="Times New Roman" w:hAnsi="Book Antiqua" w:cs="Times New Roman"/>
        </w:rPr>
        <w:t>Your grade will be based on a final exam</w:t>
      </w:r>
      <w:r>
        <w:rPr>
          <w:rFonts w:ascii="Book Antiqua" w:eastAsia="Times New Roman" w:hAnsi="Book Antiqua" w:cs="Times New Roman"/>
        </w:rPr>
        <w:t xml:space="preserve"> only</w:t>
      </w:r>
      <w:r w:rsidRPr="00423960">
        <w:rPr>
          <w:rFonts w:ascii="Book Antiqua" w:eastAsia="Times New Roman" w:hAnsi="Book Antiqua" w:cs="Times New Roman"/>
        </w:rPr>
        <w:t xml:space="preserve">. The final exam will be an in-class exam. Exam grades are done on a blind basis. All grades are final. There will be no regrading or revisions from me, except to correct any mathematical or clerical errors in computing the final score. </w:t>
      </w:r>
    </w:p>
    <w:p w:rsidR="000A0BC1" w:rsidRPr="00423960" w:rsidRDefault="000A0BC1" w:rsidP="000A0BC1">
      <w:pPr>
        <w:jc w:val="both"/>
        <w:rPr>
          <w:rFonts w:ascii="Book Antiqua" w:eastAsia="Times New Roman" w:hAnsi="Book Antiqua" w:cs="Times New Roman"/>
        </w:rPr>
      </w:pPr>
    </w:p>
    <w:p w:rsidR="000A0BC1" w:rsidRPr="00423960" w:rsidRDefault="000A0BC1" w:rsidP="000A0BC1">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rsidR="000A0BC1" w:rsidRDefault="000A0BC1" w:rsidP="000A0BC1">
      <w:pPr>
        <w:jc w:val="both"/>
        <w:rPr>
          <w:rFonts w:ascii="Book Antiqua" w:eastAsia="Times New Roman" w:hAnsi="Book Antiqua" w:cs="Times New Roman"/>
        </w:rPr>
      </w:pPr>
    </w:p>
    <w:p w:rsidR="00CE5B5C" w:rsidRDefault="000A0BC1" w:rsidP="000A0BC1">
      <w:pPr>
        <w:jc w:val="both"/>
        <w:rPr>
          <w:rFonts w:ascii="Book Antiqua" w:eastAsia="Times New Roman" w:hAnsi="Book Antiqua" w:cs="Times New Roman"/>
        </w:rPr>
      </w:pPr>
      <w:r>
        <w:rPr>
          <w:rFonts w:ascii="Book Antiqua" w:eastAsia="Times New Roman" w:hAnsi="Book Antiqua" w:cs="Times New Roman"/>
        </w:rPr>
        <w:t xml:space="preserve">The final exam will be open casebook. </w:t>
      </w:r>
      <w:r w:rsidR="00CE5B5C">
        <w:rPr>
          <w:rFonts w:ascii="Book Antiqua" w:eastAsia="Times New Roman" w:hAnsi="Book Antiqua" w:cs="Times New Roman"/>
        </w:rPr>
        <w:t xml:space="preserve">There are no restrictions on what you can write into the book. You will also be allowed to bring in an outline or notes with the following restrictions: 10 pages </w:t>
      </w:r>
      <w:r w:rsidR="00810A80">
        <w:rPr>
          <w:rFonts w:ascii="Book Antiqua" w:eastAsia="Times New Roman" w:hAnsi="Book Antiqua" w:cs="Times New Roman"/>
        </w:rPr>
        <w:t xml:space="preserve">(10 sheets of paper </w:t>
      </w:r>
      <w:r w:rsidR="00CE5B5C">
        <w:rPr>
          <w:rFonts w:ascii="Book Antiqua" w:eastAsia="Times New Roman" w:hAnsi="Book Antiqua" w:cs="Times New Roman"/>
        </w:rPr>
        <w:t>on 8x11 sheets</w:t>
      </w:r>
      <w:r w:rsidR="00810A80">
        <w:rPr>
          <w:rFonts w:ascii="Book Antiqua" w:eastAsia="Times New Roman" w:hAnsi="Book Antiqua" w:cs="Times New Roman"/>
        </w:rPr>
        <w:t>)</w:t>
      </w:r>
      <w:r w:rsidR="00CE5B5C">
        <w:rPr>
          <w:rFonts w:ascii="Book Antiqua" w:eastAsia="Times New Roman" w:hAnsi="Book Antiqua" w:cs="Times New Roman"/>
        </w:rPr>
        <w:t xml:space="preserve">, front and back permitted, handwritten or typed notes permitted, no margin restrictions. If a problem </w:t>
      </w:r>
      <w:r w:rsidR="00B708F2">
        <w:rPr>
          <w:rFonts w:ascii="Book Antiqua" w:eastAsia="Times New Roman" w:hAnsi="Book Antiqua" w:cs="Times New Roman"/>
        </w:rPr>
        <w:t xml:space="preserve">on the exam </w:t>
      </w:r>
      <w:r w:rsidR="00CE5B5C">
        <w:rPr>
          <w:rFonts w:ascii="Book Antiqua" w:eastAsia="Times New Roman" w:hAnsi="Book Antiqua" w:cs="Times New Roman"/>
        </w:rPr>
        <w:t xml:space="preserve">requires statutes, they will be provided in the exam. </w:t>
      </w:r>
    </w:p>
    <w:p w:rsidR="00CE5B5C" w:rsidRDefault="00CE5B5C" w:rsidP="000A0BC1">
      <w:pPr>
        <w:jc w:val="both"/>
        <w:rPr>
          <w:rFonts w:ascii="Book Antiqua" w:eastAsia="Times New Roman" w:hAnsi="Book Antiqua" w:cs="Times New Roman"/>
        </w:rPr>
      </w:pPr>
    </w:p>
    <w:p w:rsidR="000A0BC1" w:rsidRDefault="00CE5B5C" w:rsidP="000A0BC1">
      <w:pPr>
        <w:jc w:val="both"/>
        <w:rPr>
          <w:rFonts w:ascii="Book Antiqua" w:eastAsia="Times New Roman" w:hAnsi="Book Antiqua" w:cs="Times New Roman"/>
        </w:rPr>
      </w:pPr>
      <w:r>
        <w:rPr>
          <w:rFonts w:ascii="Book Antiqua" w:eastAsia="Times New Roman" w:hAnsi="Book Antiqua" w:cs="Times New Roman"/>
        </w:rPr>
        <w:t>The final exam</w:t>
      </w:r>
      <w:r w:rsidR="00B708F2">
        <w:rPr>
          <w:rFonts w:ascii="Book Antiqua" w:eastAsia="Times New Roman" w:hAnsi="Book Antiqua" w:cs="Times New Roman"/>
        </w:rPr>
        <w:t xml:space="preserve"> may</w:t>
      </w:r>
      <w:r w:rsidR="000A0BC1">
        <w:rPr>
          <w:rFonts w:ascii="Book Antiqua" w:eastAsia="Times New Roman" w:hAnsi="Book Antiqua" w:cs="Times New Roman"/>
        </w:rPr>
        <w:t xml:space="preserve"> have essay, short answer, and multiple choice questions. Short answer and multiple choice questions are fairly self-explanatory. Essay questions will be an issue-spotting, analysis, or problem-solving format typically seen in most law school exams. The issues and topics for exam questions will come from the course readings and class discussions. </w:t>
      </w:r>
      <w:r>
        <w:rPr>
          <w:rFonts w:ascii="Book Antiqua" w:eastAsia="Times New Roman" w:hAnsi="Book Antiqua" w:cs="Times New Roman"/>
        </w:rPr>
        <w:t xml:space="preserve">The exam will </w:t>
      </w:r>
      <w:r w:rsidR="00B708F2">
        <w:rPr>
          <w:rFonts w:ascii="Book Antiqua" w:eastAsia="Times New Roman" w:hAnsi="Book Antiqua" w:cs="Times New Roman"/>
        </w:rPr>
        <w:t xml:space="preserve">fairly </w:t>
      </w:r>
      <w:r>
        <w:rPr>
          <w:rFonts w:ascii="Book Antiqua" w:eastAsia="Times New Roman" w:hAnsi="Book Antiqua" w:cs="Times New Roman"/>
        </w:rPr>
        <w:t xml:space="preserve">reflect the work that is done in the course. </w:t>
      </w:r>
      <w:r w:rsidR="00B708F2">
        <w:rPr>
          <w:rFonts w:ascii="Book Antiqua" w:eastAsia="Times New Roman" w:hAnsi="Book Antiqua" w:cs="Times New Roman"/>
        </w:rPr>
        <w:t xml:space="preserve">This </w:t>
      </w:r>
      <w:r w:rsidR="00B708F2">
        <w:rPr>
          <w:rFonts w:ascii="Book Antiqua" w:eastAsia="Times New Roman" w:hAnsi="Book Antiqua" w:cs="Times New Roman"/>
        </w:rPr>
        <w:lastRenderedPageBreak/>
        <w:t xml:space="preserve">means that the best way to prepare for the exam is to do the class readings and to attend class. </w:t>
      </w:r>
      <w:r w:rsidR="000A0BC1">
        <w:rPr>
          <w:rFonts w:ascii="Book Antiqua" w:eastAsia="Times New Roman" w:hAnsi="Book Antiqua" w:cs="Times New Roman"/>
        </w:rPr>
        <w:t>There are no prior exams.</w:t>
      </w:r>
      <w:r w:rsidR="00C97EB4">
        <w:rPr>
          <w:rFonts w:ascii="Book Antiqua" w:eastAsia="Times New Roman" w:hAnsi="Book Antiqua" w:cs="Times New Roman"/>
        </w:rPr>
        <w:t xml:space="preserve"> </w:t>
      </w:r>
    </w:p>
    <w:p w:rsidR="00D01FEB" w:rsidRDefault="00D01FEB" w:rsidP="000A0BC1">
      <w:pPr>
        <w:jc w:val="both"/>
        <w:rPr>
          <w:rFonts w:ascii="Book Antiqua" w:eastAsia="Times New Roman" w:hAnsi="Book Antiqua" w:cs="Times New Roman"/>
        </w:rPr>
      </w:pPr>
    </w:p>
    <w:p w:rsidR="00D01FEB" w:rsidRPr="00D01FEB" w:rsidRDefault="00D01FEB" w:rsidP="00D01FEB">
      <w:pPr>
        <w:pStyle w:val="Heading2"/>
        <w:spacing w:before="0"/>
        <w:rPr>
          <w:rFonts w:ascii="Book Antiqua" w:eastAsia="Times New Roman" w:hAnsi="Book Antiqua" w:cs="Times New Roman"/>
          <w:b/>
          <w:color w:val="auto"/>
          <w:sz w:val="24"/>
          <w:szCs w:val="24"/>
        </w:rPr>
      </w:pPr>
      <w:r w:rsidRPr="00D01FEB">
        <w:rPr>
          <w:rFonts w:ascii="Book Antiqua" w:eastAsia="Times New Roman" w:hAnsi="Book Antiqua" w:cs="Times New Roman"/>
          <w:b/>
          <w:color w:val="auto"/>
          <w:sz w:val="24"/>
          <w:szCs w:val="24"/>
        </w:rPr>
        <w:t xml:space="preserve">GRADING INFORMATION </w:t>
      </w:r>
    </w:p>
    <w:p w:rsidR="00D01FEB" w:rsidRPr="00D01FEB" w:rsidRDefault="00D01FEB" w:rsidP="00D01FEB"/>
    <w:p w:rsidR="00D01FEB" w:rsidRPr="00D01FEB" w:rsidRDefault="00D01FEB" w:rsidP="00D01FEB">
      <w:r w:rsidRPr="00D01FEB">
        <w:t>The Levin College of Law’s mean and mandatory distributions are posted on the College’s website and this class adheres to that posted grading policy. The following chart describes the specific letter grade/grade point equivalent in place:</w:t>
      </w:r>
    </w:p>
    <w:p w:rsidR="00D01FEB" w:rsidRPr="00D01FEB" w:rsidRDefault="00D01FEB" w:rsidP="00D01FEB"/>
    <w:tbl>
      <w:tblPr>
        <w:tblW w:w="0" w:type="auto"/>
        <w:tblInd w:w="2330" w:type="dxa"/>
        <w:tblCellMar>
          <w:left w:w="0" w:type="dxa"/>
          <w:right w:w="0" w:type="dxa"/>
        </w:tblCellMar>
        <w:tblLook w:val="04A0" w:firstRow="1" w:lastRow="0" w:firstColumn="1" w:lastColumn="0" w:noHBand="0" w:noVBand="1"/>
      </w:tblPr>
      <w:tblGrid>
        <w:gridCol w:w="2312"/>
        <w:gridCol w:w="1980"/>
      </w:tblGrid>
      <w:tr w:rsidR="00D01FEB" w:rsidRPr="00D01FEB" w:rsidTr="00D01FEB">
        <w:trPr>
          <w:trHeight w:val="358"/>
        </w:trPr>
        <w:tc>
          <w:tcPr>
            <w:tcW w:w="2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Point Equivalent</w:t>
            </w:r>
          </w:p>
        </w:tc>
      </w:tr>
      <w:tr w:rsidR="00D01FEB" w:rsidRPr="00D01FEB" w:rsidTr="00D01FEB">
        <w:trPr>
          <w:trHeight w:val="277"/>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4.0</w:t>
            </w:r>
            <w:r>
              <w:t>0</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3.67</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3.33</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3.0</w:t>
            </w:r>
            <w:r>
              <w:t>0</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2.67</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2.33</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2.0</w:t>
            </w:r>
            <w:r>
              <w:t>0</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1.67</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1.33</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1.0</w:t>
            </w:r>
            <w:r>
              <w:t>0</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0.67</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0.0</w:t>
            </w:r>
            <w:r>
              <w:t>0</w:t>
            </w:r>
          </w:p>
        </w:tc>
      </w:tr>
    </w:tbl>
    <w:p w:rsidR="00D01FEB" w:rsidRPr="00D01FEB" w:rsidRDefault="00D01FEB" w:rsidP="00D01FEB"/>
    <w:p w:rsidR="00D01FEB" w:rsidRPr="00D01FEB" w:rsidRDefault="00D01FEB" w:rsidP="00D01FEB">
      <w:pPr>
        <w:jc w:val="both"/>
      </w:pPr>
      <w:r w:rsidRPr="00D01FEB">
        <w:t xml:space="preserve">The law school grading policy is available at: </w:t>
      </w:r>
      <w:hyperlink r:id="rId7" w:anchor="9" w:history="1">
        <w:r w:rsidRPr="00D01FEB">
          <w:rPr>
            <w:rStyle w:val="Hyperlink"/>
          </w:rPr>
          <w:t>http://www.law.ufl.edu/student-affairs/current-students/academic-policies#9</w:t>
        </w:r>
      </w:hyperlink>
      <w:r w:rsidRPr="00D01FEB">
        <w:t>.</w:t>
      </w:r>
    </w:p>
    <w:p w:rsidR="00D01FEB" w:rsidRDefault="00D01FEB" w:rsidP="00D01FEB">
      <w:pPr>
        <w:jc w:val="both"/>
        <w:rPr>
          <w:rFonts w:ascii="Book Antiqua" w:eastAsia="Times New Roman" w:hAnsi="Book Antiqua" w:cs="Times New Roman"/>
        </w:rPr>
      </w:pPr>
    </w:p>
    <w:p w:rsidR="00800466" w:rsidRPr="00800466" w:rsidRDefault="00800466" w:rsidP="00D01FEB">
      <w:pPr>
        <w:jc w:val="both"/>
        <w:rPr>
          <w:rFonts w:ascii="Book Antiqua" w:eastAsia="Times New Roman" w:hAnsi="Book Antiqua" w:cs="Times New Roman"/>
          <w:b/>
        </w:rPr>
      </w:pPr>
      <w:r w:rsidRPr="00800466">
        <w:rPr>
          <w:rFonts w:ascii="Book Antiqua" w:eastAsia="Times New Roman" w:hAnsi="Book Antiqua" w:cs="Times New Roman"/>
          <w:b/>
        </w:rPr>
        <w:t>WORKLOAD AND CLASS PREPARATION</w:t>
      </w:r>
    </w:p>
    <w:p w:rsidR="00800466" w:rsidRDefault="00800466" w:rsidP="00D01FEB">
      <w:pPr>
        <w:jc w:val="both"/>
        <w:rPr>
          <w:rFonts w:ascii="Book Antiqua" w:eastAsia="Times New Roman" w:hAnsi="Book Antiqua" w:cs="Times New Roman"/>
        </w:rPr>
      </w:pPr>
    </w:p>
    <w:p w:rsidR="00800466" w:rsidRDefault="00800466" w:rsidP="00D01FEB">
      <w:pPr>
        <w:jc w:val="both"/>
      </w:pPr>
      <w:r w:rsidRPr="00800466">
        <w:t>It is anticipated that you will spend approximately 2 hours out of class reading and/or preparing for in class assignments for every 1 hour in class.</w:t>
      </w:r>
    </w:p>
    <w:p w:rsidR="00800466" w:rsidRDefault="00800466" w:rsidP="00D01FEB">
      <w:pPr>
        <w:jc w:val="both"/>
      </w:pPr>
    </w:p>
    <w:p w:rsidR="00800466" w:rsidRPr="00800466" w:rsidRDefault="00800466" w:rsidP="00D01FEB">
      <w:pPr>
        <w:jc w:val="both"/>
        <w:rPr>
          <w:rFonts w:ascii="Book Antiqua" w:eastAsia="Times New Roman" w:hAnsi="Book Antiqua" w:cs="Times New Roman"/>
          <w:b/>
        </w:rPr>
      </w:pPr>
      <w:r w:rsidRPr="00800466">
        <w:rPr>
          <w:rFonts w:ascii="Book Antiqua" w:eastAsia="Times New Roman" w:hAnsi="Book Antiqua" w:cs="Times New Roman"/>
          <w:b/>
        </w:rPr>
        <w:t xml:space="preserve">STUDENT LEARNING OUTCOMES </w:t>
      </w:r>
    </w:p>
    <w:p w:rsidR="00800466" w:rsidRDefault="00800466" w:rsidP="00D01FEB">
      <w:pPr>
        <w:jc w:val="both"/>
      </w:pPr>
    </w:p>
    <w:p w:rsidR="00800466" w:rsidRDefault="0068569A" w:rsidP="00D01FEB">
      <w:pPr>
        <w:jc w:val="both"/>
      </w:pPr>
      <w:r w:rsidRPr="0068569A">
        <w:t>After completing this course, students should be able to:</w:t>
      </w:r>
    </w:p>
    <w:p w:rsidR="0068569A" w:rsidRDefault="008F7F10" w:rsidP="0068569A">
      <w:pPr>
        <w:pStyle w:val="ListParagraph"/>
        <w:numPr>
          <w:ilvl w:val="0"/>
          <w:numId w:val="59"/>
        </w:numPr>
        <w:jc w:val="both"/>
      </w:pPr>
      <w:r>
        <w:t>Know and analyze</w:t>
      </w:r>
      <w:r w:rsidR="0068569A">
        <w:t xml:space="preserve"> the legal form of the corporation and the laws applicable to the internal affairs of the corporation and </w:t>
      </w:r>
      <w:r w:rsidR="004D4716">
        <w:t>corporate governance in general.</w:t>
      </w:r>
    </w:p>
    <w:p w:rsidR="0068569A" w:rsidRDefault="0068569A" w:rsidP="0068569A">
      <w:pPr>
        <w:pStyle w:val="ListParagraph"/>
        <w:numPr>
          <w:ilvl w:val="0"/>
          <w:numId w:val="59"/>
        </w:numPr>
        <w:jc w:val="both"/>
      </w:pPr>
      <w:r>
        <w:t>Consider issues related to advising the board and officers of matters arising under corporation law, including issues re</w:t>
      </w:r>
      <w:r w:rsidR="004D4716">
        <w:t>lated to their fiduciary duties.</w:t>
      </w:r>
    </w:p>
    <w:p w:rsidR="0068569A" w:rsidRDefault="008F7F10" w:rsidP="0068569A">
      <w:pPr>
        <w:pStyle w:val="ListParagraph"/>
        <w:numPr>
          <w:ilvl w:val="0"/>
          <w:numId w:val="59"/>
        </w:numPr>
        <w:jc w:val="both"/>
      </w:pPr>
      <w:r>
        <w:t>Know</w:t>
      </w:r>
      <w:r w:rsidR="0068569A">
        <w:t xml:space="preserve"> basic aspects of business transactions related to corporations, such as mergers and acquisitions, and transactions of securities. </w:t>
      </w:r>
    </w:p>
    <w:p w:rsidR="00750205" w:rsidRDefault="008F7F10" w:rsidP="0068569A">
      <w:pPr>
        <w:pStyle w:val="ListParagraph"/>
        <w:numPr>
          <w:ilvl w:val="0"/>
          <w:numId w:val="59"/>
        </w:numPr>
        <w:jc w:val="both"/>
      </w:pPr>
      <w:r>
        <w:lastRenderedPageBreak/>
        <w:t>Know and apply</w:t>
      </w:r>
      <w:r w:rsidR="00750205">
        <w:t xml:space="preserve"> basic business concepts in accounting, finance, and economics specifically relevant and related to the understanding of corporations and corporation law. </w:t>
      </w:r>
    </w:p>
    <w:p w:rsidR="0068569A" w:rsidRPr="00800466" w:rsidRDefault="0068569A" w:rsidP="0068569A">
      <w:pPr>
        <w:pStyle w:val="ListParagraph"/>
        <w:numPr>
          <w:ilvl w:val="0"/>
          <w:numId w:val="59"/>
        </w:numPr>
        <w:jc w:val="both"/>
      </w:pPr>
      <w:r>
        <w:t xml:space="preserve">Read and analyze essential corporate documents such as certificate of incorporation, bylaws, proxies, and annual reports. </w:t>
      </w:r>
    </w:p>
    <w:p w:rsidR="00800466" w:rsidRPr="00800466" w:rsidRDefault="00800466" w:rsidP="00D01FEB">
      <w:pPr>
        <w:jc w:val="both"/>
      </w:pPr>
    </w:p>
    <w:p w:rsidR="000A0BC1" w:rsidRPr="006B2D85" w:rsidRDefault="000A0BC1" w:rsidP="000A0BC1">
      <w:pPr>
        <w:jc w:val="both"/>
        <w:rPr>
          <w:rFonts w:ascii="Book Antiqua" w:eastAsia="Times New Roman" w:hAnsi="Book Antiqua" w:cs="Times New Roman"/>
          <w:b/>
        </w:rPr>
      </w:pPr>
      <w:r w:rsidRPr="006B2D85">
        <w:rPr>
          <w:rFonts w:ascii="Book Antiqua" w:eastAsia="Times New Roman" w:hAnsi="Book Antiqua" w:cs="Times New Roman"/>
          <w:b/>
        </w:rPr>
        <w:t xml:space="preserve">ATTENDANCE  </w:t>
      </w:r>
    </w:p>
    <w:p w:rsidR="000A0BC1" w:rsidRPr="006B2D85" w:rsidRDefault="000A0BC1" w:rsidP="000A0BC1">
      <w:pPr>
        <w:jc w:val="both"/>
        <w:rPr>
          <w:rFonts w:ascii="Book Antiqua" w:eastAsia="Times New Roman" w:hAnsi="Book Antiqua" w:cs="Times New Roman"/>
        </w:rPr>
      </w:pPr>
    </w:p>
    <w:p w:rsidR="00D01FEB" w:rsidRDefault="00D01FEB" w:rsidP="00C97EB4">
      <w:pPr>
        <w:jc w:val="both"/>
        <w:rPr>
          <w:rFonts w:cs="Times New Roman"/>
        </w:rPr>
      </w:pPr>
      <w:r w:rsidRPr="00D01FEB">
        <w:rPr>
          <w:rFonts w:cs="Times New Roman"/>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8" w:history="1">
        <w:r w:rsidRPr="00D01FEB">
          <w:rPr>
            <w:rStyle w:val="Hyperlink"/>
            <w:rFonts w:cs="Times New Roman"/>
          </w:rPr>
          <w:t>https://catalog.ufl.edu/ugrad/current/regulations/info/attendance.aspx</w:t>
        </w:r>
      </w:hyperlink>
      <w:r w:rsidRPr="00D01FEB">
        <w:rPr>
          <w:rFonts w:cs="Times New Roman"/>
        </w:rPr>
        <w:t>.</w:t>
      </w:r>
      <w:r w:rsidR="00E1609C">
        <w:rPr>
          <w:rFonts w:cs="Times New Roman"/>
        </w:rPr>
        <w:t xml:space="preserve"> </w:t>
      </w:r>
    </w:p>
    <w:p w:rsidR="0068569A" w:rsidRDefault="0068569A" w:rsidP="00C97EB4">
      <w:pPr>
        <w:jc w:val="both"/>
        <w:rPr>
          <w:rFonts w:cs="Times New Roman"/>
        </w:rPr>
      </w:pPr>
    </w:p>
    <w:p w:rsidR="0068569A" w:rsidRPr="0068569A" w:rsidRDefault="0068569A" w:rsidP="00C97EB4">
      <w:pPr>
        <w:jc w:val="both"/>
        <w:rPr>
          <w:rFonts w:ascii="Book Antiqua" w:eastAsia="Times New Roman" w:hAnsi="Book Antiqua" w:cs="Times New Roman"/>
        </w:rPr>
      </w:pPr>
      <w:r>
        <w:rPr>
          <w:rFonts w:ascii="Book Antiqua" w:eastAsia="Times New Roman" w:hAnsi="Book Antiqua" w:cs="Times New Roman"/>
        </w:rPr>
        <w:t xml:space="preserve">Many students find that this course is difficult. Some legal concepts require background knowledge in business, economics, finance, and accounting, which will be foreign to many students. These concepts will be explained and discussed in class. Class attendance and preparation will be important to doing well in the course. 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p w:rsidR="008A5251" w:rsidRDefault="008A5251" w:rsidP="00C97EB4">
      <w:pPr>
        <w:jc w:val="both"/>
        <w:rPr>
          <w:rFonts w:ascii="Book Antiqua" w:eastAsia="Times New Roman" w:hAnsi="Book Antiqua" w:cs="Times New Roman"/>
        </w:rPr>
      </w:pPr>
    </w:p>
    <w:p w:rsidR="008A5251" w:rsidRPr="008A5251" w:rsidRDefault="00D01FEB" w:rsidP="00C97EB4">
      <w:pPr>
        <w:jc w:val="both"/>
        <w:rPr>
          <w:rFonts w:ascii="Book Antiqua" w:eastAsia="Times New Roman" w:hAnsi="Book Antiqua" w:cs="Times New Roman"/>
          <w:b/>
        </w:rPr>
      </w:pPr>
      <w:r>
        <w:rPr>
          <w:rFonts w:ascii="Book Antiqua" w:eastAsia="Times New Roman" w:hAnsi="Book Antiqua" w:cs="Times New Roman"/>
          <w:b/>
        </w:rPr>
        <w:t>ACCOMMODATIONS</w:t>
      </w:r>
    </w:p>
    <w:p w:rsidR="008A5251" w:rsidRDefault="008A5251" w:rsidP="00C97EB4">
      <w:pPr>
        <w:jc w:val="both"/>
        <w:rPr>
          <w:rFonts w:ascii="Book Antiqua" w:eastAsia="Times New Roman" w:hAnsi="Book Antiqua" w:cs="Times New Roman"/>
        </w:rPr>
      </w:pPr>
    </w:p>
    <w:p w:rsidR="008A5251" w:rsidRDefault="00D01FEB" w:rsidP="00C97EB4">
      <w:pPr>
        <w:jc w:val="both"/>
      </w:pPr>
      <w:r w:rsidRPr="00D01FEB">
        <w:t>Students requesting accommodation for disabilities must first register with the Disability Resource Center  (</w:t>
      </w:r>
      <w:hyperlink r:id="rId9" w:history="1">
        <w:r w:rsidRPr="00D01FEB">
          <w:rPr>
            <w:rStyle w:val="Hyperlink"/>
          </w:rPr>
          <w:t>http</w:t>
        </w:r>
      </w:hyperlink>
      <w:hyperlink r:id="rId10" w:history="1">
        <w:r w:rsidRPr="00D01FEB">
          <w:rPr>
            <w:rStyle w:val="Hyperlink"/>
          </w:rPr>
          <w:t>://</w:t>
        </w:r>
      </w:hyperlink>
      <w:hyperlink r:id="rId11" w:history="1">
        <w:r w:rsidRPr="00D01FEB">
          <w:rPr>
            <w:rStyle w:val="Hyperlink"/>
          </w:rPr>
          <w:t>www</w:t>
        </w:r>
      </w:hyperlink>
      <w:hyperlink r:id="rId12" w:history="1">
        <w:r w:rsidRPr="00D01FEB">
          <w:rPr>
            <w:rStyle w:val="Hyperlink"/>
          </w:rPr>
          <w:t>.</w:t>
        </w:r>
      </w:hyperlink>
      <w:hyperlink r:id="rId13" w:history="1">
        <w:r w:rsidRPr="00D01FEB">
          <w:rPr>
            <w:rStyle w:val="Hyperlink"/>
          </w:rPr>
          <w:t>ds</w:t>
        </w:r>
      </w:hyperlink>
      <w:hyperlink r:id="rId14" w:history="1">
        <w:r w:rsidRPr="00D01FEB">
          <w:rPr>
            <w:rStyle w:val="Hyperlink"/>
          </w:rPr>
          <w:t>o</w:t>
        </w:r>
      </w:hyperlink>
      <w:hyperlink r:id="rId15" w:history="1">
        <w:r w:rsidRPr="00D01FEB">
          <w:rPr>
            <w:rStyle w:val="Hyperlink"/>
          </w:rPr>
          <w:t>.</w:t>
        </w:r>
      </w:hyperlink>
      <w:hyperlink r:id="rId16" w:history="1">
        <w:r w:rsidRPr="00D01FEB">
          <w:rPr>
            <w:rStyle w:val="Hyperlink"/>
          </w:rPr>
          <w:t>ufl</w:t>
        </w:r>
      </w:hyperlink>
      <w:hyperlink r:id="rId17" w:history="1">
        <w:r w:rsidRPr="00D01FEB">
          <w:rPr>
            <w:rStyle w:val="Hyperlink"/>
          </w:rPr>
          <w:t>.</w:t>
        </w:r>
      </w:hyperlink>
      <w:hyperlink r:id="rId18" w:history="1">
        <w:r w:rsidRPr="00D01FEB">
          <w:rPr>
            <w:rStyle w:val="Hyperlink"/>
          </w:rPr>
          <w:t>edu</w:t>
        </w:r>
      </w:hyperlink>
      <w:hyperlink r:id="rId19" w:history="1">
        <w:r w:rsidRPr="00D01FEB">
          <w:rPr>
            <w:rStyle w:val="Hyperlink"/>
          </w:rPr>
          <w:t>/</w:t>
        </w:r>
      </w:hyperlink>
      <w:hyperlink r:id="rId20" w:history="1">
        <w:r w:rsidRPr="00D01FEB">
          <w:rPr>
            <w:rStyle w:val="Hyperlink"/>
          </w:rPr>
          <w:t>drc</w:t>
        </w:r>
      </w:hyperlink>
      <w:hyperlink r:id="rId21" w:history="1">
        <w:r w:rsidRPr="00D01FEB">
          <w:rPr>
            <w:rStyle w:val="Hyperlink"/>
          </w:rPr>
          <w:t>/</w:t>
        </w:r>
      </w:hyperlink>
      <w:r w:rsidRPr="00D01FEB">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rsidR="00E1609C" w:rsidRDefault="00E1609C" w:rsidP="00C97EB4">
      <w:pPr>
        <w:jc w:val="both"/>
      </w:pPr>
    </w:p>
    <w:p w:rsidR="00E1609C" w:rsidRDefault="00E1609C" w:rsidP="00C97EB4">
      <w:pPr>
        <w:jc w:val="both"/>
      </w:pPr>
      <w:r>
        <w:rPr>
          <w:rFonts w:cs="Times New Roman"/>
        </w:rPr>
        <w:t xml:space="preserve">Also, </w:t>
      </w:r>
      <w:r w:rsidRPr="00E1609C">
        <w:rPr>
          <w:rFonts w:cs="Times New Roman"/>
        </w:rPr>
        <w:t xml:space="preserve">with prior notification to the </w:t>
      </w:r>
      <w:r>
        <w:rPr>
          <w:rFonts w:cs="Times New Roman"/>
        </w:rPr>
        <w:t>professor,</w:t>
      </w:r>
      <w:r w:rsidRPr="00E1609C">
        <w:rPr>
          <w:rFonts w:cs="Times New Roman"/>
        </w:rPr>
        <w:t xml:space="preserve"> students </w:t>
      </w:r>
      <w:r>
        <w:rPr>
          <w:rFonts w:cs="Times New Roman"/>
        </w:rPr>
        <w:t>are</w:t>
      </w:r>
      <w:r w:rsidRPr="00E1609C">
        <w:rPr>
          <w:rFonts w:cs="Times New Roman"/>
        </w:rPr>
        <w:t xml:space="preserve"> </w:t>
      </w:r>
      <w:r>
        <w:rPr>
          <w:rFonts w:cs="Times New Roman"/>
        </w:rPr>
        <w:t xml:space="preserve">entitled to be </w:t>
      </w:r>
      <w:r w:rsidRPr="00E1609C">
        <w:rPr>
          <w:rFonts w:cs="Times New Roman"/>
        </w:rPr>
        <w:t xml:space="preserve">excused from class or other scheduled academic activity to observe a religious holy day of their faith. Students </w:t>
      </w:r>
      <w:r>
        <w:rPr>
          <w:rFonts w:cs="Times New Roman"/>
        </w:rPr>
        <w:t>are entitled to have</w:t>
      </w:r>
      <w:r w:rsidRPr="00E1609C">
        <w:rPr>
          <w:rFonts w:cs="Times New Roman"/>
        </w:rPr>
        <w:t xml:space="preserve"> a reasonable amount of time to make up the material or activities covered in their absence. Students </w:t>
      </w:r>
      <w:r>
        <w:rPr>
          <w:rFonts w:cs="Times New Roman"/>
        </w:rPr>
        <w:t>will</w:t>
      </w:r>
      <w:r w:rsidRPr="00E1609C">
        <w:rPr>
          <w:rFonts w:cs="Times New Roman"/>
        </w:rPr>
        <w:t xml:space="preserve"> not be penalized due to absence from class or other scheduled academic activity because of religious observances.</w:t>
      </w:r>
    </w:p>
    <w:p w:rsidR="00800466" w:rsidRDefault="00800466" w:rsidP="00C97EB4">
      <w:pPr>
        <w:jc w:val="both"/>
      </w:pPr>
    </w:p>
    <w:p w:rsidR="00800466" w:rsidRPr="00D01FEB" w:rsidRDefault="00800466" w:rsidP="00800466">
      <w:pPr>
        <w:jc w:val="both"/>
        <w:rPr>
          <w:rFonts w:ascii="Book Antiqua" w:eastAsia="Times New Roman" w:hAnsi="Book Antiqua" w:cs="Times New Roman"/>
          <w:b/>
        </w:rPr>
      </w:pPr>
      <w:r w:rsidRPr="00D01FEB">
        <w:rPr>
          <w:rFonts w:ascii="Book Antiqua" w:eastAsia="Times New Roman" w:hAnsi="Book Antiqua" w:cs="Times New Roman"/>
          <w:b/>
        </w:rPr>
        <w:t xml:space="preserve">ACADEMIC HONESTY </w:t>
      </w:r>
    </w:p>
    <w:p w:rsidR="00800466" w:rsidRDefault="00800466" w:rsidP="00800466">
      <w:pPr>
        <w:jc w:val="both"/>
        <w:rPr>
          <w:rFonts w:ascii="Book Antiqua" w:eastAsia="Times New Roman" w:hAnsi="Book Antiqua" w:cs="Times New Roman"/>
        </w:rPr>
      </w:pPr>
    </w:p>
    <w:p w:rsidR="00161C9D" w:rsidRPr="00E1609C" w:rsidRDefault="00800466" w:rsidP="00C97EB4">
      <w:pPr>
        <w:jc w:val="both"/>
        <w:rPr>
          <w:rFonts w:eastAsia="Times New Roman" w:cs="Times New Roman"/>
        </w:rPr>
      </w:pPr>
      <w:r w:rsidRPr="00D01FEB">
        <w:t xml:space="preserve">Academic honesty and integrity are fundamental values of the University community. Students should be sure that they understand the UF Student Honor Code at </w:t>
      </w:r>
      <w:hyperlink r:id="rId22" w:history="1">
        <w:r w:rsidRPr="00D01FEB">
          <w:rPr>
            <w:rStyle w:val="Hyperlink"/>
          </w:rPr>
          <w:t>http</w:t>
        </w:r>
      </w:hyperlink>
      <w:hyperlink r:id="rId23" w:history="1">
        <w:r w:rsidRPr="00D01FEB">
          <w:rPr>
            <w:rStyle w:val="Hyperlink"/>
          </w:rPr>
          <w:t>://</w:t>
        </w:r>
      </w:hyperlink>
      <w:hyperlink r:id="rId24" w:history="1">
        <w:r w:rsidRPr="00D01FEB">
          <w:rPr>
            <w:rStyle w:val="Hyperlink"/>
          </w:rPr>
          <w:t>www</w:t>
        </w:r>
      </w:hyperlink>
      <w:hyperlink r:id="rId25" w:history="1">
        <w:r w:rsidRPr="00D01FEB">
          <w:rPr>
            <w:rStyle w:val="Hyperlink"/>
          </w:rPr>
          <w:t>.</w:t>
        </w:r>
      </w:hyperlink>
      <w:hyperlink r:id="rId26" w:history="1">
        <w:r w:rsidRPr="00D01FEB">
          <w:rPr>
            <w:rStyle w:val="Hyperlink"/>
          </w:rPr>
          <w:t>dso</w:t>
        </w:r>
      </w:hyperlink>
      <w:hyperlink r:id="rId27" w:history="1">
        <w:r w:rsidRPr="00D01FEB">
          <w:rPr>
            <w:rStyle w:val="Hyperlink"/>
          </w:rPr>
          <w:t>.</w:t>
        </w:r>
      </w:hyperlink>
      <w:hyperlink r:id="rId28" w:history="1">
        <w:r w:rsidRPr="00D01FEB">
          <w:rPr>
            <w:rStyle w:val="Hyperlink"/>
          </w:rPr>
          <w:t>ufl</w:t>
        </w:r>
      </w:hyperlink>
      <w:hyperlink r:id="rId29" w:history="1">
        <w:r w:rsidRPr="00D01FEB">
          <w:rPr>
            <w:rStyle w:val="Hyperlink"/>
          </w:rPr>
          <w:t>.</w:t>
        </w:r>
      </w:hyperlink>
      <w:hyperlink r:id="rId30" w:history="1">
        <w:r w:rsidRPr="00D01FEB">
          <w:rPr>
            <w:rStyle w:val="Hyperlink"/>
          </w:rPr>
          <w:t>edu</w:t>
        </w:r>
      </w:hyperlink>
      <w:hyperlink r:id="rId31" w:history="1">
        <w:r w:rsidRPr="00D01FEB">
          <w:rPr>
            <w:rStyle w:val="Hyperlink"/>
          </w:rPr>
          <w:t>/</w:t>
        </w:r>
      </w:hyperlink>
      <w:hyperlink r:id="rId32" w:history="1">
        <w:r w:rsidRPr="00D01FEB">
          <w:rPr>
            <w:rStyle w:val="Hyperlink"/>
          </w:rPr>
          <w:t>students</w:t>
        </w:r>
      </w:hyperlink>
      <w:hyperlink r:id="rId33" w:history="1">
        <w:r w:rsidRPr="00D01FEB">
          <w:rPr>
            <w:rStyle w:val="Hyperlink"/>
          </w:rPr>
          <w:t>.</w:t>
        </w:r>
      </w:hyperlink>
      <w:hyperlink r:id="rId34" w:history="1">
        <w:r w:rsidRPr="00D01FEB">
          <w:rPr>
            <w:rStyle w:val="Hyperlink"/>
          </w:rPr>
          <w:t>php</w:t>
        </w:r>
      </w:hyperlink>
      <w:r w:rsidRPr="00D01FEB">
        <w:t xml:space="preserve">. </w:t>
      </w:r>
    </w:p>
    <w:p w:rsidR="00852CB0" w:rsidRDefault="00852CB0" w:rsidP="00C97EB4">
      <w:pPr>
        <w:jc w:val="both"/>
        <w:rPr>
          <w:rFonts w:ascii="Book Antiqua" w:eastAsia="Times New Roman" w:hAnsi="Book Antiqua" w:cs="Times New Roman"/>
        </w:rPr>
      </w:pPr>
    </w:p>
    <w:p w:rsidR="00852CB0" w:rsidRDefault="00852CB0">
      <w:pPr>
        <w:rPr>
          <w:b/>
        </w:rPr>
      </w:pPr>
      <w:r>
        <w:rPr>
          <w:b/>
        </w:rPr>
        <w:br w:type="page"/>
      </w:r>
    </w:p>
    <w:p w:rsidR="00852CB0" w:rsidRPr="00BB3C4D" w:rsidRDefault="00852CB0" w:rsidP="00852CB0">
      <w:pPr>
        <w:jc w:val="both"/>
        <w:rPr>
          <w:b/>
        </w:rPr>
      </w:pPr>
      <w:bookmarkStart w:id="0" w:name="_GoBack"/>
      <w:bookmarkEnd w:id="0"/>
      <w:r w:rsidRPr="00BB3C4D">
        <w:rPr>
          <w:b/>
        </w:rPr>
        <w:lastRenderedPageBreak/>
        <w:t>COURSE EVALUATIONS</w:t>
      </w:r>
    </w:p>
    <w:p w:rsidR="00852CB0" w:rsidRDefault="00852CB0" w:rsidP="00852CB0">
      <w:pPr>
        <w:jc w:val="both"/>
      </w:pPr>
    </w:p>
    <w:p w:rsidR="00852CB0" w:rsidRPr="00BB3C4D" w:rsidRDefault="00852CB0" w:rsidP="00852CB0">
      <w:pPr>
        <w:jc w:val="both"/>
        <w:rPr>
          <w:rFonts w:eastAsia="Times New Roman" w:cs="Times New Roman"/>
        </w:rPr>
      </w:pPr>
      <w:r w:rsidRPr="00BB3C4D">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35" w:history="1">
        <w:r w:rsidRPr="00BB3C4D">
          <w:rPr>
            <w:rStyle w:val="Hyperlink"/>
          </w:rPr>
          <w:t>https://gatorevals.aa.ufl.edu/students/</w:t>
        </w:r>
      </w:hyperlink>
      <w:r w:rsidRPr="00BB3C4D">
        <w:t>. Students will be notified when the evaluation period opens, and can complete evaluations through the email they receive from GatorEvals, in their Canvas course menu under GatorEvals, or via </w:t>
      </w:r>
      <w:hyperlink r:id="rId36" w:tgtFrame="_blank" w:history="1">
        <w:r w:rsidRPr="00BB3C4D">
          <w:rPr>
            <w:rStyle w:val="Hyperlink"/>
          </w:rPr>
          <w:t>https://ufl.bluera.com/ufl/</w:t>
        </w:r>
      </w:hyperlink>
      <w:r w:rsidRPr="00BB3C4D">
        <w:t>. Summaries of course evaluation results are available to students at </w:t>
      </w:r>
      <w:hyperlink r:id="rId37" w:history="1">
        <w:r w:rsidRPr="00BB3C4D">
          <w:rPr>
            <w:rStyle w:val="Hyperlink"/>
          </w:rPr>
          <w:t>https://gatorevals.aa.ufl.edu/public-results/</w:t>
        </w:r>
      </w:hyperlink>
      <w:r w:rsidRPr="00BB3C4D">
        <w:t>.</w:t>
      </w:r>
    </w:p>
    <w:p w:rsidR="00852CB0" w:rsidRDefault="00852CB0" w:rsidP="00852CB0">
      <w:pPr>
        <w:jc w:val="both"/>
        <w:rPr>
          <w:rFonts w:ascii="Book Antiqua" w:eastAsia="Times New Roman" w:hAnsi="Book Antiqua" w:cs="Times New Roman"/>
        </w:rPr>
      </w:pPr>
    </w:p>
    <w:p w:rsidR="00852CB0" w:rsidRPr="00C97EB4" w:rsidRDefault="00852CB0" w:rsidP="00C97EB4">
      <w:pPr>
        <w:jc w:val="both"/>
        <w:rPr>
          <w:rFonts w:ascii="Book Antiqua" w:eastAsia="Times New Roman" w:hAnsi="Book Antiqua" w:cs="Times New Roman"/>
        </w:rPr>
        <w:sectPr w:rsidR="00852CB0" w:rsidRPr="00C97EB4">
          <w:pgSz w:w="12240" w:h="15840"/>
          <w:pgMar w:top="1440" w:right="1440" w:bottom="1440" w:left="1440" w:header="720" w:footer="720" w:gutter="0"/>
          <w:cols w:space="720"/>
          <w:docGrid w:linePitch="360"/>
        </w:sectPr>
      </w:pPr>
    </w:p>
    <w:p w:rsidR="00DE7D4F" w:rsidRDefault="00DE7D4F" w:rsidP="00EB437C">
      <w:pPr>
        <w:jc w:val="center"/>
        <w:rPr>
          <w:rFonts w:ascii="Book Antiqua" w:hAnsi="Book Antiqua"/>
          <w:b/>
          <w:sz w:val="40"/>
        </w:rPr>
      </w:pPr>
      <w:r w:rsidRPr="00DE7D4F">
        <w:rPr>
          <w:rFonts w:ascii="Book Antiqua" w:hAnsi="Book Antiqua"/>
          <w:b/>
          <w:sz w:val="40"/>
        </w:rPr>
        <w:lastRenderedPageBreak/>
        <w:t xml:space="preserve">ASSIGNMENTS </w:t>
      </w:r>
    </w:p>
    <w:p w:rsidR="00606766" w:rsidRDefault="00606766" w:rsidP="00EB437C">
      <w:pPr>
        <w:rPr>
          <w:rFonts w:ascii="Book Antiqua" w:hAnsi="Book Antiqua"/>
          <w:b/>
        </w:rPr>
      </w:pPr>
    </w:p>
    <w:p w:rsidR="00501665" w:rsidRDefault="00501665" w:rsidP="00501665">
      <w:pPr>
        <w:jc w:val="both"/>
        <w:rPr>
          <w:rFonts w:ascii="Book Antiqua" w:hAnsi="Book Antiqua"/>
          <w:b/>
        </w:rPr>
      </w:pPr>
      <w:r>
        <w:rPr>
          <w:rFonts w:ascii="Book Antiqua" w:hAnsi="Book Antiqua"/>
          <w:b/>
        </w:rPr>
        <w:t xml:space="preserve">Note to students:  The textbook has a number of Problems in the form of hypotheticals. Do not read these Problems since we will not be covering them in class. </w:t>
      </w:r>
    </w:p>
    <w:p w:rsidR="00501665" w:rsidRPr="0048487B" w:rsidRDefault="00501665" w:rsidP="00EB437C">
      <w:pPr>
        <w:rPr>
          <w:rFonts w:ascii="Book Antiqua" w:hAnsi="Book Antiqua"/>
          <w:b/>
        </w:rPr>
      </w:pPr>
    </w:p>
    <w:tbl>
      <w:tblPr>
        <w:tblStyle w:val="TableGrid"/>
        <w:tblW w:w="9455" w:type="dxa"/>
        <w:tblInd w:w="-5" w:type="dxa"/>
        <w:tblLayout w:type="fixed"/>
        <w:tblLook w:val="04A0" w:firstRow="1" w:lastRow="0" w:firstColumn="1" w:lastColumn="0" w:noHBand="0" w:noVBand="1"/>
      </w:tblPr>
      <w:tblGrid>
        <w:gridCol w:w="810"/>
        <w:gridCol w:w="6030"/>
        <w:gridCol w:w="1350"/>
        <w:gridCol w:w="1265"/>
      </w:tblGrid>
      <w:tr w:rsidR="00C431BD" w:rsidTr="007A25A1">
        <w:trPr>
          <w:trHeight w:val="773"/>
        </w:trPr>
        <w:tc>
          <w:tcPr>
            <w:tcW w:w="810" w:type="dxa"/>
            <w:vAlign w:val="center"/>
          </w:tcPr>
          <w:p w:rsidR="00C431BD" w:rsidRPr="000330D3" w:rsidRDefault="00C431BD" w:rsidP="00DB03D5">
            <w:pPr>
              <w:jc w:val="center"/>
              <w:rPr>
                <w:rFonts w:ascii="Book Antiqua" w:hAnsi="Book Antiqua"/>
                <w:b/>
              </w:rPr>
            </w:pPr>
            <w:r>
              <w:rPr>
                <w:rFonts w:ascii="Book Antiqua" w:hAnsi="Book Antiqua"/>
                <w:b/>
              </w:rPr>
              <w:t>Class #</w:t>
            </w:r>
          </w:p>
        </w:tc>
        <w:tc>
          <w:tcPr>
            <w:tcW w:w="6030" w:type="dxa"/>
          </w:tcPr>
          <w:p w:rsidR="00C431BD" w:rsidRDefault="00C431BD" w:rsidP="000330D3">
            <w:pPr>
              <w:jc w:val="center"/>
              <w:rPr>
                <w:rFonts w:ascii="Book Antiqua" w:hAnsi="Book Antiqua"/>
                <w:b/>
              </w:rPr>
            </w:pPr>
          </w:p>
          <w:p w:rsidR="00C431BD" w:rsidRPr="000330D3" w:rsidRDefault="00C431BD" w:rsidP="001361E7">
            <w:pPr>
              <w:jc w:val="center"/>
              <w:rPr>
                <w:rFonts w:ascii="Book Antiqua" w:hAnsi="Book Antiqua"/>
                <w:b/>
              </w:rPr>
            </w:pPr>
            <w:r>
              <w:rPr>
                <w:rFonts w:ascii="Book Antiqua" w:hAnsi="Book Antiqua"/>
                <w:b/>
              </w:rPr>
              <w:t>Topics, Issues, and Cases</w:t>
            </w:r>
          </w:p>
        </w:tc>
        <w:tc>
          <w:tcPr>
            <w:tcW w:w="1350" w:type="dxa"/>
            <w:vAlign w:val="center"/>
          </w:tcPr>
          <w:p w:rsidR="00C431BD" w:rsidRPr="000330D3" w:rsidRDefault="00C431BD" w:rsidP="005F1DC5">
            <w:pPr>
              <w:jc w:val="center"/>
              <w:rPr>
                <w:rFonts w:ascii="Book Antiqua" w:hAnsi="Book Antiqua"/>
                <w:b/>
              </w:rPr>
            </w:pPr>
            <w:r>
              <w:rPr>
                <w:rFonts w:ascii="Book Antiqua" w:hAnsi="Book Antiqua"/>
                <w:b/>
              </w:rPr>
              <w:t>Text</w:t>
            </w:r>
          </w:p>
        </w:tc>
        <w:tc>
          <w:tcPr>
            <w:tcW w:w="1265" w:type="dxa"/>
            <w:vAlign w:val="center"/>
          </w:tcPr>
          <w:p w:rsidR="00C431BD" w:rsidRPr="000330D3" w:rsidRDefault="00C431BD" w:rsidP="009C186F">
            <w:pPr>
              <w:jc w:val="center"/>
              <w:rPr>
                <w:rFonts w:ascii="Book Antiqua" w:hAnsi="Book Antiqua"/>
                <w:b/>
              </w:rPr>
            </w:pPr>
            <w:r>
              <w:rPr>
                <w:rFonts w:ascii="Book Antiqua" w:hAnsi="Book Antiqua"/>
                <w:b/>
              </w:rPr>
              <w:t xml:space="preserve">Statutes </w:t>
            </w:r>
          </w:p>
        </w:tc>
      </w:tr>
      <w:tr w:rsidR="00C431BD" w:rsidTr="007A25A1">
        <w:trPr>
          <w:trHeight w:val="692"/>
        </w:trPr>
        <w:tc>
          <w:tcPr>
            <w:tcW w:w="810" w:type="dxa"/>
            <w:shd w:val="clear" w:color="auto" w:fill="D9D9D9" w:themeFill="background1" w:themeFillShade="D9"/>
          </w:tcPr>
          <w:p w:rsidR="00C431BD" w:rsidRDefault="00C431BD" w:rsidP="000330D3">
            <w:pPr>
              <w:jc w:val="center"/>
              <w:rPr>
                <w:rFonts w:ascii="Book Antiqua" w:hAnsi="Book Antiqua"/>
              </w:rPr>
            </w:pPr>
            <w:r>
              <w:rPr>
                <w:rFonts w:ascii="Book Antiqua" w:hAnsi="Book Antiqua"/>
              </w:rPr>
              <w:t>1.1</w:t>
            </w:r>
          </w:p>
        </w:tc>
        <w:tc>
          <w:tcPr>
            <w:tcW w:w="6030" w:type="dxa"/>
            <w:shd w:val="clear" w:color="auto" w:fill="D9D9D9" w:themeFill="background1" w:themeFillShade="D9"/>
          </w:tcPr>
          <w:p w:rsidR="00C431BD" w:rsidRPr="00B354D2" w:rsidRDefault="00C431BD" w:rsidP="00B354D2">
            <w:pPr>
              <w:jc w:val="both"/>
              <w:rPr>
                <w:rFonts w:ascii="Book Antiqua" w:hAnsi="Book Antiqua"/>
              </w:rPr>
            </w:pPr>
            <w:r>
              <w:rPr>
                <w:rFonts w:ascii="Book Antiqua" w:hAnsi="Book Antiqua"/>
              </w:rPr>
              <w:t>CHAPTER 1</w:t>
            </w:r>
          </w:p>
          <w:p w:rsidR="00C431BD" w:rsidRDefault="00C431BD" w:rsidP="00B354D2">
            <w:pPr>
              <w:jc w:val="both"/>
              <w:rPr>
                <w:rFonts w:ascii="Book Antiqua" w:hAnsi="Book Antiqua"/>
              </w:rPr>
            </w:pPr>
          </w:p>
          <w:p w:rsidR="00C431BD" w:rsidRPr="00B354D2" w:rsidRDefault="00C431BD" w:rsidP="00B354D2">
            <w:pPr>
              <w:jc w:val="both"/>
              <w:rPr>
                <w:rFonts w:ascii="Book Antiqua" w:hAnsi="Book Antiqua"/>
              </w:rPr>
            </w:pPr>
            <w:r>
              <w:rPr>
                <w:rFonts w:ascii="Book Antiqua" w:hAnsi="Book Antiqua"/>
              </w:rPr>
              <w:t>CHAPTER 2</w:t>
            </w:r>
          </w:p>
          <w:p w:rsidR="009D4F5A" w:rsidRPr="009D4F5A" w:rsidRDefault="00C030B9" w:rsidP="005C2366">
            <w:pPr>
              <w:pStyle w:val="ListParagraph"/>
              <w:numPr>
                <w:ilvl w:val="0"/>
                <w:numId w:val="11"/>
              </w:numPr>
            </w:pPr>
            <w:r>
              <w:rPr>
                <w:rFonts w:ascii="Book Antiqua" w:hAnsi="Book Antiqua"/>
              </w:rPr>
              <w:t>Taxonomy of business o</w:t>
            </w:r>
            <w:r w:rsidR="009D4F5A">
              <w:rPr>
                <w:rFonts w:ascii="Book Antiqua" w:hAnsi="Book Antiqua"/>
              </w:rPr>
              <w:t xml:space="preserve">rganizations </w:t>
            </w:r>
          </w:p>
          <w:p w:rsidR="00C431BD" w:rsidRDefault="00C030B9" w:rsidP="005C2366">
            <w:pPr>
              <w:pStyle w:val="ListParagraph"/>
              <w:numPr>
                <w:ilvl w:val="0"/>
                <w:numId w:val="11"/>
              </w:numPr>
            </w:pPr>
            <w:r>
              <w:rPr>
                <w:rFonts w:ascii="Book Antiqua" w:hAnsi="Book Antiqua"/>
              </w:rPr>
              <w:t>Why d</w:t>
            </w:r>
            <w:r w:rsidR="009D4F5A">
              <w:rPr>
                <w:rFonts w:ascii="Book Antiqua" w:hAnsi="Book Antiqua"/>
              </w:rPr>
              <w:t xml:space="preserve">o </w:t>
            </w:r>
            <w:r>
              <w:rPr>
                <w:rFonts w:ascii="Book Antiqua" w:hAnsi="Book Antiqua"/>
              </w:rPr>
              <w:t>firms e</w:t>
            </w:r>
            <w:r w:rsidR="009D4F5A">
              <w:rPr>
                <w:rFonts w:ascii="Book Antiqua" w:hAnsi="Book Antiqua"/>
              </w:rPr>
              <w:t xml:space="preserve">xist? </w:t>
            </w:r>
            <w:r w:rsidR="00C431BD">
              <w:t xml:space="preserve"> </w:t>
            </w:r>
          </w:p>
          <w:p w:rsidR="005C2366" w:rsidRDefault="005C2366" w:rsidP="005C2366">
            <w:pPr>
              <w:pStyle w:val="ListParagraph"/>
              <w:numPr>
                <w:ilvl w:val="0"/>
                <w:numId w:val="11"/>
              </w:numPr>
            </w:pPr>
            <w:r>
              <w:t xml:space="preserve">Basic legal attributes of firms </w:t>
            </w:r>
          </w:p>
          <w:p w:rsidR="005C2366" w:rsidRPr="00285516" w:rsidRDefault="005C2366" w:rsidP="005C2366">
            <w:pPr>
              <w:pStyle w:val="ListParagraph"/>
              <w:ind w:left="360"/>
            </w:pPr>
          </w:p>
        </w:tc>
        <w:tc>
          <w:tcPr>
            <w:tcW w:w="1350" w:type="dxa"/>
            <w:shd w:val="clear" w:color="auto" w:fill="D9D9D9" w:themeFill="background1" w:themeFillShade="D9"/>
          </w:tcPr>
          <w:p w:rsidR="00C431BD" w:rsidRDefault="009D4F5A" w:rsidP="0029181D">
            <w:pPr>
              <w:jc w:val="center"/>
              <w:rPr>
                <w:rFonts w:ascii="Book Antiqua" w:hAnsi="Book Antiqua"/>
              </w:rPr>
            </w:pPr>
            <w:r>
              <w:rPr>
                <w:rFonts w:ascii="Book Antiqua" w:hAnsi="Book Antiqua"/>
              </w:rPr>
              <w:t>1-18</w:t>
            </w:r>
          </w:p>
          <w:p w:rsidR="009D4F5A" w:rsidRDefault="009D4F5A" w:rsidP="0029181D">
            <w:pPr>
              <w:jc w:val="center"/>
              <w:rPr>
                <w:rFonts w:ascii="Book Antiqua" w:hAnsi="Book Antiqua"/>
              </w:rPr>
            </w:pPr>
            <w:r>
              <w:rPr>
                <w:rFonts w:ascii="Book Antiqua" w:hAnsi="Book Antiqua"/>
              </w:rPr>
              <w:t>19-26</w:t>
            </w:r>
          </w:p>
          <w:p w:rsidR="005C2366" w:rsidRDefault="005C2366" w:rsidP="005C2366">
            <w:pPr>
              <w:jc w:val="center"/>
            </w:pPr>
            <w:r>
              <w:t>52-59</w:t>
            </w:r>
          </w:p>
          <w:p w:rsidR="005C2366" w:rsidRDefault="005C2366" w:rsidP="0029181D">
            <w:pPr>
              <w:jc w:val="center"/>
              <w:rPr>
                <w:rFonts w:ascii="Book Antiqua" w:hAnsi="Book Antiqua"/>
              </w:rPr>
            </w:pPr>
          </w:p>
          <w:p w:rsidR="009D4F5A" w:rsidRDefault="009D4F5A" w:rsidP="0029181D">
            <w:pPr>
              <w:jc w:val="center"/>
              <w:rPr>
                <w:rFonts w:ascii="Book Antiqua" w:hAnsi="Book Antiqua"/>
              </w:rPr>
            </w:pPr>
          </w:p>
        </w:tc>
        <w:tc>
          <w:tcPr>
            <w:tcW w:w="1265" w:type="dxa"/>
            <w:shd w:val="clear" w:color="auto" w:fill="D9D9D9" w:themeFill="background1" w:themeFillShade="D9"/>
          </w:tcPr>
          <w:p w:rsidR="00C431BD" w:rsidRPr="0029181D" w:rsidRDefault="00C431BD" w:rsidP="00055C86"/>
        </w:tc>
      </w:tr>
      <w:tr w:rsidR="00C431BD" w:rsidRPr="00200420" w:rsidTr="007A25A1">
        <w:tc>
          <w:tcPr>
            <w:tcW w:w="810" w:type="dxa"/>
            <w:shd w:val="clear" w:color="auto" w:fill="D9D9D9" w:themeFill="background1" w:themeFillShade="D9"/>
          </w:tcPr>
          <w:p w:rsidR="00C431BD" w:rsidRPr="00200420" w:rsidRDefault="00C431BD" w:rsidP="000330D3">
            <w:pPr>
              <w:jc w:val="center"/>
            </w:pPr>
            <w:r>
              <w:t>1.2</w:t>
            </w:r>
          </w:p>
        </w:tc>
        <w:tc>
          <w:tcPr>
            <w:tcW w:w="6030" w:type="dxa"/>
            <w:shd w:val="clear" w:color="auto" w:fill="D9D9D9" w:themeFill="background1" w:themeFillShade="D9"/>
          </w:tcPr>
          <w:p w:rsidR="009D4F5A" w:rsidRDefault="00C030B9" w:rsidP="008D7C8A">
            <w:pPr>
              <w:pStyle w:val="ListParagraph"/>
              <w:numPr>
                <w:ilvl w:val="0"/>
                <w:numId w:val="12"/>
              </w:numPr>
            </w:pPr>
            <w:r>
              <w:t>Basic terms and concepts of business e</w:t>
            </w:r>
            <w:r w:rsidR="009D4F5A">
              <w:t xml:space="preserve">ntities </w:t>
            </w:r>
          </w:p>
          <w:p w:rsidR="007E50DC" w:rsidRDefault="007E50DC" w:rsidP="008D7C8A">
            <w:pPr>
              <w:pStyle w:val="ListParagraph"/>
              <w:numPr>
                <w:ilvl w:val="0"/>
                <w:numId w:val="27"/>
              </w:numPr>
              <w:rPr>
                <w:i/>
              </w:rPr>
            </w:pPr>
            <w:r w:rsidRPr="00042839">
              <w:rPr>
                <w:i/>
              </w:rPr>
              <w:t xml:space="preserve">Bayer v. Beran </w:t>
            </w:r>
          </w:p>
          <w:p w:rsidR="00C431BD" w:rsidRDefault="00C431BD" w:rsidP="005459B5">
            <w:pPr>
              <w:pStyle w:val="ListParagraph"/>
              <w:numPr>
                <w:ilvl w:val="0"/>
                <w:numId w:val="27"/>
              </w:numPr>
              <w:rPr>
                <w:i/>
              </w:rPr>
            </w:pPr>
            <w:r w:rsidRPr="00042839">
              <w:rPr>
                <w:i/>
              </w:rPr>
              <w:t xml:space="preserve">Schnell v. Chris-Craft Industries, Inc. </w:t>
            </w:r>
          </w:p>
          <w:p w:rsidR="005C2366" w:rsidRDefault="005C2366" w:rsidP="005459B5">
            <w:pPr>
              <w:pStyle w:val="ListParagraph"/>
              <w:numPr>
                <w:ilvl w:val="0"/>
                <w:numId w:val="27"/>
              </w:numPr>
              <w:rPr>
                <w:i/>
              </w:rPr>
            </w:pPr>
            <w:r>
              <w:rPr>
                <w:i/>
              </w:rPr>
              <w:t xml:space="preserve">Bove v. Community Hotel Corp. </w:t>
            </w:r>
          </w:p>
          <w:p w:rsidR="005C2366" w:rsidRPr="005C2366" w:rsidRDefault="005C2366" w:rsidP="005C2366">
            <w:pPr>
              <w:pStyle w:val="ListParagraph"/>
            </w:pPr>
          </w:p>
        </w:tc>
        <w:tc>
          <w:tcPr>
            <w:tcW w:w="1350" w:type="dxa"/>
            <w:shd w:val="clear" w:color="auto" w:fill="D9D9D9" w:themeFill="background1" w:themeFillShade="D9"/>
          </w:tcPr>
          <w:p w:rsidR="00C431BD" w:rsidRPr="00200420" w:rsidRDefault="009D4F5A" w:rsidP="002519F1">
            <w:pPr>
              <w:jc w:val="center"/>
            </w:pPr>
            <w:r>
              <w:t>6</w:t>
            </w:r>
            <w:r w:rsidR="005C2366">
              <w:t>1-80</w:t>
            </w:r>
          </w:p>
        </w:tc>
        <w:tc>
          <w:tcPr>
            <w:tcW w:w="1265" w:type="dxa"/>
            <w:shd w:val="clear" w:color="auto" w:fill="D9D9D9" w:themeFill="background1" w:themeFillShade="D9"/>
          </w:tcPr>
          <w:p w:rsidR="00C431BD" w:rsidRPr="00200420" w:rsidRDefault="00C431BD" w:rsidP="00582131"/>
        </w:tc>
      </w:tr>
      <w:tr w:rsidR="00C431BD" w:rsidRPr="00200420" w:rsidTr="007A25A1">
        <w:tc>
          <w:tcPr>
            <w:tcW w:w="810" w:type="dxa"/>
          </w:tcPr>
          <w:p w:rsidR="00C431BD" w:rsidRPr="00200420" w:rsidRDefault="00C431BD" w:rsidP="004802E8">
            <w:pPr>
              <w:jc w:val="center"/>
            </w:pPr>
            <w:r>
              <w:t>2.1</w:t>
            </w:r>
          </w:p>
        </w:tc>
        <w:tc>
          <w:tcPr>
            <w:tcW w:w="6030" w:type="dxa"/>
          </w:tcPr>
          <w:p w:rsidR="00AE308C" w:rsidRPr="00C030B9" w:rsidRDefault="00AE308C" w:rsidP="00AE308C">
            <w:r>
              <w:t>CHAPTER 3</w:t>
            </w:r>
          </w:p>
          <w:p w:rsidR="00AE308C" w:rsidRPr="00C030B9" w:rsidRDefault="00AE308C" w:rsidP="00AE308C">
            <w:pPr>
              <w:pStyle w:val="ListParagraph"/>
              <w:numPr>
                <w:ilvl w:val="0"/>
                <w:numId w:val="4"/>
              </w:numPr>
            </w:pPr>
            <w:r w:rsidRPr="00C030B9">
              <w:t xml:space="preserve">Tort creditors </w:t>
            </w:r>
          </w:p>
          <w:p w:rsidR="00AE308C" w:rsidRPr="00C030B9" w:rsidRDefault="00AE308C" w:rsidP="008D7C8A">
            <w:pPr>
              <w:pStyle w:val="ListParagraph"/>
              <w:numPr>
                <w:ilvl w:val="0"/>
                <w:numId w:val="8"/>
              </w:numPr>
              <w:rPr>
                <w:i/>
              </w:rPr>
            </w:pPr>
            <w:r w:rsidRPr="00C030B9">
              <w:rPr>
                <w:i/>
              </w:rPr>
              <w:t xml:space="preserve">Walkovszky v. Carlton </w:t>
            </w:r>
          </w:p>
          <w:p w:rsidR="00AE308C" w:rsidRDefault="00AE308C" w:rsidP="00AE308C">
            <w:pPr>
              <w:pStyle w:val="ListParagraph"/>
              <w:numPr>
                <w:ilvl w:val="0"/>
                <w:numId w:val="4"/>
              </w:numPr>
            </w:pPr>
            <w:r>
              <w:t xml:space="preserve">Contract creditors </w:t>
            </w:r>
          </w:p>
          <w:p w:rsidR="005C2366" w:rsidRDefault="005C2366" w:rsidP="008D7C8A">
            <w:pPr>
              <w:pStyle w:val="ListParagraph"/>
              <w:numPr>
                <w:ilvl w:val="0"/>
                <w:numId w:val="26"/>
              </w:numPr>
              <w:rPr>
                <w:i/>
              </w:rPr>
            </w:pPr>
            <w:r>
              <w:rPr>
                <w:i/>
              </w:rPr>
              <w:t>Freeman v. Complex Computing Co.</w:t>
            </w:r>
          </w:p>
          <w:p w:rsidR="00AE308C" w:rsidRPr="00F23605" w:rsidRDefault="00AE308C" w:rsidP="008D7C8A">
            <w:pPr>
              <w:pStyle w:val="ListParagraph"/>
              <w:numPr>
                <w:ilvl w:val="0"/>
                <w:numId w:val="26"/>
              </w:numPr>
              <w:rPr>
                <w:i/>
              </w:rPr>
            </w:pPr>
            <w:r w:rsidRPr="00F23605">
              <w:rPr>
                <w:i/>
              </w:rPr>
              <w:t xml:space="preserve">Kinney Shoe Corp. Polan </w:t>
            </w:r>
          </w:p>
          <w:p w:rsidR="00AE308C" w:rsidRDefault="00AE308C" w:rsidP="00AE308C">
            <w:pPr>
              <w:pStyle w:val="ListParagraph"/>
              <w:numPr>
                <w:ilvl w:val="0"/>
                <w:numId w:val="4"/>
              </w:numPr>
            </w:pPr>
            <w:r>
              <w:t xml:space="preserve">Parent-subsidiary corporations </w:t>
            </w:r>
          </w:p>
          <w:p w:rsidR="00C431BD" w:rsidRDefault="00AE308C" w:rsidP="00AE308C">
            <w:pPr>
              <w:pStyle w:val="ListParagraph"/>
              <w:numPr>
                <w:ilvl w:val="0"/>
                <w:numId w:val="25"/>
              </w:numPr>
            </w:pPr>
            <w:r w:rsidRPr="00F23605">
              <w:rPr>
                <w:i/>
              </w:rPr>
              <w:t>OTR Associates v. IBC Services, Inc</w:t>
            </w:r>
            <w:r>
              <w:t>.</w:t>
            </w:r>
          </w:p>
          <w:p w:rsidR="005C2366" w:rsidRPr="00200420" w:rsidRDefault="005C2366" w:rsidP="005C2366"/>
        </w:tc>
        <w:tc>
          <w:tcPr>
            <w:tcW w:w="1350" w:type="dxa"/>
          </w:tcPr>
          <w:p w:rsidR="00AE308C" w:rsidRDefault="00AE308C" w:rsidP="00AE308C">
            <w:pPr>
              <w:jc w:val="center"/>
            </w:pPr>
            <w:r>
              <w:t>81-88</w:t>
            </w:r>
          </w:p>
          <w:p w:rsidR="00AE308C" w:rsidRDefault="00AE308C" w:rsidP="00AE308C">
            <w:pPr>
              <w:jc w:val="center"/>
            </w:pPr>
            <w:r>
              <w:t>88-95</w:t>
            </w:r>
          </w:p>
          <w:p w:rsidR="00AE308C" w:rsidRDefault="005C2366" w:rsidP="00AE308C">
            <w:pPr>
              <w:jc w:val="center"/>
            </w:pPr>
            <w:r>
              <w:t>101</w:t>
            </w:r>
            <w:r w:rsidR="00AE308C">
              <w:t>-10</w:t>
            </w:r>
          </w:p>
          <w:p w:rsidR="00AE308C" w:rsidRDefault="00AE308C" w:rsidP="00AE308C">
            <w:pPr>
              <w:jc w:val="center"/>
            </w:pPr>
            <w:r>
              <w:t>115-18</w:t>
            </w:r>
          </w:p>
          <w:p w:rsidR="00AE308C" w:rsidRDefault="00AE308C" w:rsidP="00B36FCC">
            <w:pPr>
              <w:jc w:val="center"/>
            </w:pPr>
          </w:p>
          <w:p w:rsidR="00AE308C" w:rsidRDefault="00AE308C" w:rsidP="00B36FCC">
            <w:pPr>
              <w:jc w:val="center"/>
            </w:pPr>
          </w:p>
          <w:p w:rsidR="00F23605" w:rsidRPr="00200420" w:rsidRDefault="00F23605" w:rsidP="00AE308C">
            <w:pPr>
              <w:jc w:val="center"/>
            </w:pPr>
          </w:p>
        </w:tc>
        <w:tc>
          <w:tcPr>
            <w:tcW w:w="1265" w:type="dxa"/>
          </w:tcPr>
          <w:p w:rsidR="00AE308C" w:rsidRDefault="00AE308C" w:rsidP="00AE308C">
            <w:r>
              <w:t xml:space="preserve">MBCA </w:t>
            </w:r>
          </w:p>
          <w:p w:rsidR="00C431BD" w:rsidRPr="007A0615" w:rsidRDefault="00AE308C" w:rsidP="00AE308C">
            <w:r>
              <w:t>§ 6.22</w:t>
            </w:r>
          </w:p>
        </w:tc>
      </w:tr>
      <w:tr w:rsidR="00C431BD" w:rsidRPr="00200420" w:rsidTr="007A25A1">
        <w:tc>
          <w:tcPr>
            <w:tcW w:w="810" w:type="dxa"/>
          </w:tcPr>
          <w:p w:rsidR="00C431BD" w:rsidRPr="00200420" w:rsidRDefault="00C431BD" w:rsidP="004802E8">
            <w:pPr>
              <w:jc w:val="center"/>
            </w:pPr>
            <w:r>
              <w:t>2.2</w:t>
            </w:r>
          </w:p>
        </w:tc>
        <w:tc>
          <w:tcPr>
            <w:tcW w:w="6030" w:type="dxa"/>
          </w:tcPr>
          <w:p w:rsidR="00AE308C" w:rsidRPr="00FB7B6B" w:rsidRDefault="00AE308C" w:rsidP="00AE308C">
            <w:r w:rsidRPr="00FB7B6B">
              <w:t>CHAPTER 9</w:t>
            </w:r>
          </w:p>
          <w:p w:rsidR="00001C73" w:rsidRDefault="00AE308C" w:rsidP="00AE308C">
            <w:pPr>
              <w:pStyle w:val="ListParagraph"/>
              <w:numPr>
                <w:ilvl w:val="0"/>
                <w:numId w:val="1"/>
              </w:numPr>
            </w:pPr>
            <w:r w:rsidRPr="00FB7B6B">
              <w:t xml:space="preserve">Financial accounting </w:t>
            </w:r>
          </w:p>
          <w:p w:rsidR="006C3BE6" w:rsidRDefault="006C3BE6" w:rsidP="00AE308C">
            <w:pPr>
              <w:pStyle w:val="ListParagraph"/>
              <w:numPr>
                <w:ilvl w:val="0"/>
                <w:numId w:val="1"/>
              </w:numPr>
            </w:pPr>
            <w:r>
              <w:t xml:space="preserve">Valuation </w:t>
            </w:r>
          </w:p>
          <w:p w:rsidR="006C3BE6" w:rsidRPr="00200420" w:rsidRDefault="006C3BE6" w:rsidP="006C3BE6">
            <w:pPr>
              <w:pStyle w:val="ListParagraph"/>
              <w:ind w:left="360"/>
            </w:pPr>
          </w:p>
        </w:tc>
        <w:tc>
          <w:tcPr>
            <w:tcW w:w="1350" w:type="dxa"/>
          </w:tcPr>
          <w:p w:rsidR="00AE308C" w:rsidRDefault="00AE308C" w:rsidP="00AE308C">
            <w:pPr>
              <w:jc w:val="center"/>
            </w:pPr>
            <w:r>
              <w:t>359-82</w:t>
            </w:r>
          </w:p>
          <w:p w:rsidR="006C3BE6" w:rsidRDefault="006C3BE6" w:rsidP="00AE308C">
            <w:pPr>
              <w:jc w:val="center"/>
            </w:pPr>
            <w:r>
              <w:t>385-98</w:t>
            </w:r>
          </w:p>
          <w:p w:rsidR="00C431BD" w:rsidRPr="00200420" w:rsidRDefault="00C431BD" w:rsidP="00AE308C">
            <w:pPr>
              <w:jc w:val="center"/>
            </w:pPr>
          </w:p>
        </w:tc>
        <w:tc>
          <w:tcPr>
            <w:tcW w:w="1265" w:type="dxa"/>
          </w:tcPr>
          <w:p w:rsidR="00C431BD" w:rsidRPr="00EB0D11" w:rsidRDefault="00C431BD" w:rsidP="00997F2C"/>
        </w:tc>
      </w:tr>
      <w:tr w:rsidR="00C431BD" w:rsidRPr="00200420" w:rsidTr="007A25A1">
        <w:tc>
          <w:tcPr>
            <w:tcW w:w="810" w:type="dxa"/>
            <w:shd w:val="clear" w:color="auto" w:fill="D9D9D9" w:themeFill="background1" w:themeFillShade="D9"/>
          </w:tcPr>
          <w:p w:rsidR="00C431BD" w:rsidRPr="00200420" w:rsidRDefault="00C431BD" w:rsidP="004802E8">
            <w:pPr>
              <w:jc w:val="center"/>
            </w:pPr>
            <w:r>
              <w:t>3.1</w:t>
            </w:r>
          </w:p>
        </w:tc>
        <w:tc>
          <w:tcPr>
            <w:tcW w:w="6030" w:type="dxa"/>
            <w:shd w:val="clear" w:color="auto" w:fill="D9D9D9" w:themeFill="background1" w:themeFillShade="D9"/>
          </w:tcPr>
          <w:p w:rsidR="006C3BE6" w:rsidRPr="00BC1573" w:rsidRDefault="006C3BE6" w:rsidP="006C3BE6">
            <w:r w:rsidRPr="00BC1573">
              <w:t xml:space="preserve">CHAPTER 10 </w:t>
            </w:r>
          </w:p>
          <w:p w:rsidR="006C3BE6" w:rsidRPr="00BC1573" w:rsidRDefault="006C3BE6" w:rsidP="006C3BE6">
            <w:pPr>
              <w:pStyle w:val="ListParagraph"/>
              <w:numPr>
                <w:ilvl w:val="0"/>
                <w:numId w:val="3"/>
              </w:numPr>
            </w:pPr>
            <w:r w:rsidRPr="00BC1573">
              <w:t xml:space="preserve">Corporate securities  </w:t>
            </w:r>
          </w:p>
          <w:p w:rsidR="006C3BE6" w:rsidRPr="00BC1573" w:rsidRDefault="006C3BE6" w:rsidP="006C3BE6">
            <w:pPr>
              <w:pStyle w:val="ListParagraph"/>
              <w:numPr>
                <w:ilvl w:val="0"/>
                <w:numId w:val="3"/>
              </w:numPr>
            </w:pPr>
            <w:r w:rsidRPr="00BC1573">
              <w:t>Corporate capital structure</w:t>
            </w:r>
          </w:p>
          <w:p w:rsidR="006C3BE6" w:rsidRPr="00BC1573" w:rsidRDefault="006C3BE6" w:rsidP="006C3BE6">
            <w:pPr>
              <w:pStyle w:val="ListParagraph"/>
              <w:numPr>
                <w:ilvl w:val="0"/>
                <w:numId w:val="3"/>
              </w:numPr>
            </w:pPr>
            <w:r w:rsidRPr="00BC1573">
              <w:t xml:space="preserve">Legal capital </w:t>
            </w:r>
          </w:p>
          <w:p w:rsidR="006C3BE6" w:rsidRPr="00BC1573" w:rsidRDefault="006C3BE6" w:rsidP="006C3BE6">
            <w:pPr>
              <w:pStyle w:val="ListParagraph"/>
              <w:numPr>
                <w:ilvl w:val="0"/>
                <w:numId w:val="3"/>
              </w:numPr>
            </w:pPr>
            <w:r w:rsidRPr="00BC1573">
              <w:t xml:space="preserve">Limitation on distributions </w:t>
            </w:r>
          </w:p>
          <w:p w:rsidR="00B36FCC" w:rsidRDefault="006C3BE6" w:rsidP="006C3BE6">
            <w:pPr>
              <w:pStyle w:val="ListParagraph"/>
              <w:numPr>
                <w:ilvl w:val="0"/>
                <w:numId w:val="25"/>
              </w:numPr>
            </w:pPr>
            <w:r w:rsidRPr="006C3BE6">
              <w:rPr>
                <w:i/>
              </w:rPr>
              <w:t>Klang v. Smith’s Food &amp; Drug Centers, Inc</w:t>
            </w:r>
            <w:r w:rsidRPr="00BC1573">
              <w:t>.</w:t>
            </w:r>
          </w:p>
          <w:p w:rsidR="006C3BE6" w:rsidRPr="00FB7B6B" w:rsidRDefault="006C3BE6" w:rsidP="006C3BE6">
            <w:pPr>
              <w:pStyle w:val="ListParagraph"/>
            </w:pPr>
          </w:p>
        </w:tc>
        <w:tc>
          <w:tcPr>
            <w:tcW w:w="1350" w:type="dxa"/>
            <w:shd w:val="clear" w:color="auto" w:fill="D9D9D9" w:themeFill="background1" w:themeFillShade="D9"/>
          </w:tcPr>
          <w:p w:rsidR="006C3BE6" w:rsidRDefault="006C3BE6" w:rsidP="006C3BE6">
            <w:pPr>
              <w:jc w:val="center"/>
            </w:pPr>
            <w:r>
              <w:t xml:space="preserve">399-408 </w:t>
            </w:r>
          </w:p>
          <w:p w:rsidR="00C431BD" w:rsidRPr="00200420" w:rsidRDefault="006C3BE6" w:rsidP="006C3BE6">
            <w:pPr>
              <w:jc w:val="center"/>
            </w:pPr>
            <w:r>
              <w:t>410-24</w:t>
            </w:r>
          </w:p>
        </w:tc>
        <w:tc>
          <w:tcPr>
            <w:tcW w:w="1265" w:type="dxa"/>
            <w:shd w:val="clear" w:color="auto" w:fill="D9D9D9" w:themeFill="background1" w:themeFillShade="D9"/>
          </w:tcPr>
          <w:p w:rsidR="00C431BD" w:rsidRPr="00200420" w:rsidRDefault="00C431BD" w:rsidP="00C97EB4"/>
        </w:tc>
      </w:tr>
      <w:tr w:rsidR="00C431BD" w:rsidRPr="00200420" w:rsidTr="007A25A1">
        <w:tc>
          <w:tcPr>
            <w:tcW w:w="810" w:type="dxa"/>
            <w:shd w:val="clear" w:color="auto" w:fill="D9D9D9" w:themeFill="background1" w:themeFillShade="D9"/>
          </w:tcPr>
          <w:p w:rsidR="00C431BD" w:rsidRPr="00200420" w:rsidRDefault="00C431BD" w:rsidP="004802E8">
            <w:pPr>
              <w:jc w:val="center"/>
            </w:pPr>
            <w:r>
              <w:t>3.2</w:t>
            </w:r>
          </w:p>
        </w:tc>
        <w:tc>
          <w:tcPr>
            <w:tcW w:w="6030" w:type="dxa"/>
            <w:shd w:val="clear" w:color="auto" w:fill="D9D9D9" w:themeFill="background1" w:themeFillShade="D9"/>
          </w:tcPr>
          <w:p w:rsidR="006C3BE6" w:rsidRDefault="006C3BE6" w:rsidP="006C3BE6">
            <w:pPr>
              <w:pStyle w:val="ListParagraph"/>
              <w:numPr>
                <w:ilvl w:val="0"/>
                <w:numId w:val="32"/>
              </w:numPr>
            </w:pPr>
            <w:r>
              <w:t xml:space="preserve">Creating the corporation </w:t>
            </w:r>
          </w:p>
          <w:p w:rsidR="006C3BE6" w:rsidRDefault="006C3BE6" w:rsidP="006C3BE6">
            <w:pPr>
              <w:pStyle w:val="ListParagraph"/>
              <w:numPr>
                <w:ilvl w:val="0"/>
                <w:numId w:val="32"/>
              </w:numPr>
            </w:pPr>
            <w:r>
              <w:t xml:space="preserve">Review Google’s Investor Relations website </w:t>
            </w:r>
          </w:p>
          <w:p w:rsidR="006C3BE6" w:rsidRDefault="006C3BE6" w:rsidP="006C3BE6">
            <w:pPr>
              <w:pStyle w:val="ListParagraph"/>
              <w:numPr>
                <w:ilvl w:val="0"/>
                <w:numId w:val="32"/>
              </w:numPr>
            </w:pPr>
            <w:r>
              <w:t xml:space="preserve">Read Google’s Amended and Restated Certificate of Incorporation (Alphabet Inc.) </w:t>
            </w:r>
          </w:p>
          <w:p w:rsidR="00FB7B6B" w:rsidRDefault="006C3BE6" w:rsidP="006C3BE6">
            <w:pPr>
              <w:pStyle w:val="ListParagraph"/>
              <w:numPr>
                <w:ilvl w:val="0"/>
                <w:numId w:val="32"/>
              </w:numPr>
            </w:pPr>
            <w:r>
              <w:t>Read Google’s Bylaws (Alphabet Inc.)</w:t>
            </w:r>
          </w:p>
          <w:p w:rsidR="006C3BE6" w:rsidRPr="00FB7B6B" w:rsidRDefault="006C3BE6" w:rsidP="006C3BE6">
            <w:pPr>
              <w:pStyle w:val="ListParagraph"/>
              <w:ind w:left="360"/>
            </w:pPr>
          </w:p>
        </w:tc>
        <w:tc>
          <w:tcPr>
            <w:tcW w:w="1350" w:type="dxa"/>
            <w:shd w:val="clear" w:color="auto" w:fill="D9D9D9" w:themeFill="background1" w:themeFillShade="D9"/>
          </w:tcPr>
          <w:p w:rsidR="00B36FCC" w:rsidRDefault="006C3BE6" w:rsidP="00CA04D2">
            <w:pPr>
              <w:jc w:val="center"/>
            </w:pPr>
            <w:r>
              <w:t>Posted on TWEN</w:t>
            </w:r>
          </w:p>
          <w:p w:rsidR="00B36FCC" w:rsidRDefault="00B36FCC" w:rsidP="00CA04D2">
            <w:pPr>
              <w:jc w:val="center"/>
            </w:pPr>
          </w:p>
          <w:p w:rsidR="00B36FCC" w:rsidRPr="00200420" w:rsidRDefault="00B36FCC" w:rsidP="00CA04D2">
            <w:pPr>
              <w:jc w:val="center"/>
            </w:pPr>
          </w:p>
        </w:tc>
        <w:tc>
          <w:tcPr>
            <w:tcW w:w="1265" w:type="dxa"/>
            <w:shd w:val="clear" w:color="auto" w:fill="D9D9D9" w:themeFill="background1" w:themeFillShade="D9"/>
          </w:tcPr>
          <w:p w:rsidR="006C3BE6" w:rsidRDefault="006C3BE6" w:rsidP="006C3BE6">
            <w:r>
              <w:t xml:space="preserve">MBCA </w:t>
            </w:r>
          </w:p>
          <w:p w:rsidR="006C3BE6" w:rsidRDefault="006C3BE6" w:rsidP="006C3BE6">
            <w:r w:rsidRPr="00420406">
              <w:t xml:space="preserve">§ </w:t>
            </w:r>
            <w:r>
              <w:t>2.02</w:t>
            </w:r>
          </w:p>
          <w:p w:rsidR="006C3BE6" w:rsidRDefault="006C3BE6" w:rsidP="006C3BE6">
            <w:r>
              <w:t>§ 2.03</w:t>
            </w:r>
          </w:p>
          <w:p w:rsidR="006C3BE6" w:rsidRDefault="006C3BE6" w:rsidP="006C3BE6">
            <w:r>
              <w:t xml:space="preserve">§ </w:t>
            </w:r>
            <w:r w:rsidRPr="00420406">
              <w:t>2.06</w:t>
            </w:r>
          </w:p>
          <w:p w:rsidR="006C3BE6" w:rsidRDefault="006C3BE6" w:rsidP="006C3BE6">
            <w:r>
              <w:t>§ 6.27</w:t>
            </w:r>
          </w:p>
          <w:p w:rsidR="006C3BE6" w:rsidRDefault="006C3BE6" w:rsidP="006C3BE6">
            <w:r>
              <w:t>§ 7.21</w:t>
            </w:r>
          </w:p>
          <w:p w:rsidR="00B36FCC" w:rsidRDefault="006C3BE6" w:rsidP="006C3BE6">
            <w:r>
              <w:t>§ 8.01</w:t>
            </w:r>
          </w:p>
          <w:p w:rsidR="00B36FCC" w:rsidRDefault="00B36FCC" w:rsidP="00B36FCC"/>
          <w:p w:rsidR="006C3BE6" w:rsidRPr="00200420" w:rsidRDefault="006C3BE6" w:rsidP="00B36FCC"/>
        </w:tc>
      </w:tr>
      <w:tr w:rsidR="00C431BD" w:rsidRPr="00200420" w:rsidTr="007A25A1">
        <w:tc>
          <w:tcPr>
            <w:tcW w:w="810" w:type="dxa"/>
          </w:tcPr>
          <w:p w:rsidR="00C431BD" w:rsidRPr="00200420" w:rsidRDefault="00C431BD" w:rsidP="004802E8">
            <w:pPr>
              <w:jc w:val="center"/>
            </w:pPr>
            <w:r>
              <w:lastRenderedPageBreak/>
              <w:t>4.1</w:t>
            </w:r>
          </w:p>
        </w:tc>
        <w:tc>
          <w:tcPr>
            <w:tcW w:w="6030" w:type="dxa"/>
          </w:tcPr>
          <w:p w:rsidR="00BB5658" w:rsidRDefault="007F72FF" w:rsidP="00BB5658">
            <w:r>
              <w:t xml:space="preserve"> </w:t>
            </w:r>
            <w:r w:rsidR="00BB5658">
              <w:t>CHAPTER 12</w:t>
            </w:r>
          </w:p>
          <w:p w:rsidR="00BB5658" w:rsidRDefault="00BB5658" w:rsidP="0074360D">
            <w:pPr>
              <w:pStyle w:val="ListParagraph"/>
              <w:numPr>
                <w:ilvl w:val="0"/>
                <w:numId w:val="15"/>
              </w:numPr>
            </w:pPr>
            <w:r w:rsidRPr="009B3F1B">
              <w:t xml:space="preserve">Models of corporate governance </w:t>
            </w:r>
          </w:p>
          <w:p w:rsidR="00BB5658" w:rsidRDefault="00BB5658" w:rsidP="0074360D">
            <w:pPr>
              <w:pStyle w:val="ListParagraph"/>
              <w:numPr>
                <w:ilvl w:val="0"/>
                <w:numId w:val="15"/>
              </w:numPr>
            </w:pPr>
            <w:r>
              <w:t xml:space="preserve">Internal affairs doctrine as constitutional principle </w:t>
            </w:r>
          </w:p>
          <w:p w:rsidR="00BB5658" w:rsidRDefault="00BB5658" w:rsidP="0074360D">
            <w:pPr>
              <w:pStyle w:val="ListParagraph"/>
              <w:numPr>
                <w:ilvl w:val="0"/>
                <w:numId w:val="15"/>
              </w:numPr>
            </w:pPr>
            <w:r w:rsidRPr="009B3F1B">
              <w:t xml:space="preserve">The choice of state of incorporation </w:t>
            </w:r>
          </w:p>
          <w:p w:rsidR="00BB5658" w:rsidRDefault="00BB5658" w:rsidP="00BB5658">
            <w:pPr>
              <w:pStyle w:val="ListParagraph"/>
              <w:numPr>
                <w:ilvl w:val="0"/>
                <w:numId w:val="15"/>
              </w:numPr>
            </w:pPr>
            <w:r w:rsidRPr="009B3F1B">
              <w:t>The future shape of state corporate law</w:t>
            </w:r>
          </w:p>
          <w:p w:rsidR="00BB5658" w:rsidRPr="00042839" w:rsidRDefault="00BB5658" w:rsidP="00BB5658"/>
        </w:tc>
        <w:tc>
          <w:tcPr>
            <w:tcW w:w="1350" w:type="dxa"/>
          </w:tcPr>
          <w:p w:rsidR="00BB5658" w:rsidRDefault="00BB5658" w:rsidP="00BB5658">
            <w:pPr>
              <w:jc w:val="center"/>
            </w:pPr>
            <w:r>
              <w:t>471-507</w:t>
            </w:r>
          </w:p>
          <w:p w:rsidR="007F72FF" w:rsidRPr="00200420" w:rsidRDefault="007F72FF" w:rsidP="00B36FCC">
            <w:pPr>
              <w:jc w:val="center"/>
            </w:pPr>
          </w:p>
        </w:tc>
        <w:tc>
          <w:tcPr>
            <w:tcW w:w="1265" w:type="dxa"/>
          </w:tcPr>
          <w:p w:rsidR="00C431BD" w:rsidRPr="00200420" w:rsidRDefault="009B3F1B" w:rsidP="005459B5">
            <w:r>
              <w:t xml:space="preserve"> </w:t>
            </w:r>
          </w:p>
        </w:tc>
      </w:tr>
      <w:tr w:rsidR="00C431BD" w:rsidRPr="00200420" w:rsidTr="007A25A1">
        <w:tc>
          <w:tcPr>
            <w:tcW w:w="810" w:type="dxa"/>
          </w:tcPr>
          <w:p w:rsidR="00C431BD" w:rsidRPr="00200420" w:rsidRDefault="00C431BD" w:rsidP="004802E8">
            <w:pPr>
              <w:jc w:val="center"/>
            </w:pPr>
            <w:r>
              <w:t>4.2</w:t>
            </w:r>
          </w:p>
        </w:tc>
        <w:tc>
          <w:tcPr>
            <w:tcW w:w="6030" w:type="dxa"/>
          </w:tcPr>
          <w:p w:rsidR="00BB5658" w:rsidRPr="005608E4" w:rsidRDefault="00BB5658" w:rsidP="00BB5658">
            <w:r w:rsidRPr="005608E4">
              <w:t>CHAPTER 13</w:t>
            </w:r>
          </w:p>
          <w:p w:rsidR="00BB5658" w:rsidRPr="005608E4" w:rsidRDefault="00BB5658" w:rsidP="00BB5658">
            <w:pPr>
              <w:pStyle w:val="ListParagraph"/>
              <w:numPr>
                <w:ilvl w:val="0"/>
                <w:numId w:val="16"/>
              </w:numPr>
            </w:pPr>
            <w:r w:rsidRPr="005608E4">
              <w:t xml:space="preserve">The role of corporate director </w:t>
            </w:r>
          </w:p>
          <w:p w:rsidR="00BB5658" w:rsidRPr="005608E4" w:rsidRDefault="00BB5658" w:rsidP="00BB5658">
            <w:pPr>
              <w:pStyle w:val="ListParagraph"/>
              <w:numPr>
                <w:ilvl w:val="0"/>
                <w:numId w:val="16"/>
              </w:numPr>
            </w:pPr>
            <w:r w:rsidRPr="005608E4">
              <w:t xml:space="preserve">Formalities of board action </w:t>
            </w:r>
          </w:p>
          <w:p w:rsidR="00BB5658" w:rsidRDefault="00BB5658" w:rsidP="00BB5658">
            <w:pPr>
              <w:pStyle w:val="ListParagraph"/>
              <w:numPr>
                <w:ilvl w:val="0"/>
                <w:numId w:val="16"/>
              </w:numPr>
            </w:pPr>
            <w:r w:rsidRPr="005608E4">
              <w:t xml:space="preserve">Governance in the modern board </w:t>
            </w:r>
          </w:p>
          <w:p w:rsidR="00AA132F" w:rsidRDefault="00BB5658" w:rsidP="00BB5658">
            <w:pPr>
              <w:pStyle w:val="ListParagraph"/>
              <w:numPr>
                <w:ilvl w:val="0"/>
                <w:numId w:val="16"/>
              </w:numPr>
            </w:pPr>
            <w:r w:rsidRPr="005608E4">
              <w:t>What kind of a board?</w:t>
            </w:r>
          </w:p>
          <w:p w:rsidR="00BB5658" w:rsidRDefault="00BB5658" w:rsidP="00BB5658">
            <w:pPr>
              <w:pStyle w:val="ListParagraph"/>
              <w:ind w:left="360"/>
            </w:pPr>
          </w:p>
          <w:p w:rsidR="00025949" w:rsidRDefault="00025949" w:rsidP="00025949">
            <w:r>
              <w:t>CHAPTER 14</w:t>
            </w:r>
          </w:p>
          <w:p w:rsidR="00025949" w:rsidRDefault="00025949" w:rsidP="00025949">
            <w:pPr>
              <w:pStyle w:val="ListParagraph"/>
              <w:numPr>
                <w:ilvl w:val="0"/>
                <w:numId w:val="5"/>
              </w:numPr>
            </w:pPr>
            <w:r>
              <w:t xml:space="preserve">Mechanics of shareholder meetings </w:t>
            </w:r>
          </w:p>
          <w:p w:rsidR="00025949" w:rsidRDefault="00025949" w:rsidP="00025949">
            <w:pPr>
              <w:pStyle w:val="ListParagraph"/>
              <w:numPr>
                <w:ilvl w:val="0"/>
                <w:numId w:val="5"/>
              </w:numPr>
            </w:pPr>
            <w:r>
              <w:t xml:space="preserve">Election and removal of directors </w:t>
            </w:r>
          </w:p>
          <w:p w:rsidR="00025949" w:rsidRPr="00200420" w:rsidRDefault="00025949" w:rsidP="00BB5658">
            <w:pPr>
              <w:pStyle w:val="ListParagraph"/>
              <w:ind w:left="360"/>
            </w:pPr>
          </w:p>
        </w:tc>
        <w:tc>
          <w:tcPr>
            <w:tcW w:w="1350" w:type="dxa"/>
          </w:tcPr>
          <w:p w:rsidR="00BB5658" w:rsidRDefault="00BB5658" w:rsidP="00BB5658">
            <w:pPr>
              <w:jc w:val="center"/>
            </w:pPr>
            <w:r>
              <w:t>509-37</w:t>
            </w:r>
          </w:p>
          <w:p w:rsidR="00025949" w:rsidRDefault="00025949" w:rsidP="00025949">
            <w:pPr>
              <w:jc w:val="center"/>
            </w:pPr>
            <w:r>
              <w:t>539-46</w:t>
            </w:r>
          </w:p>
          <w:p w:rsidR="00025949" w:rsidRDefault="00025949" w:rsidP="00BB5658">
            <w:pPr>
              <w:jc w:val="center"/>
            </w:pPr>
          </w:p>
          <w:p w:rsidR="00C431BD" w:rsidRPr="00200420" w:rsidRDefault="00C431BD" w:rsidP="00CA04D2">
            <w:pPr>
              <w:jc w:val="center"/>
            </w:pPr>
          </w:p>
        </w:tc>
        <w:tc>
          <w:tcPr>
            <w:tcW w:w="1265" w:type="dxa"/>
          </w:tcPr>
          <w:p w:rsidR="006C3BE6" w:rsidRDefault="006C3BE6" w:rsidP="006C3BE6"/>
          <w:p w:rsidR="00C431BD" w:rsidRPr="00200420" w:rsidRDefault="00C431BD" w:rsidP="006C3BE6"/>
        </w:tc>
      </w:tr>
      <w:tr w:rsidR="00C431BD" w:rsidRPr="00200420" w:rsidTr="007A25A1">
        <w:tc>
          <w:tcPr>
            <w:tcW w:w="810" w:type="dxa"/>
            <w:shd w:val="clear" w:color="auto" w:fill="D9D9D9" w:themeFill="background1" w:themeFillShade="D9"/>
          </w:tcPr>
          <w:p w:rsidR="00C431BD" w:rsidRPr="00200420" w:rsidRDefault="00C431BD" w:rsidP="007C3DA0">
            <w:pPr>
              <w:jc w:val="center"/>
            </w:pPr>
            <w:r>
              <w:t>5.1</w:t>
            </w:r>
          </w:p>
        </w:tc>
        <w:tc>
          <w:tcPr>
            <w:tcW w:w="6030" w:type="dxa"/>
            <w:shd w:val="clear" w:color="auto" w:fill="D9D9D9" w:themeFill="background1" w:themeFillShade="D9"/>
          </w:tcPr>
          <w:p w:rsidR="00025949" w:rsidRDefault="00025949" w:rsidP="00025949">
            <w:r>
              <w:t>CHAPTER 14</w:t>
            </w:r>
          </w:p>
          <w:p w:rsidR="00025949" w:rsidRDefault="00025949" w:rsidP="00025949">
            <w:pPr>
              <w:pStyle w:val="ListParagraph"/>
              <w:numPr>
                <w:ilvl w:val="0"/>
                <w:numId w:val="60"/>
              </w:numPr>
            </w:pPr>
            <w:r>
              <w:t xml:space="preserve">Inspection of books and records </w:t>
            </w:r>
          </w:p>
          <w:p w:rsidR="00025949" w:rsidRDefault="00025949" w:rsidP="00025949">
            <w:pPr>
              <w:pStyle w:val="ListParagraph"/>
              <w:numPr>
                <w:ilvl w:val="0"/>
                <w:numId w:val="60"/>
              </w:numPr>
            </w:pPr>
            <w:r>
              <w:t xml:space="preserve">Dynamics of shareholder voting  </w:t>
            </w:r>
          </w:p>
          <w:p w:rsidR="00C431BD" w:rsidRDefault="00025949" w:rsidP="00025949">
            <w:pPr>
              <w:pStyle w:val="ListParagraph"/>
              <w:numPr>
                <w:ilvl w:val="0"/>
                <w:numId w:val="60"/>
              </w:numPr>
            </w:pPr>
            <w:r>
              <w:t>Federal proxy regulation</w:t>
            </w:r>
          </w:p>
          <w:p w:rsidR="00025949" w:rsidRDefault="00025949" w:rsidP="00025949"/>
          <w:p w:rsidR="00025949" w:rsidRDefault="00025949" w:rsidP="00025949">
            <w:r>
              <w:t>Read Google’s Proxy (Alphabet Inc.)</w:t>
            </w:r>
          </w:p>
          <w:p w:rsidR="00025949" w:rsidRPr="00200420" w:rsidRDefault="00025949" w:rsidP="00025949"/>
        </w:tc>
        <w:tc>
          <w:tcPr>
            <w:tcW w:w="1350" w:type="dxa"/>
            <w:shd w:val="clear" w:color="auto" w:fill="D9D9D9" w:themeFill="background1" w:themeFillShade="D9"/>
          </w:tcPr>
          <w:p w:rsidR="00025949" w:rsidRDefault="00025949" w:rsidP="00025949">
            <w:pPr>
              <w:jc w:val="center"/>
            </w:pPr>
            <w:r>
              <w:t xml:space="preserve">539-71 </w:t>
            </w:r>
          </w:p>
          <w:p w:rsidR="00C431BD" w:rsidRDefault="00C431BD" w:rsidP="00BB5658">
            <w:pPr>
              <w:jc w:val="center"/>
            </w:pPr>
          </w:p>
          <w:p w:rsidR="00025949" w:rsidRDefault="00025949" w:rsidP="00025949">
            <w:pPr>
              <w:jc w:val="center"/>
            </w:pPr>
            <w:r>
              <w:t>Proxy posted on TWEN</w:t>
            </w:r>
          </w:p>
          <w:p w:rsidR="00025949" w:rsidRPr="00200420" w:rsidRDefault="00025949" w:rsidP="00BB5658">
            <w:pPr>
              <w:jc w:val="center"/>
            </w:pPr>
          </w:p>
        </w:tc>
        <w:tc>
          <w:tcPr>
            <w:tcW w:w="1265" w:type="dxa"/>
            <w:shd w:val="clear" w:color="auto" w:fill="D9D9D9" w:themeFill="background1" w:themeFillShade="D9"/>
          </w:tcPr>
          <w:p w:rsidR="00C431BD" w:rsidRPr="00200420" w:rsidRDefault="00C431BD" w:rsidP="00DC23FE"/>
        </w:tc>
      </w:tr>
      <w:tr w:rsidR="00C431BD" w:rsidRPr="00200420" w:rsidTr="007A25A1">
        <w:tc>
          <w:tcPr>
            <w:tcW w:w="810" w:type="dxa"/>
            <w:shd w:val="clear" w:color="auto" w:fill="D9D9D9" w:themeFill="background1" w:themeFillShade="D9"/>
          </w:tcPr>
          <w:p w:rsidR="00C431BD" w:rsidRPr="00200420" w:rsidRDefault="00C431BD" w:rsidP="007C3DA0">
            <w:pPr>
              <w:jc w:val="center"/>
            </w:pPr>
            <w:r>
              <w:t>5.2</w:t>
            </w:r>
          </w:p>
        </w:tc>
        <w:tc>
          <w:tcPr>
            <w:tcW w:w="6030" w:type="dxa"/>
            <w:shd w:val="clear" w:color="auto" w:fill="D9D9D9" w:themeFill="background1" w:themeFillShade="D9"/>
          </w:tcPr>
          <w:p w:rsidR="00025949" w:rsidRDefault="00025949" w:rsidP="00025949">
            <w:r>
              <w:t>CHAPTER 14</w:t>
            </w:r>
          </w:p>
          <w:p w:rsidR="00025949" w:rsidRDefault="00025949" w:rsidP="00025949">
            <w:pPr>
              <w:pStyle w:val="ListParagraph"/>
              <w:numPr>
                <w:ilvl w:val="0"/>
                <w:numId w:val="18"/>
              </w:numPr>
            </w:pPr>
            <w:r>
              <w:t xml:space="preserve">Shareholder nomination of directors and bylaw amendments </w:t>
            </w:r>
          </w:p>
          <w:p w:rsidR="00025949" w:rsidRPr="00420406" w:rsidRDefault="00025949" w:rsidP="00025949">
            <w:pPr>
              <w:pStyle w:val="ListParagraph"/>
              <w:numPr>
                <w:ilvl w:val="0"/>
                <w:numId w:val="9"/>
              </w:numPr>
              <w:rPr>
                <w:i/>
              </w:rPr>
            </w:pPr>
            <w:r>
              <w:t xml:space="preserve"> </w:t>
            </w:r>
            <w:r w:rsidRPr="00420406">
              <w:rPr>
                <w:i/>
              </w:rPr>
              <w:t xml:space="preserve">American Federation v. A.I.G., Inc. </w:t>
            </w:r>
          </w:p>
          <w:p w:rsidR="00025949" w:rsidRDefault="00025949" w:rsidP="00025949">
            <w:pPr>
              <w:pStyle w:val="ListParagraph"/>
              <w:numPr>
                <w:ilvl w:val="0"/>
                <w:numId w:val="29"/>
              </w:numPr>
            </w:pPr>
            <w:r w:rsidRPr="00420406">
              <w:rPr>
                <w:i/>
              </w:rPr>
              <w:t>CA, Inc. v. AFSCME Employees Pension Plan</w:t>
            </w:r>
          </w:p>
          <w:p w:rsidR="00C431BD" w:rsidRDefault="00025949" w:rsidP="00025949">
            <w:pPr>
              <w:pStyle w:val="ListParagraph"/>
              <w:numPr>
                <w:ilvl w:val="0"/>
                <w:numId w:val="18"/>
              </w:numPr>
            </w:pPr>
            <w:r>
              <w:t>Role of shareholders in executive pay</w:t>
            </w:r>
          </w:p>
          <w:p w:rsidR="00025949" w:rsidRDefault="00025949" w:rsidP="00025949">
            <w:pPr>
              <w:pStyle w:val="ListParagraph"/>
              <w:ind w:left="360"/>
            </w:pPr>
          </w:p>
          <w:p w:rsidR="00025949" w:rsidRPr="00B85BC2" w:rsidRDefault="00025949" w:rsidP="00025949">
            <w:r w:rsidRPr="00B85BC2">
              <w:t>CHAPTER 15</w:t>
            </w:r>
          </w:p>
          <w:p w:rsidR="00025949" w:rsidRPr="00B85BC2" w:rsidRDefault="00025949" w:rsidP="00025949">
            <w:pPr>
              <w:pStyle w:val="ListParagraph"/>
              <w:numPr>
                <w:ilvl w:val="0"/>
                <w:numId w:val="30"/>
              </w:numPr>
            </w:pPr>
            <w:r w:rsidRPr="00B85BC2">
              <w:t xml:space="preserve">Implied federal private action for proxy fraud </w:t>
            </w:r>
          </w:p>
          <w:p w:rsidR="00025949" w:rsidRPr="00B85BC2" w:rsidRDefault="00025949" w:rsidP="00025949">
            <w:pPr>
              <w:pStyle w:val="ListParagraph"/>
              <w:numPr>
                <w:ilvl w:val="0"/>
                <w:numId w:val="30"/>
              </w:numPr>
            </w:pPr>
            <w:r w:rsidRPr="00B85BC2">
              <w:t xml:space="preserve">Materiality </w:t>
            </w:r>
          </w:p>
          <w:p w:rsidR="00025949" w:rsidRPr="00B85BC2" w:rsidRDefault="00025949" w:rsidP="00025949">
            <w:pPr>
              <w:pStyle w:val="ListParagraph"/>
              <w:numPr>
                <w:ilvl w:val="0"/>
                <w:numId w:val="19"/>
              </w:numPr>
              <w:rPr>
                <w:i/>
              </w:rPr>
            </w:pPr>
            <w:r w:rsidRPr="00B85BC2">
              <w:rPr>
                <w:i/>
              </w:rPr>
              <w:t xml:space="preserve">TSC Industries, Inc. v. Northway, Inc. </w:t>
            </w:r>
          </w:p>
          <w:p w:rsidR="00025949" w:rsidRPr="00B85BC2" w:rsidRDefault="00025949" w:rsidP="00025949">
            <w:pPr>
              <w:pStyle w:val="ListParagraph"/>
              <w:numPr>
                <w:ilvl w:val="0"/>
                <w:numId w:val="19"/>
              </w:numPr>
              <w:rPr>
                <w:i/>
              </w:rPr>
            </w:pPr>
            <w:r w:rsidRPr="00B85BC2">
              <w:rPr>
                <w:i/>
              </w:rPr>
              <w:t xml:space="preserve">Basic, Inc. v. Levinson </w:t>
            </w:r>
          </w:p>
          <w:p w:rsidR="00025949" w:rsidRPr="009B3F1B" w:rsidRDefault="00025949" w:rsidP="00A75AB9"/>
        </w:tc>
        <w:tc>
          <w:tcPr>
            <w:tcW w:w="1350" w:type="dxa"/>
            <w:shd w:val="clear" w:color="auto" w:fill="D9D9D9" w:themeFill="background1" w:themeFillShade="D9"/>
          </w:tcPr>
          <w:p w:rsidR="00025949" w:rsidRDefault="00025949" w:rsidP="00025949">
            <w:pPr>
              <w:jc w:val="center"/>
            </w:pPr>
            <w:r>
              <w:t>596-619</w:t>
            </w:r>
          </w:p>
          <w:p w:rsidR="00025949" w:rsidRDefault="00A75AB9" w:rsidP="00025949">
            <w:pPr>
              <w:jc w:val="center"/>
            </w:pPr>
            <w:r>
              <w:t>621-31</w:t>
            </w:r>
          </w:p>
          <w:p w:rsidR="00025949" w:rsidRDefault="00025949" w:rsidP="00025949">
            <w:pPr>
              <w:jc w:val="center"/>
            </w:pPr>
            <w:r>
              <w:t xml:space="preserve"> </w:t>
            </w:r>
          </w:p>
          <w:p w:rsidR="00C431BD" w:rsidRPr="00200420" w:rsidRDefault="00C431BD" w:rsidP="00BB5658">
            <w:pPr>
              <w:jc w:val="center"/>
            </w:pPr>
          </w:p>
        </w:tc>
        <w:tc>
          <w:tcPr>
            <w:tcW w:w="1265" w:type="dxa"/>
            <w:shd w:val="clear" w:color="auto" w:fill="D9D9D9" w:themeFill="background1" w:themeFillShade="D9"/>
          </w:tcPr>
          <w:p w:rsidR="00025949" w:rsidRDefault="00025949" w:rsidP="00025949">
            <w:r w:rsidRPr="00420406">
              <w:t xml:space="preserve">MBCA </w:t>
            </w:r>
          </w:p>
          <w:p w:rsidR="00025949" w:rsidRDefault="00025949" w:rsidP="00025949">
            <w:r>
              <w:t>§ 2.06</w:t>
            </w:r>
          </w:p>
          <w:p w:rsidR="00025949" w:rsidRDefault="00025949" w:rsidP="00025949">
            <w:r>
              <w:t>§ 10.01</w:t>
            </w:r>
          </w:p>
          <w:p w:rsidR="00025949" w:rsidRDefault="00025949" w:rsidP="00025949">
            <w:r>
              <w:t>§ 10.03</w:t>
            </w:r>
          </w:p>
          <w:p w:rsidR="00025949" w:rsidRDefault="00025949" w:rsidP="00025949">
            <w:r>
              <w:t>§ 10.20</w:t>
            </w:r>
          </w:p>
          <w:p w:rsidR="00025949" w:rsidRDefault="00025949" w:rsidP="00025949">
            <w:r>
              <w:t>§ 10.21</w:t>
            </w:r>
          </w:p>
          <w:p w:rsidR="00025949" w:rsidRDefault="00025949" w:rsidP="00025949">
            <w:r w:rsidRPr="00420406">
              <w:t>§ 10.22</w:t>
            </w:r>
          </w:p>
          <w:p w:rsidR="00025949" w:rsidRPr="00200420" w:rsidRDefault="00025949" w:rsidP="00025949"/>
        </w:tc>
      </w:tr>
      <w:tr w:rsidR="00C431BD" w:rsidRPr="00200420" w:rsidTr="007A25A1">
        <w:tc>
          <w:tcPr>
            <w:tcW w:w="810" w:type="dxa"/>
          </w:tcPr>
          <w:p w:rsidR="00C431BD" w:rsidRPr="00200420" w:rsidRDefault="00C431BD" w:rsidP="007C3DA0">
            <w:pPr>
              <w:jc w:val="center"/>
            </w:pPr>
            <w:r>
              <w:t>6.1</w:t>
            </w:r>
          </w:p>
        </w:tc>
        <w:tc>
          <w:tcPr>
            <w:tcW w:w="6030" w:type="dxa"/>
          </w:tcPr>
          <w:p w:rsidR="00025949" w:rsidRPr="00B85BC2" w:rsidRDefault="00025949" w:rsidP="00025949">
            <w:r>
              <w:t>C</w:t>
            </w:r>
            <w:r w:rsidRPr="00B85BC2">
              <w:t>HAPTER 15</w:t>
            </w:r>
          </w:p>
          <w:p w:rsidR="00025949" w:rsidRPr="00B85BC2" w:rsidRDefault="00025949" w:rsidP="00025949">
            <w:pPr>
              <w:pStyle w:val="ListParagraph"/>
              <w:numPr>
                <w:ilvl w:val="0"/>
                <w:numId w:val="62"/>
              </w:numPr>
            </w:pPr>
            <w:r w:rsidRPr="00B85BC2">
              <w:t xml:space="preserve">Materiality </w:t>
            </w:r>
          </w:p>
          <w:p w:rsidR="00025949" w:rsidRPr="00025949" w:rsidRDefault="00025949" w:rsidP="00025949">
            <w:pPr>
              <w:pStyle w:val="ListParagraph"/>
              <w:numPr>
                <w:ilvl w:val="0"/>
                <w:numId w:val="19"/>
              </w:numPr>
              <w:rPr>
                <w:i/>
              </w:rPr>
            </w:pPr>
            <w:r w:rsidRPr="00025949">
              <w:rPr>
                <w:i/>
              </w:rPr>
              <w:t>Gantler v. Stephens</w:t>
            </w:r>
            <w:r w:rsidRPr="00B85BC2">
              <w:t xml:space="preserve"> </w:t>
            </w:r>
          </w:p>
          <w:p w:rsidR="00025949" w:rsidRPr="00B85BC2" w:rsidRDefault="00025949" w:rsidP="00A75AB9">
            <w:pPr>
              <w:pStyle w:val="ListParagraph"/>
              <w:numPr>
                <w:ilvl w:val="0"/>
                <w:numId w:val="62"/>
              </w:numPr>
            </w:pPr>
            <w:r w:rsidRPr="00B85BC2">
              <w:t xml:space="preserve">Causation </w:t>
            </w:r>
          </w:p>
          <w:p w:rsidR="00025949" w:rsidRPr="00915346" w:rsidRDefault="00025949" w:rsidP="00025949">
            <w:pPr>
              <w:pStyle w:val="ListParagraph"/>
              <w:numPr>
                <w:ilvl w:val="0"/>
                <w:numId w:val="20"/>
              </w:numPr>
            </w:pPr>
            <w:r w:rsidRPr="00D03CED">
              <w:rPr>
                <w:i/>
              </w:rPr>
              <w:t xml:space="preserve">Mills v. Electric Auto-Lite Co. </w:t>
            </w:r>
          </w:p>
          <w:p w:rsidR="00025949" w:rsidRDefault="00025949" w:rsidP="00025949">
            <w:pPr>
              <w:pStyle w:val="ListParagraph"/>
              <w:numPr>
                <w:ilvl w:val="0"/>
                <w:numId w:val="20"/>
              </w:numPr>
            </w:pPr>
            <w:r w:rsidRPr="00D03CED">
              <w:rPr>
                <w:i/>
              </w:rPr>
              <w:t xml:space="preserve">Virginia Bankshares, Inc. v. Sandberg </w:t>
            </w:r>
          </w:p>
          <w:p w:rsidR="00C431BD" w:rsidRDefault="00025949" w:rsidP="00A75AB9">
            <w:pPr>
              <w:pStyle w:val="ListParagraph"/>
              <w:numPr>
                <w:ilvl w:val="0"/>
                <w:numId w:val="62"/>
              </w:numPr>
            </w:pPr>
            <w:r>
              <w:t>Culpability in proxy fraud action</w:t>
            </w:r>
          </w:p>
          <w:p w:rsidR="00025949" w:rsidRDefault="00025949" w:rsidP="00A75AB9">
            <w:pPr>
              <w:pStyle w:val="ListParagraph"/>
              <w:numPr>
                <w:ilvl w:val="0"/>
                <w:numId w:val="62"/>
              </w:numPr>
            </w:pPr>
            <w:r>
              <w:t xml:space="preserve">Duty of disclosure under state law </w:t>
            </w:r>
          </w:p>
          <w:p w:rsidR="00A75AB9" w:rsidRPr="00A75AB9" w:rsidRDefault="00A75AB9" w:rsidP="00A75AB9">
            <w:pPr>
              <w:pStyle w:val="ListParagraph"/>
              <w:numPr>
                <w:ilvl w:val="0"/>
                <w:numId w:val="63"/>
              </w:numPr>
              <w:rPr>
                <w:i/>
              </w:rPr>
            </w:pPr>
            <w:r w:rsidRPr="00A75AB9">
              <w:rPr>
                <w:i/>
              </w:rPr>
              <w:t>Malone v. Brincat</w:t>
            </w:r>
          </w:p>
          <w:p w:rsidR="00025949" w:rsidRDefault="00025949" w:rsidP="00025949">
            <w:pPr>
              <w:pStyle w:val="ListParagraph"/>
              <w:ind w:left="360"/>
            </w:pPr>
          </w:p>
          <w:p w:rsidR="00A75AB9" w:rsidRDefault="00A75AB9" w:rsidP="00025949">
            <w:pPr>
              <w:pStyle w:val="ListParagraph"/>
              <w:ind w:left="360"/>
            </w:pPr>
          </w:p>
          <w:p w:rsidR="00A75AB9" w:rsidRDefault="00A75AB9" w:rsidP="00025949">
            <w:pPr>
              <w:pStyle w:val="ListParagraph"/>
              <w:ind w:left="360"/>
            </w:pPr>
          </w:p>
          <w:p w:rsidR="00A75AB9" w:rsidRPr="00200420" w:rsidRDefault="00A75AB9" w:rsidP="00025949">
            <w:pPr>
              <w:pStyle w:val="ListParagraph"/>
              <w:ind w:left="360"/>
            </w:pPr>
          </w:p>
        </w:tc>
        <w:tc>
          <w:tcPr>
            <w:tcW w:w="1350" w:type="dxa"/>
          </w:tcPr>
          <w:p w:rsidR="00025949" w:rsidRDefault="00A75AB9" w:rsidP="00025949">
            <w:pPr>
              <w:jc w:val="center"/>
            </w:pPr>
            <w:r>
              <w:t>631</w:t>
            </w:r>
            <w:r w:rsidR="00025949">
              <w:t>-62</w:t>
            </w:r>
          </w:p>
          <w:p w:rsidR="00C431BD" w:rsidRDefault="00C431BD" w:rsidP="004F42E9">
            <w:pPr>
              <w:jc w:val="center"/>
            </w:pPr>
          </w:p>
          <w:p w:rsidR="00C431BD" w:rsidRPr="00200420" w:rsidRDefault="00C431BD" w:rsidP="00C05FAE">
            <w:pPr>
              <w:jc w:val="center"/>
            </w:pPr>
          </w:p>
        </w:tc>
        <w:tc>
          <w:tcPr>
            <w:tcW w:w="1265" w:type="dxa"/>
          </w:tcPr>
          <w:p w:rsidR="00C431BD" w:rsidRPr="00200420" w:rsidRDefault="00C431BD" w:rsidP="00C05FAE"/>
        </w:tc>
      </w:tr>
      <w:tr w:rsidR="00C431BD" w:rsidRPr="00200420" w:rsidTr="007A25A1">
        <w:tc>
          <w:tcPr>
            <w:tcW w:w="810" w:type="dxa"/>
          </w:tcPr>
          <w:p w:rsidR="00C431BD" w:rsidRPr="00200420" w:rsidRDefault="00C431BD" w:rsidP="007C3DA0">
            <w:pPr>
              <w:jc w:val="center"/>
            </w:pPr>
            <w:r>
              <w:lastRenderedPageBreak/>
              <w:t>6.2</w:t>
            </w:r>
          </w:p>
        </w:tc>
        <w:tc>
          <w:tcPr>
            <w:tcW w:w="6030" w:type="dxa"/>
          </w:tcPr>
          <w:p w:rsidR="00A75AB9" w:rsidRDefault="00A75AB9" w:rsidP="00A75AB9">
            <w:r>
              <w:t>CHAPTER 16</w:t>
            </w:r>
          </w:p>
          <w:p w:rsidR="00A75AB9" w:rsidRDefault="00A75AB9" w:rsidP="00A75AB9">
            <w:pPr>
              <w:pStyle w:val="ListParagraph"/>
              <w:numPr>
                <w:ilvl w:val="0"/>
                <w:numId w:val="31"/>
              </w:numPr>
            </w:pPr>
            <w:r>
              <w:t xml:space="preserve">Introduction </w:t>
            </w:r>
          </w:p>
          <w:p w:rsidR="00A75AB9" w:rsidRPr="00A75AB9" w:rsidRDefault="00A75AB9" w:rsidP="00A75AB9">
            <w:pPr>
              <w:pStyle w:val="ListParagraph"/>
              <w:numPr>
                <w:ilvl w:val="0"/>
                <w:numId w:val="63"/>
              </w:numPr>
              <w:rPr>
                <w:i/>
              </w:rPr>
            </w:pPr>
            <w:r w:rsidRPr="00A75AB9">
              <w:rPr>
                <w:i/>
              </w:rPr>
              <w:t xml:space="preserve">Tooley v. Donaldson, Lufkin &amp; Jenrette </w:t>
            </w:r>
          </w:p>
          <w:p w:rsidR="00A75AB9" w:rsidRDefault="00A75AB9" w:rsidP="00A75AB9">
            <w:pPr>
              <w:pStyle w:val="ListParagraph"/>
              <w:numPr>
                <w:ilvl w:val="0"/>
                <w:numId w:val="31"/>
              </w:numPr>
            </w:pPr>
            <w:r>
              <w:t xml:space="preserve">Who qualifies as a plaintiff? </w:t>
            </w:r>
          </w:p>
          <w:p w:rsidR="00A75AB9" w:rsidRPr="00A75AB9" w:rsidRDefault="00A75AB9" w:rsidP="00A75AB9">
            <w:pPr>
              <w:pStyle w:val="ListParagraph"/>
              <w:numPr>
                <w:ilvl w:val="0"/>
                <w:numId w:val="63"/>
              </w:numPr>
              <w:rPr>
                <w:i/>
              </w:rPr>
            </w:pPr>
            <w:r w:rsidRPr="00A75AB9">
              <w:rPr>
                <w:i/>
              </w:rPr>
              <w:t xml:space="preserve">In re Fuqua Industries </w:t>
            </w:r>
          </w:p>
          <w:p w:rsidR="00AF7299" w:rsidRDefault="00A75AB9" w:rsidP="00A75AB9">
            <w:pPr>
              <w:pStyle w:val="ListParagraph"/>
              <w:numPr>
                <w:ilvl w:val="0"/>
                <w:numId w:val="31"/>
              </w:numPr>
            </w:pPr>
            <w:r>
              <w:t>The demand requirement</w:t>
            </w:r>
          </w:p>
          <w:p w:rsidR="00A75AB9" w:rsidRPr="00A75AB9" w:rsidRDefault="00A75AB9" w:rsidP="00A75AB9">
            <w:pPr>
              <w:pStyle w:val="ListParagraph"/>
              <w:numPr>
                <w:ilvl w:val="0"/>
                <w:numId w:val="63"/>
              </w:numPr>
              <w:rPr>
                <w:i/>
              </w:rPr>
            </w:pPr>
            <w:r w:rsidRPr="00A75AB9">
              <w:rPr>
                <w:i/>
              </w:rPr>
              <w:t xml:space="preserve">Aronson v. Lewis </w:t>
            </w:r>
          </w:p>
          <w:p w:rsidR="00A75AB9" w:rsidRPr="00A75AB9" w:rsidRDefault="00A75AB9" w:rsidP="00A75AB9">
            <w:pPr>
              <w:pStyle w:val="ListParagraph"/>
              <w:numPr>
                <w:ilvl w:val="0"/>
                <w:numId w:val="63"/>
              </w:numPr>
              <w:rPr>
                <w:i/>
              </w:rPr>
            </w:pPr>
            <w:r w:rsidRPr="00A75AB9">
              <w:rPr>
                <w:i/>
              </w:rPr>
              <w:t>Rales v. Blasband</w:t>
            </w:r>
          </w:p>
          <w:p w:rsidR="00A75AB9" w:rsidRPr="00A75AB9" w:rsidRDefault="00A75AB9" w:rsidP="00A75AB9">
            <w:pPr>
              <w:pStyle w:val="ListParagraph"/>
              <w:numPr>
                <w:ilvl w:val="0"/>
                <w:numId w:val="63"/>
              </w:numPr>
              <w:rPr>
                <w:i/>
              </w:rPr>
            </w:pPr>
            <w:r w:rsidRPr="00A75AB9">
              <w:rPr>
                <w:i/>
              </w:rPr>
              <w:t>Einhorn v. Culea</w:t>
            </w:r>
          </w:p>
          <w:p w:rsidR="00A75AB9" w:rsidRPr="00200420" w:rsidRDefault="00A75AB9" w:rsidP="00A75AB9"/>
        </w:tc>
        <w:tc>
          <w:tcPr>
            <w:tcW w:w="1350" w:type="dxa"/>
          </w:tcPr>
          <w:p w:rsidR="00A75AB9" w:rsidRDefault="00A75AB9" w:rsidP="00A75AB9">
            <w:pPr>
              <w:jc w:val="center"/>
            </w:pPr>
            <w:r>
              <w:t>663-66</w:t>
            </w:r>
          </w:p>
          <w:p w:rsidR="00341C33" w:rsidRPr="00200420" w:rsidRDefault="00A75AB9" w:rsidP="00A75AB9">
            <w:pPr>
              <w:jc w:val="center"/>
            </w:pPr>
            <w:r>
              <w:t>670-98</w:t>
            </w:r>
          </w:p>
        </w:tc>
        <w:tc>
          <w:tcPr>
            <w:tcW w:w="1265" w:type="dxa"/>
          </w:tcPr>
          <w:p w:rsidR="00A75AB9" w:rsidRDefault="00A75AB9" w:rsidP="00A75AB9">
            <w:pPr>
              <w:pStyle w:val="ListParagraph"/>
              <w:ind w:left="0"/>
            </w:pPr>
            <w:r>
              <w:t xml:space="preserve">MBCA </w:t>
            </w:r>
          </w:p>
          <w:p w:rsidR="00A75AB9" w:rsidRDefault="00A75AB9" w:rsidP="00A75AB9">
            <w:pPr>
              <w:pStyle w:val="ListParagraph"/>
              <w:ind w:left="0"/>
            </w:pPr>
            <w:r>
              <w:t>§ 7.41</w:t>
            </w:r>
            <w:r w:rsidRPr="00420406">
              <w:t xml:space="preserve"> </w:t>
            </w:r>
            <w:r>
              <w:t xml:space="preserve">to </w:t>
            </w:r>
          </w:p>
          <w:p w:rsidR="00C431BD" w:rsidRPr="00200420" w:rsidRDefault="00A75AB9" w:rsidP="00A75AB9">
            <w:r w:rsidRPr="00420406">
              <w:t>§ 7.46</w:t>
            </w:r>
          </w:p>
        </w:tc>
      </w:tr>
      <w:tr w:rsidR="00C431BD" w:rsidRPr="00200420" w:rsidTr="007A25A1">
        <w:tc>
          <w:tcPr>
            <w:tcW w:w="810" w:type="dxa"/>
            <w:shd w:val="clear" w:color="auto" w:fill="D9D9D9" w:themeFill="background1" w:themeFillShade="D9"/>
          </w:tcPr>
          <w:p w:rsidR="00C431BD" w:rsidRPr="00200420" w:rsidRDefault="00C431BD" w:rsidP="007C3DA0">
            <w:pPr>
              <w:jc w:val="center"/>
            </w:pPr>
            <w:r>
              <w:t>7.1</w:t>
            </w:r>
          </w:p>
        </w:tc>
        <w:tc>
          <w:tcPr>
            <w:tcW w:w="6030" w:type="dxa"/>
            <w:shd w:val="clear" w:color="auto" w:fill="D9D9D9" w:themeFill="background1" w:themeFillShade="D9"/>
          </w:tcPr>
          <w:p w:rsidR="00501665" w:rsidRDefault="00C431BD" w:rsidP="00A75AB9">
            <w:r>
              <w:t xml:space="preserve"> </w:t>
            </w:r>
            <w:r w:rsidR="00114D61">
              <w:t xml:space="preserve">CHAPTER 16 </w:t>
            </w:r>
          </w:p>
          <w:p w:rsidR="00114D61" w:rsidRDefault="00114D61" w:rsidP="00114D61">
            <w:pPr>
              <w:pStyle w:val="ListParagraph"/>
              <w:numPr>
                <w:ilvl w:val="0"/>
                <w:numId w:val="33"/>
              </w:numPr>
            </w:pPr>
            <w:r>
              <w:t xml:space="preserve">Inspection of books and records </w:t>
            </w:r>
          </w:p>
          <w:p w:rsidR="00114D61" w:rsidRDefault="00114D61" w:rsidP="00114D61">
            <w:pPr>
              <w:pStyle w:val="ListParagraph"/>
              <w:numPr>
                <w:ilvl w:val="0"/>
                <w:numId w:val="34"/>
              </w:numPr>
            </w:pPr>
            <w:r w:rsidRPr="00090AB1">
              <w:rPr>
                <w:i/>
              </w:rPr>
              <w:t>Saito v. McKesson HBOC, Inc</w:t>
            </w:r>
            <w:r>
              <w:t xml:space="preserve">. </w:t>
            </w:r>
          </w:p>
          <w:p w:rsidR="00114D61" w:rsidRDefault="00114D61" w:rsidP="00114D61">
            <w:pPr>
              <w:pStyle w:val="ListParagraph"/>
              <w:numPr>
                <w:ilvl w:val="0"/>
                <w:numId w:val="34"/>
              </w:numPr>
            </w:pPr>
            <w:r w:rsidRPr="00090AB1">
              <w:rPr>
                <w:i/>
              </w:rPr>
              <w:t>Seinfeld v. Verizon Communications, Inc</w:t>
            </w:r>
            <w:r>
              <w:t xml:space="preserve">. </w:t>
            </w:r>
          </w:p>
          <w:p w:rsidR="00114D61" w:rsidRDefault="00114D61" w:rsidP="00114D61">
            <w:pPr>
              <w:pStyle w:val="ListParagraph"/>
              <w:numPr>
                <w:ilvl w:val="0"/>
                <w:numId w:val="33"/>
              </w:numPr>
            </w:pPr>
            <w:r>
              <w:t xml:space="preserve">Bylaws dealing with derivative litigation </w:t>
            </w:r>
          </w:p>
          <w:p w:rsidR="00114D61" w:rsidRDefault="00114D61" w:rsidP="00114D61">
            <w:pPr>
              <w:pStyle w:val="ListParagraph"/>
              <w:numPr>
                <w:ilvl w:val="0"/>
                <w:numId w:val="33"/>
              </w:numPr>
            </w:pPr>
            <w:r>
              <w:t xml:space="preserve">Termination when demand is excused </w:t>
            </w:r>
          </w:p>
          <w:p w:rsidR="00114D61" w:rsidRDefault="00114D61" w:rsidP="00114D61">
            <w:pPr>
              <w:pStyle w:val="ListParagraph"/>
              <w:numPr>
                <w:ilvl w:val="0"/>
                <w:numId w:val="33"/>
              </w:numPr>
            </w:pPr>
            <w:r>
              <w:t xml:space="preserve">On the independence of directors </w:t>
            </w:r>
          </w:p>
          <w:p w:rsidR="00114D61" w:rsidRPr="00090AB1" w:rsidRDefault="00114D61" w:rsidP="00114D61">
            <w:pPr>
              <w:pStyle w:val="ListParagraph"/>
              <w:numPr>
                <w:ilvl w:val="0"/>
                <w:numId w:val="35"/>
              </w:numPr>
              <w:rPr>
                <w:i/>
              </w:rPr>
            </w:pPr>
            <w:r w:rsidRPr="00090AB1">
              <w:rPr>
                <w:i/>
              </w:rPr>
              <w:t xml:space="preserve">Orman v. Cullman </w:t>
            </w:r>
          </w:p>
          <w:p w:rsidR="00114D61" w:rsidRPr="00090AB1" w:rsidRDefault="00114D61" w:rsidP="00114D61">
            <w:pPr>
              <w:pStyle w:val="ListParagraph"/>
              <w:numPr>
                <w:ilvl w:val="0"/>
                <w:numId w:val="35"/>
              </w:numPr>
              <w:rPr>
                <w:i/>
              </w:rPr>
            </w:pPr>
            <w:r w:rsidRPr="00090AB1">
              <w:rPr>
                <w:i/>
              </w:rPr>
              <w:t xml:space="preserve">In re eBay, Inc. Shareholder Litigation </w:t>
            </w:r>
          </w:p>
          <w:p w:rsidR="00114D61" w:rsidRDefault="00114D61" w:rsidP="00114D61">
            <w:pPr>
              <w:pStyle w:val="ListParagraph"/>
              <w:numPr>
                <w:ilvl w:val="0"/>
                <w:numId w:val="33"/>
              </w:numPr>
            </w:pPr>
            <w:r>
              <w:t>Settlement and attorneys’ fees</w:t>
            </w:r>
          </w:p>
          <w:p w:rsidR="00114D61" w:rsidRPr="00B85BC2" w:rsidRDefault="00114D61" w:rsidP="00114D61">
            <w:pPr>
              <w:pStyle w:val="ListParagraph"/>
              <w:ind w:left="360"/>
            </w:pPr>
          </w:p>
        </w:tc>
        <w:tc>
          <w:tcPr>
            <w:tcW w:w="1350" w:type="dxa"/>
            <w:shd w:val="clear" w:color="auto" w:fill="D9D9D9" w:themeFill="background1" w:themeFillShade="D9"/>
          </w:tcPr>
          <w:p w:rsidR="00114D61" w:rsidRDefault="00114D61" w:rsidP="00114D61">
            <w:pPr>
              <w:jc w:val="center"/>
            </w:pPr>
            <w:r>
              <w:t>698-713</w:t>
            </w:r>
          </w:p>
          <w:p w:rsidR="00114D61" w:rsidRDefault="00114D61" w:rsidP="00114D61">
            <w:pPr>
              <w:jc w:val="center"/>
            </w:pPr>
            <w:r>
              <w:t>713-15</w:t>
            </w:r>
          </w:p>
          <w:p w:rsidR="00C431BD" w:rsidRPr="00200420" w:rsidRDefault="00114D61" w:rsidP="00114D61">
            <w:pPr>
              <w:jc w:val="center"/>
            </w:pPr>
            <w:r>
              <w:t>738-45</w:t>
            </w:r>
          </w:p>
        </w:tc>
        <w:tc>
          <w:tcPr>
            <w:tcW w:w="1265" w:type="dxa"/>
            <w:shd w:val="clear" w:color="auto" w:fill="D9D9D9" w:themeFill="background1" w:themeFillShade="D9"/>
          </w:tcPr>
          <w:p w:rsidR="00114D61" w:rsidRDefault="00114D61" w:rsidP="00114D61">
            <w:r>
              <w:t xml:space="preserve">DGCL </w:t>
            </w:r>
          </w:p>
          <w:p w:rsidR="00114D61" w:rsidRDefault="00114D61" w:rsidP="00114D61">
            <w:r>
              <w:t>§ 220</w:t>
            </w:r>
          </w:p>
          <w:p w:rsidR="00114D61" w:rsidRDefault="00114D61" w:rsidP="00114D61">
            <w:r>
              <w:t>§ 102(f)</w:t>
            </w:r>
          </w:p>
          <w:p w:rsidR="00C431BD" w:rsidRPr="00200420" w:rsidRDefault="00114D61" w:rsidP="00114D61">
            <w:r>
              <w:t xml:space="preserve">§ 109(b)  </w:t>
            </w:r>
          </w:p>
        </w:tc>
      </w:tr>
      <w:tr w:rsidR="00C431BD" w:rsidRPr="00200420" w:rsidTr="007A25A1">
        <w:tc>
          <w:tcPr>
            <w:tcW w:w="810" w:type="dxa"/>
            <w:shd w:val="clear" w:color="auto" w:fill="D9D9D9" w:themeFill="background1" w:themeFillShade="D9"/>
          </w:tcPr>
          <w:p w:rsidR="00C431BD" w:rsidRPr="00200420" w:rsidRDefault="00C431BD" w:rsidP="007C3DA0">
            <w:pPr>
              <w:jc w:val="center"/>
            </w:pPr>
            <w:r>
              <w:t>7.2</w:t>
            </w:r>
          </w:p>
        </w:tc>
        <w:tc>
          <w:tcPr>
            <w:tcW w:w="6030" w:type="dxa"/>
            <w:shd w:val="clear" w:color="auto" w:fill="D9D9D9" w:themeFill="background1" w:themeFillShade="D9"/>
          </w:tcPr>
          <w:p w:rsidR="00476F0A" w:rsidRPr="003D3652" w:rsidRDefault="00476F0A" w:rsidP="00476F0A">
            <w:pPr>
              <w:jc w:val="both"/>
            </w:pPr>
            <w:r w:rsidRPr="003D3652">
              <w:t>CHAPTER 17</w:t>
            </w:r>
          </w:p>
          <w:p w:rsidR="00476F0A" w:rsidRPr="003D3652" w:rsidRDefault="00476F0A" w:rsidP="00476F0A">
            <w:pPr>
              <w:pStyle w:val="ListParagraph"/>
              <w:numPr>
                <w:ilvl w:val="0"/>
                <w:numId w:val="24"/>
              </w:numPr>
              <w:jc w:val="both"/>
            </w:pPr>
            <w:r>
              <w:t>Fiduciary duties and standard</w:t>
            </w:r>
            <w:r w:rsidRPr="003D3652">
              <w:t xml:space="preserve"> of care </w:t>
            </w:r>
          </w:p>
          <w:p w:rsidR="00476F0A" w:rsidRPr="003D3652" w:rsidRDefault="00476F0A" w:rsidP="00476F0A">
            <w:pPr>
              <w:pStyle w:val="ListParagraph"/>
              <w:numPr>
                <w:ilvl w:val="0"/>
                <w:numId w:val="24"/>
              </w:numPr>
              <w:jc w:val="both"/>
            </w:pPr>
            <w:r w:rsidRPr="003D3652">
              <w:t>Business judgment rule</w:t>
            </w:r>
          </w:p>
          <w:p w:rsidR="00476F0A" w:rsidRPr="003D3652" w:rsidRDefault="00476F0A" w:rsidP="00476F0A">
            <w:pPr>
              <w:pStyle w:val="ListParagraph"/>
              <w:numPr>
                <w:ilvl w:val="0"/>
                <w:numId w:val="21"/>
              </w:numPr>
              <w:jc w:val="both"/>
              <w:rPr>
                <w:i/>
              </w:rPr>
            </w:pPr>
            <w:r w:rsidRPr="003D3652">
              <w:rPr>
                <w:i/>
              </w:rPr>
              <w:t xml:space="preserve">Shlensky v. Wrigley </w:t>
            </w:r>
          </w:p>
          <w:p w:rsidR="00D04626" w:rsidRPr="00476F0A" w:rsidRDefault="00476F0A" w:rsidP="00476F0A">
            <w:pPr>
              <w:pStyle w:val="ListParagraph"/>
              <w:numPr>
                <w:ilvl w:val="0"/>
                <w:numId w:val="21"/>
              </w:numPr>
            </w:pPr>
            <w:r w:rsidRPr="00476F0A">
              <w:rPr>
                <w:i/>
              </w:rPr>
              <w:t>In re Walt Disney Derivative Litigation</w:t>
            </w:r>
          </w:p>
          <w:p w:rsidR="00476F0A" w:rsidRPr="00200420" w:rsidRDefault="00476F0A" w:rsidP="00476F0A"/>
        </w:tc>
        <w:tc>
          <w:tcPr>
            <w:tcW w:w="1350" w:type="dxa"/>
            <w:shd w:val="clear" w:color="auto" w:fill="D9D9D9" w:themeFill="background1" w:themeFillShade="D9"/>
          </w:tcPr>
          <w:p w:rsidR="00B85BC2" w:rsidRPr="00200420" w:rsidRDefault="00476F0A" w:rsidP="007C3DA0">
            <w:pPr>
              <w:jc w:val="center"/>
            </w:pPr>
            <w:r>
              <w:t>748-68</w:t>
            </w:r>
          </w:p>
        </w:tc>
        <w:tc>
          <w:tcPr>
            <w:tcW w:w="1265" w:type="dxa"/>
            <w:shd w:val="clear" w:color="auto" w:fill="D9D9D9" w:themeFill="background1" w:themeFillShade="D9"/>
          </w:tcPr>
          <w:p w:rsidR="00476F0A" w:rsidRDefault="00476F0A" w:rsidP="00476F0A">
            <w:r>
              <w:t xml:space="preserve">MBCA </w:t>
            </w:r>
          </w:p>
          <w:p w:rsidR="00476F0A" w:rsidRDefault="00476F0A" w:rsidP="00476F0A">
            <w:r>
              <w:t>§ 8.30</w:t>
            </w:r>
          </w:p>
          <w:p w:rsidR="00C431BD" w:rsidRPr="00200420" w:rsidRDefault="00476F0A" w:rsidP="00476F0A">
            <w:pPr>
              <w:pStyle w:val="ListParagraph"/>
              <w:ind w:left="0"/>
            </w:pPr>
            <w:r>
              <w:t>§ 8.31</w:t>
            </w:r>
          </w:p>
        </w:tc>
      </w:tr>
      <w:tr w:rsidR="00C431BD" w:rsidRPr="00200420" w:rsidTr="007A25A1">
        <w:tc>
          <w:tcPr>
            <w:tcW w:w="810" w:type="dxa"/>
          </w:tcPr>
          <w:p w:rsidR="00C431BD" w:rsidRPr="00200420" w:rsidRDefault="00C431BD" w:rsidP="007C3DA0">
            <w:pPr>
              <w:jc w:val="center"/>
            </w:pPr>
            <w:r>
              <w:t>8.1</w:t>
            </w:r>
          </w:p>
        </w:tc>
        <w:tc>
          <w:tcPr>
            <w:tcW w:w="6030" w:type="dxa"/>
          </w:tcPr>
          <w:p w:rsidR="00476F0A" w:rsidRDefault="00476F0A" w:rsidP="00476F0A">
            <w:r>
              <w:t>CHAPTER 17</w:t>
            </w:r>
          </w:p>
          <w:p w:rsidR="00476F0A" w:rsidRDefault="00476F0A" w:rsidP="00476F0A">
            <w:pPr>
              <w:pStyle w:val="ListParagraph"/>
              <w:numPr>
                <w:ilvl w:val="0"/>
                <w:numId w:val="36"/>
              </w:numPr>
            </w:pPr>
            <w:r>
              <w:t xml:space="preserve">Duty of oversight </w:t>
            </w:r>
          </w:p>
          <w:p w:rsidR="00476F0A" w:rsidRPr="006A5F45" w:rsidRDefault="00476F0A" w:rsidP="00476F0A">
            <w:pPr>
              <w:pStyle w:val="ListParagraph"/>
              <w:numPr>
                <w:ilvl w:val="0"/>
                <w:numId w:val="37"/>
              </w:numPr>
              <w:rPr>
                <w:i/>
              </w:rPr>
            </w:pPr>
            <w:r w:rsidRPr="006A5F45">
              <w:rPr>
                <w:i/>
              </w:rPr>
              <w:t xml:space="preserve">Francis v. United Jersey Bank </w:t>
            </w:r>
          </w:p>
          <w:p w:rsidR="00476F0A" w:rsidRDefault="00476F0A" w:rsidP="00476F0A">
            <w:pPr>
              <w:pStyle w:val="ListParagraph"/>
              <w:numPr>
                <w:ilvl w:val="0"/>
                <w:numId w:val="37"/>
              </w:numPr>
              <w:rPr>
                <w:i/>
              </w:rPr>
            </w:pPr>
            <w:r w:rsidRPr="006A5F45">
              <w:rPr>
                <w:i/>
              </w:rPr>
              <w:t xml:space="preserve">In re Caremark Int’l Inc. Derivative Litigation </w:t>
            </w:r>
          </w:p>
          <w:p w:rsidR="00285516" w:rsidRPr="00476F0A" w:rsidRDefault="00476F0A" w:rsidP="00476F0A">
            <w:pPr>
              <w:pStyle w:val="ListParagraph"/>
              <w:numPr>
                <w:ilvl w:val="0"/>
                <w:numId w:val="37"/>
              </w:numPr>
              <w:rPr>
                <w:i/>
              </w:rPr>
            </w:pPr>
            <w:r w:rsidRPr="00476F0A">
              <w:rPr>
                <w:i/>
              </w:rPr>
              <w:t>In re Citigroup Inc. Derivative Litigation</w:t>
            </w:r>
          </w:p>
        </w:tc>
        <w:tc>
          <w:tcPr>
            <w:tcW w:w="1350" w:type="dxa"/>
          </w:tcPr>
          <w:p w:rsidR="00764639" w:rsidRPr="00200420" w:rsidRDefault="00476F0A" w:rsidP="00915346">
            <w:pPr>
              <w:jc w:val="center"/>
            </w:pPr>
            <w:r>
              <w:t>769-98</w:t>
            </w:r>
          </w:p>
        </w:tc>
        <w:tc>
          <w:tcPr>
            <w:tcW w:w="1265" w:type="dxa"/>
          </w:tcPr>
          <w:p w:rsidR="00C431BD" w:rsidRPr="00200420" w:rsidRDefault="00521542" w:rsidP="0019648E">
            <w:r>
              <w:t xml:space="preserve"> </w:t>
            </w:r>
          </w:p>
        </w:tc>
      </w:tr>
      <w:tr w:rsidR="00C431BD" w:rsidRPr="00200420" w:rsidTr="007A25A1">
        <w:tc>
          <w:tcPr>
            <w:tcW w:w="810" w:type="dxa"/>
          </w:tcPr>
          <w:p w:rsidR="00C431BD" w:rsidRPr="00200420" w:rsidRDefault="00C431BD" w:rsidP="007C3DA0">
            <w:pPr>
              <w:jc w:val="center"/>
            </w:pPr>
            <w:r>
              <w:t>8.2</w:t>
            </w:r>
          </w:p>
        </w:tc>
        <w:tc>
          <w:tcPr>
            <w:tcW w:w="6030" w:type="dxa"/>
          </w:tcPr>
          <w:p w:rsidR="00476F0A" w:rsidRDefault="003D3652" w:rsidP="00476F0A">
            <w:r w:rsidRPr="00476F0A">
              <w:rPr>
                <w:i/>
              </w:rPr>
              <w:t xml:space="preserve"> </w:t>
            </w:r>
            <w:r w:rsidR="00476F0A">
              <w:t>CHAPTER 17</w:t>
            </w:r>
          </w:p>
          <w:p w:rsidR="00476F0A" w:rsidRDefault="00476F0A" w:rsidP="00476F0A">
            <w:pPr>
              <w:pStyle w:val="ListParagraph"/>
              <w:numPr>
                <w:ilvl w:val="0"/>
                <w:numId w:val="38"/>
              </w:numPr>
            </w:pPr>
            <w:r>
              <w:t xml:space="preserve">Duty to become informed </w:t>
            </w:r>
          </w:p>
          <w:p w:rsidR="00476F0A" w:rsidRPr="009B42D6" w:rsidRDefault="00476F0A" w:rsidP="00476F0A">
            <w:pPr>
              <w:pStyle w:val="ListParagraph"/>
              <w:numPr>
                <w:ilvl w:val="0"/>
                <w:numId w:val="39"/>
              </w:numPr>
              <w:rPr>
                <w:i/>
              </w:rPr>
            </w:pPr>
            <w:r>
              <w:rPr>
                <w:i/>
              </w:rPr>
              <w:t>Smith v. Van Gorkom</w:t>
            </w:r>
            <w:r>
              <w:t xml:space="preserve"> </w:t>
            </w:r>
          </w:p>
          <w:p w:rsidR="00C431BD" w:rsidRPr="00476F0A" w:rsidRDefault="00476F0A" w:rsidP="00476F0A">
            <w:pPr>
              <w:pStyle w:val="ListParagraph"/>
              <w:numPr>
                <w:ilvl w:val="0"/>
                <w:numId w:val="38"/>
              </w:numPr>
              <w:jc w:val="both"/>
              <w:rPr>
                <w:i/>
              </w:rPr>
            </w:pPr>
            <w:r>
              <w:t>Avoidance of liability</w:t>
            </w:r>
          </w:p>
        </w:tc>
        <w:tc>
          <w:tcPr>
            <w:tcW w:w="1350" w:type="dxa"/>
          </w:tcPr>
          <w:p w:rsidR="00476F0A" w:rsidRDefault="00476F0A" w:rsidP="00476F0A">
            <w:pPr>
              <w:jc w:val="center"/>
            </w:pPr>
            <w:r>
              <w:t>799-828</w:t>
            </w:r>
          </w:p>
          <w:p w:rsidR="00476F0A" w:rsidRDefault="00476F0A" w:rsidP="00476F0A">
            <w:pPr>
              <w:jc w:val="center"/>
            </w:pPr>
            <w:r>
              <w:t>829-31</w:t>
            </w:r>
          </w:p>
          <w:p w:rsidR="00476F0A" w:rsidRDefault="00476F0A" w:rsidP="00476F0A">
            <w:pPr>
              <w:jc w:val="center"/>
            </w:pPr>
            <w:r>
              <w:t>832-39</w:t>
            </w:r>
          </w:p>
          <w:p w:rsidR="00C431BD" w:rsidRDefault="00476F0A" w:rsidP="00476F0A">
            <w:pPr>
              <w:jc w:val="center"/>
            </w:pPr>
            <w:r>
              <w:t>839-42</w:t>
            </w:r>
          </w:p>
          <w:p w:rsidR="00476F0A" w:rsidRPr="00200420" w:rsidRDefault="00476F0A" w:rsidP="00476F0A">
            <w:pPr>
              <w:jc w:val="center"/>
            </w:pPr>
          </w:p>
        </w:tc>
        <w:tc>
          <w:tcPr>
            <w:tcW w:w="1265" w:type="dxa"/>
          </w:tcPr>
          <w:p w:rsidR="00C431BD" w:rsidRPr="00200420" w:rsidRDefault="00C431BD" w:rsidP="007C3DA0"/>
        </w:tc>
      </w:tr>
      <w:tr w:rsidR="00C431BD" w:rsidRPr="00200420" w:rsidTr="007A25A1">
        <w:tc>
          <w:tcPr>
            <w:tcW w:w="810" w:type="dxa"/>
            <w:shd w:val="clear" w:color="auto" w:fill="D9D9D9" w:themeFill="background1" w:themeFillShade="D9"/>
          </w:tcPr>
          <w:p w:rsidR="00C431BD" w:rsidRPr="00200420" w:rsidRDefault="00C431BD" w:rsidP="007C3DA0">
            <w:pPr>
              <w:jc w:val="center"/>
            </w:pPr>
            <w:r>
              <w:t>9.1</w:t>
            </w:r>
          </w:p>
        </w:tc>
        <w:tc>
          <w:tcPr>
            <w:tcW w:w="6030" w:type="dxa"/>
            <w:shd w:val="clear" w:color="auto" w:fill="D9D9D9" w:themeFill="background1" w:themeFillShade="D9"/>
          </w:tcPr>
          <w:p w:rsidR="00476F0A" w:rsidRPr="003D3652" w:rsidRDefault="001574B3" w:rsidP="00476F0A">
            <w:pPr>
              <w:jc w:val="both"/>
            </w:pPr>
            <w:r w:rsidRPr="00476F0A">
              <w:rPr>
                <w:i/>
              </w:rPr>
              <w:t xml:space="preserve"> </w:t>
            </w:r>
            <w:r w:rsidR="00476F0A">
              <w:t>CHAPTER 18</w:t>
            </w:r>
          </w:p>
          <w:p w:rsidR="00476F0A" w:rsidRDefault="00476F0A" w:rsidP="00476F0A">
            <w:pPr>
              <w:pStyle w:val="ListParagraph"/>
              <w:numPr>
                <w:ilvl w:val="0"/>
                <w:numId w:val="41"/>
              </w:numPr>
              <w:jc w:val="both"/>
            </w:pPr>
            <w:r>
              <w:t xml:space="preserve">Director self-dealing and conflict of interest </w:t>
            </w:r>
          </w:p>
          <w:p w:rsidR="00476F0A" w:rsidRPr="006A5F45" w:rsidRDefault="00476F0A" w:rsidP="00476F0A">
            <w:pPr>
              <w:pStyle w:val="ListParagraph"/>
              <w:numPr>
                <w:ilvl w:val="0"/>
                <w:numId w:val="41"/>
              </w:numPr>
              <w:jc w:val="both"/>
              <w:rPr>
                <w:i/>
              </w:rPr>
            </w:pPr>
            <w:r w:rsidRPr="006A5F45">
              <w:rPr>
                <w:i/>
              </w:rPr>
              <w:t xml:space="preserve">Remillard Brick Co. v. Remillard-Dandini Co. </w:t>
            </w:r>
          </w:p>
          <w:p w:rsidR="00476F0A" w:rsidRDefault="00476F0A" w:rsidP="00476F0A">
            <w:pPr>
              <w:pStyle w:val="ListParagraph"/>
              <w:numPr>
                <w:ilvl w:val="0"/>
                <w:numId w:val="41"/>
              </w:numPr>
              <w:jc w:val="both"/>
              <w:rPr>
                <w:i/>
              </w:rPr>
            </w:pPr>
            <w:r w:rsidRPr="006A5F45">
              <w:rPr>
                <w:i/>
              </w:rPr>
              <w:t xml:space="preserve">Benihana of Tokyo, Inc. v. Benihana, Inc. </w:t>
            </w:r>
          </w:p>
          <w:p w:rsidR="001574B3" w:rsidRDefault="00476F0A" w:rsidP="00476F0A">
            <w:pPr>
              <w:pStyle w:val="ListParagraph"/>
              <w:numPr>
                <w:ilvl w:val="0"/>
                <w:numId w:val="41"/>
              </w:numPr>
              <w:jc w:val="both"/>
              <w:rPr>
                <w:i/>
              </w:rPr>
            </w:pPr>
            <w:r w:rsidRPr="00476F0A">
              <w:rPr>
                <w:i/>
              </w:rPr>
              <w:t>Lewis v. Vogelstein</w:t>
            </w:r>
          </w:p>
          <w:p w:rsidR="00476F0A" w:rsidRPr="006A5F45" w:rsidRDefault="00476F0A" w:rsidP="00476F0A">
            <w:pPr>
              <w:pStyle w:val="ListParagraph"/>
              <w:numPr>
                <w:ilvl w:val="0"/>
                <w:numId w:val="41"/>
              </w:numPr>
              <w:jc w:val="both"/>
              <w:rPr>
                <w:i/>
              </w:rPr>
            </w:pPr>
            <w:r w:rsidRPr="006A5F45">
              <w:rPr>
                <w:i/>
              </w:rPr>
              <w:t>Harbor Finance Partners v. Huizenga</w:t>
            </w:r>
          </w:p>
          <w:p w:rsidR="00476F0A" w:rsidRPr="00476F0A" w:rsidRDefault="00476F0A" w:rsidP="00476F0A">
            <w:pPr>
              <w:pStyle w:val="ListParagraph"/>
              <w:numPr>
                <w:ilvl w:val="0"/>
                <w:numId w:val="41"/>
              </w:numPr>
              <w:jc w:val="both"/>
            </w:pPr>
            <w:r w:rsidRPr="006A5F45">
              <w:rPr>
                <w:i/>
              </w:rPr>
              <w:t>Gantler v. Stephens</w:t>
            </w:r>
          </w:p>
          <w:p w:rsidR="00476F0A" w:rsidRDefault="00476F0A" w:rsidP="00476F0A">
            <w:pPr>
              <w:pStyle w:val="ListParagraph"/>
              <w:jc w:val="both"/>
              <w:rPr>
                <w:i/>
              </w:rPr>
            </w:pPr>
          </w:p>
          <w:p w:rsidR="00476F0A" w:rsidRDefault="00476F0A" w:rsidP="00476F0A">
            <w:pPr>
              <w:pStyle w:val="ListParagraph"/>
              <w:jc w:val="both"/>
              <w:rPr>
                <w:i/>
              </w:rPr>
            </w:pPr>
          </w:p>
          <w:p w:rsidR="00476F0A" w:rsidRDefault="00476F0A" w:rsidP="00476F0A">
            <w:pPr>
              <w:pStyle w:val="ListParagraph"/>
              <w:jc w:val="both"/>
              <w:rPr>
                <w:i/>
              </w:rPr>
            </w:pPr>
          </w:p>
          <w:p w:rsidR="00476F0A" w:rsidRDefault="00476F0A" w:rsidP="00476F0A">
            <w:pPr>
              <w:pStyle w:val="ListParagraph"/>
              <w:jc w:val="both"/>
              <w:rPr>
                <w:i/>
              </w:rPr>
            </w:pPr>
          </w:p>
          <w:p w:rsidR="00476F0A" w:rsidRPr="00476F0A" w:rsidRDefault="00476F0A" w:rsidP="00476F0A">
            <w:pPr>
              <w:pStyle w:val="ListParagraph"/>
              <w:jc w:val="both"/>
              <w:rPr>
                <w:i/>
              </w:rPr>
            </w:pPr>
          </w:p>
        </w:tc>
        <w:tc>
          <w:tcPr>
            <w:tcW w:w="1350" w:type="dxa"/>
            <w:shd w:val="clear" w:color="auto" w:fill="D9D9D9" w:themeFill="background1" w:themeFillShade="D9"/>
          </w:tcPr>
          <w:p w:rsidR="00476F0A" w:rsidRDefault="00476F0A" w:rsidP="00476F0A">
            <w:pPr>
              <w:jc w:val="center"/>
            </w:pPr>
            <w:r>
              <w:t>843</w:t>
            </w:r>
          </w:p>
          <w:p w:rsidR="00C431BD" w:rsidRPr="00200420" w:rsidRDefault="00476F0A" w:rsidP="00476F0A">
            <w:pPr>
              <w:jc w:val="center"/>
            </w:pPr>
            <w:r>
              <w:t>846-78</w:t>
            </w:r>
          </w:p>
        </w:tc>
        <w:tc>
          <w:tcPr>
            <w:tcW w:w="1265" w:type="dxa"/>
            <w:shd w:val="clear" w:color="auto" w:fill="D9D9D9" w:themeFill="background1" w:themeFillShade="D9"/>
          </w:tcPr>
          <w:p w:rsidR="00476F0A" w:rsidRDefault="00476F0A" w:rsidP="00476F0A">
            <w:r>
              <w:t xml:space="preserve">DGCL </w:t>
            </w:r>
          </w:p>
          <w:p w:rsidR="00C431BD" w:rsidRPr="00200420" w:rsidRDefault="00476F0A" w:rsidP="00476F0A">
            <w:r>
              <w:t>§ 144</w:t>
            </w:r>
          </w:p>
        </w:tc>
      </w:tr>
      <w:tr w:rsidR="00C431BD" w:rsidRPr="00200420" w:rsidTr="007A25A1">
        <w:tc>
          <w:tcPr>
            <w:tcW w:w="810" w:type="dxa"/>
            <w:shd w:val="clear" w:color="auto" w:fill="D9D9D9" w:themeFill="background1" w:themeFillShade="D9"/>
          </w:tcPr>
          <w:p w:rsidR="00C431BD" w:rsidRPr="00200420" w:rsidRDefault="00C431BD" w:rsidP="007C3DA0">
            <w:pPr>
              <w:jc w:val="center"/>
            </w:pPr>
            <w:r>
              <w:lastRenderedPageBreak/>
              <w:t>9.2</w:t>
            </w:r>
          </w:p>
        </w:tc>
        <w:tc>
          <w:tcPr>
            <w:tcW w:w="6030" w:type="dxa"/>
            <w:shd w:val="clear" w:color="auto" w:fill="D9D9D9" w:themeFill="background1" w:themeFillShade="D9"/>
          </w:tcPr>
          <w:p w:rsidR="009B42D6" w:rsidRDefault="00476F0A" w:rsidP="00476F0A">
            <w:r>
              <w:t xml:space="preserve">CHAPTER 18 </w:t>
            </w:r>
          </w:p>
          <w:p w:rsidR="00476F0A" w:rsidRDefault="00476F0A" w:rsidP="00476F0A">
            <w:pPr>
              <w:pStyle w:val="ListParagraph"/>
              <w:numPr>
                <w:ilvl w:val="0"/>
                <w:numId w:val="42"/>
              </w:numPr>
              <w:jc w:val="both"/>
            </w:pPr>
            <w:r>
              <w:t xml:space="preserve">The evolution of “good faith” </w:t>
            </w:r>
          </w:p>
          <w:p w:rsidR="00476F0A" w:rsidRPr="006A5F45" w:rsidRDefault="00476F0A" w:rsidP="00476F0A">
            <w:pPr>
              <w:pStyle w:val="ListParagraph"/>
              <w:numPr>
                <w:ilvl w:val="0"/>
                <w:numId w:val="44"/>
              </w:numPr>
              <w:jc w:val="both"/>
              <w:rPr>
                <w:i/>
              </w:rPr>
            </w:pPr>
            <w:r w:rsidRPr="006A5F45">
              <w:rPr>
                <w:i/>
              </w:rPr>
              <w:t xml:space="preserve">In re Walt Disney Co. Derivative Litigation </w:t>
            </w:r>
          </w:p>
          <w:p w:rsidR="00476F0A" w:rsidRPr="006A5F45" w:rsidRDefault="00476F0A" w:rsidP="00476F0A">
            <w:pPr>
              <w:pStyle w:val="ListParagraph"/>
              <w:numPr>
                <w:ilvl w:val="0"/>
                <w:numId w:val="44"/>
              </w:numPr>
              <w:jc w:val="both"/>
              <w:rPr>
                <w:i/>
              </w:rPr>
            </w:pPr>
            <w:r w:rsidRPr="006A5F45">
              <w:rPr>
                <w:i/>
              </w:rPr>
              <w:t xml:space="preserve">Stone v. Ritter </w:t>
            </w:r>
          </w:p>
          <w:p w:rsidR="00476F0A" w:rsidRDefault="00476F0A" w:rsidP="00476F0A">
            <w:pPr>
              <w:pStyle w:val="ListParagraph"/>
              <w:numPr>
                <w:ilvl w:val="0"/>
                <w:numId w:val="44"/>
              </w:numPr>
              <w:jc w:val="both"/>
              <w:rPr>
                <w:i/>
              </w:rPr>
            </w:pPr>
            <w:r w:rsidRPr="006A5F45">
              <w:rPr>
                <w:i/>
              </w:rPr>
              <w:t xml:space="preserve">ATR-Kim Eng Financial Corp. v. Araneta </w:t>
            </w:r>
          </w:p>
          <w:p w:rsidR="00476F0A" w:rsidRDefault="00476F0A" w:rsidP="00476F0A">
            <w:pPr>
              <w:pStyle w:val="ListParagraph"/>
              <w:numPr>
                <w:ilvl w:val="0"/>
                <w:numId w:val="44"/>
              </w:numPr>
              <w:jc w:val="both"/>
              <w:rPr>
                <w:i/>
              </w:rPr>
            </w:pPr>
            <w:r w:rsidRPr="00476F0A">
              <w:rPr>
                <w:i/>
              </w:rPr>
              <w:t>McPadden v. Sidhu</w:t>
            </w:r>
          </w:p>
          <w:p w:rsidR="00476F0A" w:rsidRDefault="00476F0A" w:rsidP="00476F0A">
            <w:pPr>
              <w:pStyle w:val="ListParagraph"/>
              <w:numPr>
                <w:ilvl w:val="0"/>
                <w:numId w:val="42"/>
              </w:numPr>
              <w:jc w:val="both"/>
            </w:pPr>
            <w:r>
              <w:t xml:space="preserve">Corporate opportunity doctrine </w:t>
            </w:r>
          </w:p>
          <w:p w:rsidR="00476F0A" w:rsidRPr="00325041" w:rsidRDefault="00325041" w:rsidP="00325041">
            <w:pPr>
              <w:pStyle w:val="ListParagraph"/>
              <w:numPr>
                <w:ilvl w:val="0"/>
                <w:numId w:val="65"/>
              </w:numPr>
              <w:jc w:val="both"/>
              <w:rPr>
                <w:i/>
              </w:rPr>
            </w:pPr>
            <w:r w:rsidRPr="00325041">
              <w:rPr>
                <w:i/>
              </w:rPr>
              <w:t xml:space="preserve">Farber v. Servan Land Co. </w:t>
            </w:r>
          </w:p>
          <w:p w:rsidR="00325041" w:rsidRPr="00325041" w:rsidRDefault="00325041" w:rsidP="00325041">
            <w:pPr>
              <w:pStyle w:val="ListParagraph"/>
              <w:numPr>
                <w:ilvl w:val="0"/>
                <w:numId w:val="65"/>
              </w:numPr>
              <w:jc w:val="both"/>
              <w:rPr>
                <w:i/>
              </w:rPr>
            </w:pPr>
            <w:r w:rsidRPr="00325041">
              <w:rPr>
                <w:i/>
              </w:rPr>
              <w:t xml:space="preserve">Burg v. Horn </w:t>
            </w:r>
          </w:p>
          <w:p w:rsidR="00325041" w:rsidRPr="00476F0A" w:rsidRDefault="00325041" w:rsidP="00325041">
            <w:pPr>
              <w:pStyle w:val="ListParagraph"/>
              <w:jc w:val="both"/>
            </w:pPr>
          </w:p>
        </w:tc>
        <w:tc>
          <w:tcPr>
            <w:tcW w:w="1350" w:type="dxa"/>
            <w:shd w:val="clear" w:color="auto" w:fill="D9D9D9" w:themeFill="background1" w:themeFillShade="D9"/>
          </w:tcPr>
          <w:p w:rsidR="000A7DE2" w:rsidRPr="00200420" w:rsidRDefault="00476F0A" w:rsidP="000A7DE2">
            <w:pPr>
              <w:jc w:val="center"/>
            </w:pPr>
            <w:r>
              <w:t>878-920</w:t>
            </w:r>
          </w:p>
        </w:tc>
        <w:tc>
          <w:tcPr>
            <w:tcW w:w="1265" w:type="dxa"/>
            <w:shd w:val="clear" w:color="auto" w:fill="D9D9D9" w:themeFill="background1" w:themeFillShade="D9"/>
          </w:tcPr>
          <w:p w:rsidR="00C431BD" w:rsidRPr="00200420" w:rsidRDefault="00C431BD" w:rsidP="00FE1F8E"/>
        </w:tc>
      </w:tr>
      <w:tr w:rsidR="00C431BD" w:rsidRPr="00200420" w:rsidTr="007A25A1">
        <w:tc>
          <w:tcPr>
            <w:tcW w:w="810" w:type="dxa"/>
            <w:shd w:val="clear" w:color="auto" w:fill="auto"/>
          </w:tcPr>
          <w:p w:rsidR="00C431BD" w:rsidRPr="00200420" w:rsidRDefault="00C431BD" w:rsidP="007C3DA0">
            <w:pPr>
              <w:jc w:val="center"/>
            </w:pPr>
            <w:r>
              <w:t>10.1</w:t>
            </w:r>
          </w:p>
        </w:tc>
        <w:tc>
          <w:tcPr>
            <w:tcW w:w="6030" w:type="dxa"/>
            <w:shd w:val="clear" w:color="auto" w:fill="auto"/>
          </w:tcPr>
          <w:p w:rsidR="00325041" w:rsidRPr="00194F1F" w:rsidRDefault="00325041" w:rsidP="00325041">
            <w:r w:rsidRPr="00194F1F">
              <w:t>CHAPTER 19</w:t>
            </w:r>
          </w:p>
          <w:p w:rsidR="00325041" w:rsidRPr="00194F1F" w:rsidRDefault="00325041" w:rsidP="00325041">
            <w:pPr>
              <w:pStyle w:val="ListParagraph"/>
              <w:numPr>
                <w:ilvl w:val="0"/>
                <w:numId w:val="6"/>
              </w:numPr>
            </w:pPr>
            <w:r w:rsidRPr="00194F1F">
              <w:t xml:space="preserve">Transactions within corporate groups </w:t>
            </w:r>
          </w:p>
          <w:p w:rsidR="00325041" w:rsidRPr="00194F1F" w:rsidRDefault="00325041" w:rsidP="00325041">
            <w:pPr>
              <w:pStyle w:val="ListParagraph"/>
              <w:numPr>
                <w:ilvl w:val="0"/>
                <w:numId w:val="22"/>
              </w:numPr>
              <w:rPr>
                <w:i/>
              </w:rPr>
            </w:pPr>
            <w:r w:rsidRPr="00194F1F">
              <w:rPr>
                <w:i/>
              </w:rPr>
              <w:t>Sinclair Oil Corp. v. Levien</w:t>
            </w:r>
          </w:p>
          <w:p w:rsidR="00325041" w:rsidRPr="00194F1F" w:rsidRDefault="00325041" w:rsidP="00325041">
            <w:pPr>
              <w:pStyle w:val="ListParagraph"/>
              <w:numPr>
                <w:ilvl w:val="0"/>
                <w:numId w:val="6"/>
              </w:numPr>
            </w:pPr>
            <w:r w:rsidRPr="00194F1F">
              <w:t xml:space="preserve">Cash-out transactions </w:t>
            </w:r>
          </w:p>
          <w:p w:rsidR="006A5F45" w:rsidRPr="00325041" w:rsidRDefault="00325041" w:rsidP="00325041">
            <w:pPr>
              <w:pStyle w:val="ListParagraph"/>
              <w:numPr>
                <w:ilvl w:val="0"/>
                <w:numId w:val="22"/>
              </w:numPr>
              <w:jc w:val="both"/>
              <w:rPr>
                <w:i/>
              </w:rPr>
            </w:pPr>
            <w:r w:rsidRPr="00325041">
              <w:rPr>
                <w:i/>
              </w:rPr>
              <w:t>Weinberger v. UOP, Inc</w:t>
            </w:r>
            <w:r>
              <w:t>.</w:t>
            </w:r>
          </w:p>
          <w:p w:rsidR="00325041" w:rsidRPr="00325041" w:rsidRDefault="00325041" w:rsidP="00325041">
            <w:pPr>
              <w:pStyle w:val="ListParagraph"/>
              <w:jc w:val="both"/>
              <w:rPr>
                <w:i/>
              </w:rPr>
            </w:pPr>
          </w:p>
        </w:tc>
        <w:tc>
          <w:tcPr>
            <w:tcW w:w="1350" w:type="dxa"/>
            <w:shd w:val="clear" w:color="auto" w:fill="auto"/>
          </w:tcPr>
          <w:p w:rsidR="00325041" w:rsidRDefault="00325041" w:rsidP="00325041">
            <w:pPr>
              <w:jc w:val="center"/>
            </w:pPr>
            <w:r>
              <w:t>921-53</w:t>
            </w:r>
          </w:p>
          <w:p w:rsidR="00C431BD" w:rsidRPr="00200420" w:rsidRDefault="00C431BD" w:rsidP="007C3DA0">
            <w:pPr>
              <w:jc w:val="center"/>
            </w:pPr>
          </w:p>
        </w:tc>
        <w:tc>
          <w:tcPr>
            <w:tcW w:w="1265" w:type="dxa"/>
            <w:shd w:val="clear" w:color="auto" w:fill="auto"/>
          </w:tcPr>
          <w:p w:rsidR="00C431BD" w:rsidRPr="00200420" w:rsidRDefault="00C431BD" w:rsidP="00FB0B82"/>
        </w:tc>
      </w:tr>
      <w:tr w:rsidR="00C431BD" w:rsidRPr="00200420" w:rsidTr="007A25A1">
        <w:tc>
          <w:tcPr>
            <w:tcW w:w="810" w:type="dxa"/>
            <w:shd w:val="clear" w:color="auto" w:fill="auto"/>
          </w:tcPr>
          <w:p w:rsidR="00C431BD" w:rsidRPr="00200420" w:rsidRDefault="00C431BD" w:rsidP="007C3DA0">
            <w:pPr>
              <w:jc w:val="center"/>
            </w:pPr>
            <w:r>
              <w:t>10.2</w:t>
            </w:r>
          </w:p>
        </w:tc>
        <w:tc>
          <w:tcPr>
            <w:tcW w:w="6030" w:type="dxa"/>
            <w:shd w:val="clear" w:color="auto" w:fill="auto"/>
          </w:tcPr>
          <w:p w:rsidR="0094520B" w:rsidRDefault="00325041" w:rsidP="00325041">
            <w:pPr>
              <w:jc w:val="both"/>
            </w:pPr>
            <w:r>
              <w:t xml:space="preserve">CHAPTER 19 </w:t>
            </w:r>
          </w:p>
          <w:p w:rsidR="00325041" w:rsidRDefault="00325041" w:rsidP="00325041">
            <w:pPr>
              <w:pStyle w:val="ListParagraph"/>
              <w:numPr>
                <w:ilvl w:val="0"/>
                <w:numId w:val="7"/>
              </w:numPr>
            </w:pPr>
            <w:r>
              <w:t xml:space="preserve">Cash-out transactions  </w:t>
            </w:r>
          </w:p>
          <w:p w:rsidR="00325041" w:rsidRDefault="00325041" w:rsidP="00325041">
            <w:pPr>
              <w:pStyle w:val="ListParagraph"/>
              <w:numPr>
                <w:ilvl w:val="0"/>
                <w:numId w:val="10"/>
              </w:numPr>
              <w:rPr>
                <w:i/>
              </w:rPr>
            </w:pPr>
            <w:r w:rsidRPr="00415F77">
              <w:rPr>
                <w:i/>
              </w:rPr>
              <w:t>Kah</w:t>
            </w:r>
            <w:r>
              <w:rPr>
                <w:i/>
              </w:rPr>
              <w:t>n v. Lynch Comm’n Sys.</w:t>
            </w:r>
            <w:r w:rsidRPr="00415F77">
              <w:rPr>
                <w:i/>
              </w:rPr>
              <w:t xml:space="preserve"> (Lynch I)</w:t>
            </w:r>
          </w:p>
          <w:p w:rsidR="00325041" w:rsidRDefault="00325041" w:rsidP="00325041">
            <w:pPr>
              <w:pStyle w:val="ListParagraph"/>
              <w:numPr>
                <w:ilvl w:val="0"/>
                <w:numId w:val="10"/>
              </w:numPr>
              <w:rPr>
                <w:i/>
              </w:rPr>
            </w:pPr>
            <w:r w:rsidRPr="00415F77">
              <w:rPr>
                <w:i/>
              </w:rPr>
              <w:t>Kah</w:t>
            </w:r>
            <w:r>
              <w:rPr>
                <w:i/>
              </w:rPr>
              <w:t>n v. Lynch Comm’n Sys.</w:t>
            </w:r>
            <w:r w:rsidRPr="00415F77">
              <w:rPr>
                <w:i/>
              </w:rPr>
              <w:t xml:space="preserve"> (Lynch I</w:t>
            </w:r>
            <w:r>
              <w:rPr>
                <w:i/>
              </w:rPr>
              <w:t>I</w:t>
            </w:r>
            <w:r w:rsidRPr="00415F77">
              <w:rPr>
                <w:i/>
              </w:rPr>
              <w:t>)</w:t>
            </w:r>
          </w:p>
          <w:p w:rsidR="00325041" w:rsidRDefault="00325041" w:rsidP="00325041">
            <w:pPr>
              <w:pStyle w:val="ListParagraph"/>
              <w:numPr>
                <w:ilvl w:val="0"/>
                <w:numId w:val="10"/>
              </w:numPr>
              <w:rPr>
                <w:i/>
              </w:rPr>
            </w:pPr>
            <w:r>
              <w:rPr>
                <w:i/>
              </w:rPr>
              <w:t xml:space="preserve">Kahn v.  M&amp;F Worldwide Corp.  </w:t>
            </w:r>
          </w:p>
          <w:p w:rsidR="00325041" w:rsidRPr="00325041" w:rsidRDefault="00325041" w:rsidP="00325041">
            <w:pPr>
              <w:pStyle w:val="ListParagraph"/>
              <w:numPr>
                <w:ilvl w:val="0"/>
                <w:numId w:val="10"/>
              </w:numPr>
              <w:jc w:val="both"/>
            </w:pPr>
            <w:r w:rsidRPr="00325041">
              <w:rPr>
                <w:i/>
              </w:rPr>
              <w:t>In re Pure Resources, Inc.</w:t>
            </w:r>
          </w:p>
          <w:p w:rsidR="00325041" w:rsidRPr="00200420" w:rsidRDefault="00325041" w:rsidP="00325041">
            <w:pPr>
              <w:pStyle w:val="ListParagraph"/>
              <w:jc w:val="both"/>
            </w:pPr>
          </w:p>
        </w:tc>
        <w:tc>
          <w:tcPr>
            <w:tcW w:w="1350" w:type="dxa"/>
            <w:shd w:val="clear" w:color="auto" w:fill="auto"/>
          </w:tcPr>
          <w:p w:rsidR="00C431BD" w:rsidRPr="00200420" w:rsidRDefault="00325041" w:rsidP="006B2D9E">
            <w:pPr>
              <w:jc w:val="center"/>
            </w:pPr>
            <w:r>
              <w:t>954-80</w:t>
            </w:r>
          </w:p>
        </w:tc>
        <w:tc>
          <w:tcPr>
            <w:tcW w:w="1265" w:type="dxa"/>
            <w:shd w:val="clear" w:color="auto" w:fill="auto"/>
          </w:tcPr>
          <w:p w:rsidR="00C431BD" w:rsidRPr="00200420" w:rsidRDefault="00C431BD" w:rsidP="007C3DA0"/>
        </w:tc>
      </w:tr>
      <w:tr w:rsidR="00C431BD" w:rsidRPr="00200420" w:rsidTr="007A25A1">
        <w:tc>
          <w:tcPr>
            <w:tcW w:w="810" w:type="dxa"/>
            <w:shd w:val="clear" w:color="auto" w:fill="D9D9D9" w:themeFill="background1" w:themeFillShade="D9"/>
          </w:tcPr>
          <w:p w:rsidR="00C431BD" w:rsidRPr="00200420" w:rsidRDefault="00C431BD" w:rsidP="007C3DA0">
            <w:pPr>
              <w:jc w:val="center"/>
            </w:pPr>
            <w:r>
              <w:t>11.1</w:t>
            </w:r>
          </w:p>
        </w:tc>
        <w:tc>
          <w:tcPr>
            <w:tcW w:w="6030" w:type="dxa"/>
            <w:shd w:val="clear" w:color="auto" w:fill="D9D9D9" w:themeFill="background1" w:themeFillShade="D9"/>
          </w:tcPr>
          <w:p w:rsidR="00325041" w:rsidRDefault="00325041" w:rsidP="00325041">
            <w:r>
              <w:t xml:space="preserve">CHAPTER 20 </w:t>
            </w:r>
          </w:p>
          <w:p w:rsidR="00325041" w:rsidRDefault="00325041" w:rsidP="00325041">
            <w:pPr>
              <w:pStyle w:val="ListParagraph"/>
              <w:numPr>
                <w:ilvl w:val="0"/>
                <w:numId w:val="45"/>
              </w:numPr>
            </w:pPr>
            <w:r>
              <w:t xml:space="preserve">Structuring corporation combinations </w:t>
            </w:r>
          </w:p>
          <w:p w:rsidR="00325041" w:rsidRDefault="00325041" w:rsidP="00325041">
            <w:pPr>
              <w:pStyle w:val="ListParagraph"/>
              <w:numPr>
                <w:ilvl w:val="0"/>
                <w:numId w:val="45"/>
              </w:numPr>
            </w:pPr>
            <w:r>
              <w:t xml:space="preserve">Tax aspects of corporate reorganizations </w:t>
            </w:r>
          </w:p>
          <w:p w:rsidR="00325041" w:rsidRDefault="00325041" w:rsidP="00325041">
            <w:pPr>
              <w:pStyle w:val="ListParagraph"/>
              <w:numPr>
                <w:ilvl w:val="0"/>
                <w:numId w:val="45"/>
              </w:numPr>
            </w:pPr>
            <w:r>
              <w:t xml:space="preserve">De facto merger doctrine </w:t>
            </w:r>
          </w:p>
          <w:p w:rsidR="00285516" w:rsidRPr="00200420" w:rsidRDefault="00325041" w:rsidP="00325041">
            <w:pPr>
              <w:pStyle w:val="ListParagraph"/>
              <w:numPr>
                <w:ilvl w:val="0"/>
                <w:numId w:val="66"/>
              </w:numPr>
            </w:pPr>
            <w:r w:rsidRPr="00325041">
              <w:rPr>
                <w:i/>
              </w:rPr>
              <w:t>Hariton v. Arco Electronics, Inc</w:t>
            </w:r>
            <w:r>
              <w:t>.</w:t>
            </w:r>
          </w:p>
        </w:tc>
        <w:tc>
          <w:tcPr>
            <w:tcW w:w="1350" w:type="dxa"/>
            <w:shd w:val="clear" w:color="auto" w:fill="D9D9D9" w:themeFill="background1" w:themeFillShade="D9"/>
          </w:tcPr>
          <w:p w:rsidR="008007E2" w:rsidRPr="00200420" w:rsidRDefault="00325041" w:rsidP="00325041">
            <w:pPr>
              <w:jc w:val="center"/>
            </w:pPr>
            <w:r>
              <w:t>999-1018</w:t>
            </w:r>
          </w:p>
        </w:tc>
        <w:tc>
          <w:tcPr>
            <w:tcW w:w="1265" w:type="dxa"/>
            <w:shd w:val="clear" w:color="auto" w:fill="D9D9D9" w:themeFill="background1" w:themeFillShade="D9"/>
          </w:tcPr>
          <w:p w:rsidR="00325041" w:rsidRDefault="00325041" w:rsidP="00325041">
            <w:r>
              <w:t xml:space="preserve">DGCL </w:t>
            </w:r>
          </w:p>
          <w:p w:rsidR="00325041" w:rsidRDefault="00325041" w:rsidP="00325041">
            <w:r>
              <w:t xml:space="preserve">§ 251 </w:t>
            </w:r>
          </w:p>
          <w:p w:rsidR="00325041" w:rsidRDefault="00325041" w:rsidP="00325041">
            <w:r>
              <w:t xml:space="preserve">§ 253 </w:t>
            </w:r>
          </w:p>
          <w:p w:rsidR="00325041" w:rsidRDefault="00325041" w:rsidP="00325041">
            <w:r>
              <w:t xml:space="preserve">§ 259 </w:t>
            </w:r>
          </w:p>
          <w:p w:rsidR="00C431BD" w:rsidRDefault="00C431BD" w:rsidP="005E37BC"/>
          <w:p w:rsidR="00C431BD" w:rsidRPr="00200420" w:rsidRDefault="00C431BD" w:rsidP="007C3DA0"/>
        </w:tc>
      </w:tr>
      <w:tr w:rsidR="00C431BD" w:rsidRPr="00200420" w:rsidTr="007A25A1">
        <w:tc>
          <w:tcPr>
            <w:tcW w:w="810" w:type="dxa"/>
            <w:shd w:val="clear" w:color="auto" w:fill="D9D9D9" w:themeFill="background1" w:themeFillShade="D9"/>
          </w:tcPr>
          <w:p w:rsidR="00C431BD" w:rsidRPr="00200420" w:rsidRDefault="00C431BD" w:rsidP="007C3DA0">
            <w:pPr>
              <w:jc w:val="center"/>
            </w:pPr>
            <w:r>
              <w:t>11.2</w:t>
            </w:r>
          </w:p>
        </w:tc>
        <w:tc>
          <w:tcPr>
            <w:tcW w:w="6030" w:type="dxa"/>
            <w:shd w:val="clear" w:color="auto" w:fill="D9D9D9" w:themeFill="background1" w:themeFillShade="D9"/>
          </w:tcPr>
          <w:p w:rsidR="00C431BD" w:rsidRDefault="00325041" w:rsidP="00325041">
            <w:r>
              <w:t xml:space="preserve">CHAPTER 20 </w:t>
            </w:r>
          </w:p>
          <w:p w:rsidR="00325041" w:rsidRDefault="00325041" w:rsidP="00325041">
            <w:pPr>
              <w:pStyle w:val="ListParagraph"/>
              <w:numPr>
                <w:ilvl w:val="0"/>
                <w:numId w:val="55"/>
              </w:numPr>
            </w:pPr>
            <w:r>
              <w:t>Sale of all or substantially all of assets</w:t>
            </w:r>
          </w:p>
          <w:p w:rsidR="00325041" w:rsidRDefault="00325041" w:rsidP="00325041">
            <w:pPr>
              <w:pStyle w:val="ListParagraph"/>
              <w:numPr>
                <w:ilvl w:val="0"/>
                <w:numId w:val="53"/>
              </w:numPr>
            </w:pPr>
            <w:r w:rsidRPr="00544D0D">
              <w:rPr>
                <w:i/>
              </w:rPr>
              <w:t>Gimbel v. Signal Companies, Inc</w:t>
            </w:r>
            <w:r>
              <w:t xml:space="preserve">. </w:t>
            </w:r>
          </w:p>
          <w:p w:rsidR="00325041" w:rsidRDefault="00325041" w:rsidP="00325041">
            <w:pPr>
              <w:jc w:val="both"/>
            </w:pPr>
          </w:p>
          <w:p w:rsidR="00325041" w:rsidRDefault="00325041" w:rsidP="00325041">
            <w:pPr>
              <w:jc w:val="both"/>
            </w:pPr>
            <w:r>
              <w:t xml:space="preserve">CHAPTER 21 </w:t>
            </w:r>
          </w:p>
          <w:p w:rsidR="00325041" w:rsidRDefault="00325041" w:rsidP="00325041">
            <w:pPr>
              <w:pStyle w:val="ListParagraph"/>
              <w:numPr>
                <w:ilvl w:val="0"/>
                <w:numId w:val="46"/>
              </w:numPr>
              <w:jc w:val="both"/>
            </w:pPr>
            <w:r>
              <w:t xml:space="preserve">The policy debate, and contests for control </w:t>
            </w:r>
          </w:p>
          <w:p w:rsidR="00325041" w:rsidRDefault="00325041" w:rsidP="00325041">
            <w:pPr>
              <w:pStyle w:val="ListParagraph"/>
              <w:numPr>
                <w:ilvl w:val="0"/>
                <w:numId w:val="46"/>
              </w:numPr>
              <w:jc w:val="both"/>
            </w:pPr>
            <w:r>
              <w:t xml:space="preserve">The regulatory framework </w:t>
            </w:r>
          </w:p>
          <w:p w:rsidR="00325041" w:rsidRDefault="00325041" w:rsidP="00325041">
            <w:pPr>
              <w:pStyle w:val="ListParagraph"/>
              <w:numPr>
                <w:ilvl w:val="0"/>
                <w:numId w:val="46"/>
              </w:numPr>
              <w:jc w:val="both"/>
            </w:pPr>
            <w:r>
              <w:t>Judicial review of takeover defenses</w:t>
            </w:r>
          </w:p>
          <w:p w:rsidR="00325041" w:rsidRPr="00325041" w:rsidRDefault="00325041" w:rsidP="00325041">
            <w:pPr>
              <w:pStyle w:val="ListParagraph"/>
              <w:numPr>
                <w:ilvl w:val="0"/>
                <w:numId w:val="53"/>
              </w:numPr>
            </w:pPr>
            <w:r w:rsidRPr="00325041">
              <w:rPr>
                <w:i/>
              </w:rPr>
              <w:t>Cheff v. Mathes</w:t>
            </w:r>
          </w:p>
          <w:p w:rsidR="00325041" w:rsidRPr="00325041" w:rsidRDefault="00325041" w:rsidP="00325041">
            <w:pPr>
              <w:pStyle w:val="ListParagraph"/>
            </w:pPr>
          </w:p>
        </w:tc>
        <w:tc>
          <w:tcPr>
            <w:tcW w:w="1350" w:type="dxa"/>
            <w:shd w:val="clear" w:color="auto" w:fill="D9D9D9" w:themeFill="background1" w:themeFillShade="D9"/>
          </w:tcPr>
          <w:p w:rsidR="00325041" w:rsidRDefault="00325041" w:rsidP="00325041">
            <w:pPr>
              <w:jc w:val="center"/>
            </w:pPr>
            <w:r>
              <w:t>1018-23</w:t>
            </w:r>
          </w:p>
          <w:p w:rsidR="00C431BD" w:rsidRPr="00200420" w:rsidRDefault="00325041" w:rsidP="00325041">
            <w:pPr>
              <w:jc w:val="center"/>
            </w:pPr>
            <w:r>
              <w:t>1025-46</w:t>
            </w:r>
          </w:p>
        </w:tc>
        <w:tc>
          <w:tcPr>
            <w:tcW w:w="1265" w:type="dxa"/>
            <w:shd w:val="clear" w:color="auto" w:fill="D9D9D9" w:themeFill="background1" w:themeFillShade="D9"/>
          </w:tcPr>
          <w:p w:rsidR="00C431BD" w:rsidRPr="00200420" w:rsidRDefault="00C431BD" w:rsidP="008007E2"/>
        </w:tc>
      </w:tr>
      <w:tr w:rsidR="00C431BD" w:rsidRPr="00200420" w:rsidTr="007A25A1">
        <w:tc>
          <w:tcPr>
            <w:tcW w:w="810" w:type="dxa"/>
            <w:shd w:val="clear" w:color="auto" w:fill="FFFFFF" w:themeFill="background1"/>
          </w:tcPr>
          <w:p w:rsidR="00C431BD" w:rsidRPr="00200420" w:rsidRDefault="00C431BD" w:rsidP="007C3DA0">
            <w:pPr>
              <w:jc w:val="center"/>
            </w:pPr>
            <w:r>
              <w:t>12.1</w:t>
            </w:r>
          </w:p>
        </w:tc>
        <w:tc>
          <w:tcPr>
            <w:tcW w:w="6030" w:type="dxa"/>
            <w:shd w:val="clear" w:color="auto" w:fill="FFFFFF" w:themeFill="background1"/>
          </w:tcPr>
          <w:p w:rsidR="008007E2" w:rsidRDefault="00325041" w:rsidP="00325041">
            <w:r>
              <w:t xml:space="preserve">CHAPTER 21 </w:t>
            </w:r>
          </w:p>
          <w:p w:rsidR="00325041" w:rsidRDefault="00325041" w:rsidP="00325041">
            <w:pPr>
              <w:pStyle w:val="ListParagraph"/>
              <w:numPr>
                <w:ilvl w:val="0"/>
                <w:numId w:val="56"/>
              </w:numPr>
              <w:jc w:val="both"/>
            </w:pPr>
            <w:r>
              <w:t>Judicial review of takeover defenses</w:t>
            </w:r>
          </w:p>
          <w:p w:rsidR="00325041" w:rsidRDefault="00325041" w:rsidP="00325041">
            <w:pPr>
              <w:pStyle w:val="ListParagraph"/>
              <w:numPr>
                <w:ilvl w:val="0"/>
                <w:numId w:val="47"/>
              </w:numPr>
              <w:jc w:val="both"/>
            </w:pPr>
            <w:r w:rsidRPr="007C0CDA">
              <w:rPr>
                <w:i/>
              </w:rPr>
              <w:t>Unocal Corp. v. Mesa Petroleum Co</w:t>
            </w:r>
            <w:r>
              <w:t>.</w:t>
            </w:r>
          </w:p>
          <w:p w:rsidR="00325041" w:rsidRDefault="00325041" w:rsidP="00325041">
            <w:pPr>
              <w:pStyle w:val="ListParagraph"/>
              <w:numPr>
                <w:ilvl w:val="0"/>
                <w:numId w:val="56"/>
              </w:numPr>
              <w:jc w:val="both"/>
            </w:pPr>
            <w:r>
              <w:t xml:space="preserve">Statutory limitations </w:t>
            </w:r>
          </w:p>
          <w:p w:rsidR="00325041" w:rsidRDefault="00325041" w:rsidP="00325041">
            <w:pPr>
              <w:pStyle w:val="ListParagraph"/>
              <w:numPr>
                <w:ilvl w:val="0"/>
                <w:numId w:val="56"/>
              </w:numPr>
              <w:jc w:val="both"/>
            </w:pPr>
            <w:r>
              <w:t xml:space="preserve">When the corporation is “for sale” </w:t>
            </w:r>
          </w:p>
          <w:p w:rsidR="00325041" w:rsidRPr="00325041" w:rsidRDefault="00325041" w:rsidP="00325041">
            <w:pPr>
              <w:pStyle w:val="ListParagraph"/>
              <w:numPr>
                <w:ilvl w:val="0"/>
                <w:numId w:val="47"/>
              </w:numPr>
            </w:pPr>
            <w:r w:rsidRPr="00325041">
              <w:rPr>
                <w:i/>
              </w:rPr>
              <w:t>Revlon, Inc. v. MacAndrews &amp; Forbes</w:t>
            </w:r>
          </w:p>
          <w:p w:rsidR="00325041" w:rsidRDefault="00325041" w:rsidP="00325041"/>
          <w:p w:rsidR="00325041" w:rsidRDefault="00325041" w:rsidP="00325041"/>
          <w:p w:rsidR="00325041" w:rsidRDefault="00325041" w:rsidP="00325041"/>
          <w:p w:rsidR="00325041" w:rsidRPr="00200420" w:rsidRDefault="00325041" w:rsidP="00325041"/>
        </w:tc>
        <w:tc>
          <w:tcPr>
            <w:tcW w:w="1350" w:type="dxa"/>
            <w:shd w:val="clear" w:color="auto" w:fill="FFFFFF" w:themeFill="background1"/>
          </w:tcPr>
          <w:p w:rsidR="00C431BD" w:rsidRPr="00200420" w:rsidRDefault="00325041" w:rsidP="00544D0D">
            <w:pPr>
              <w:jc w:val="center"/>
            </w:pPr>
            <w:r>
              <w:t>1046-74</w:t>
            </w:r>
          </w:p>
        </w:tc>
        <w:tc>
          <w:tcPr>
            <w:tcW w:w="1265" w:type="dxa"/>
            <w:shd w:val="clear" w:color="auto" w:fill="FFFFFF" w:themeFill="background1"/>
          </w:tcPr>
          <w:p w:rsidR="00C431BD" w:rsidRPr="00200420" w:rsidRDefault="00C431BD" w:rsidP="00325041"/>
        </w:tc>
      </w:tr>
      <w:tr w:rsidR="00C431BD" w:rsidRPr="00200420" w:rsidTr="007A25A1">
        <w:tc>
          <w:tcPr>
            <w:tcW w:w="810" w:type="dxa"/>
            <w:shd w:val="clear" w:color="auto" w:fill="FFFFFF" w:themeFill="background1"/>
          </w:tcPr>
          <w:p w:rsidR="00C431BD" w:rsidRPr="00200420" w:rsidRDefault="00C431BD" w:rsidP="007C3DA0">
            <w:pPr>
              <w:jc w:val="center"/>
            </w:pPr>
            <w:r>
              <w:lastRenderedPageBreak/>
              <w:t>12.2</w:t>
            </w:r>
          </w:p>
        </w:tc>
        <w:tc>
          <w:tcPr>
            <w:tcW w:w="6030" w:type="dxa"/>
            <w:shd w:val="clear" w:color="auto" w:fill="FFFFFF" w:themeFill="background1"/>
          </w:tcPr>
          <w:p w:rsidR="007C0CDA" w:rsidRDefault="00325041" w:rsidP="00325041">
            <w:pPr>
              <w:jc w:val="both"/>
            </w:pPr>
            <w:r>
              <w:t xml:space="preserve">CHAPTER 21 </w:t>
            </w:r>
          </w:p>
          <w:p w:rsidR="00325041" w:rsidRDefault="00325041" w:rsidP="00325041">
            <w:pPr>
              <w:pStyle w:val="ListParagraph"/>
              <w:numPr>
                <w:ilvl w:val="0"/>
                <w:numId w:val="57"/>
              </w:numPr>
              <w:jc w:val="both"/>
            </w:pPr>
            <w:r>
              <w:t xml:space="preserve">When the corporation is “for sale” </w:t>
            </w:r>
          </w:p>
          <w:p w:rsidR="00325041" w:rsidRPr="007C0CDA" w:rsidRDefault="00325041" w:rsidP="00325041">
            <w:pPr>
              <w:pStyle w:val="ListParagraph"/>
              <w:numPr>
                <w:ilvl w:val="0"/>
                <w:numId w:val="48"/>
              </w:numPr>
              <w:jc w:val="both"/>
              <w:rPr>
                <w:i/>
              </w:rPr>
            </w:pPr>
            <w:r w:rsidRPr="007C0CDA">
              <w:rPr>
                <w:i/>
              </w:rPr>
              <w:t xml:space="preserve">Paramount v. Time </w:t>
            </w:r>
          </w:p>
          <w:p w:rsidR="00325041" w:rsidRDefault="00325041" w:rsidP="00325041">
            <w:pPr>
              <w:pStyle w:val="ListParagraph"/>
              <w:numPr>
                <w:ilvl w:val="0"/>
                <w:numId w:val="48"/>
              </w:numPr>
              <w:jc w:val="both"/>
            </w:pPr>
            <w:r w:rsidRPr="007C0CDA">
              <w:rPr>
                <w:i/>
              </w:rPr>
              <w:t>Paramount v. QVC</w:t>
            </w:r>
            <w:r>
              <w:t xml:space="preserve"> </w:t>
            </w:r>
          </w:p>
          <w:p w:rsidR="00325041" w:rsidRDefault="00325041" w:rsidP="00325041">
            <w:pPr>
              <w:pStyle w:val="ListParagraph"/>
              <w:numPr>
                <w:ilvl w:val="0"/>
                <w:numId w:val="57"/>
              </w:numPr>
            </w:pPr>
            <w:r>
              <w:t xml:space="preserve">Proxy contests and tender offers </w:t>
            </w:r>
          </w:p>
          <w:p w:rsidR="00325041" w:rsidRDefault="00325041" w:rsidP="00325041">
            <w:pPr>
              <w:pStyle w:val="ListParagraph"/>
              <w:numPr>
                <w:ilvl w:val="0"/>
                <w:numId w:val="57"/>
              </w:numPr>
            </w:pPr>
            <w:r>
              <w:t xml:space="preserve">Limits on protecting negotiated acquisitions </w:t>
            </w:r>
          </w:p>
          <w:p w:rsidR="00325041" w:rsidRDefault="00325041" w:rsidP="00325041">
            <w:pPr>
              <w:pStyle w:val="ListParagraph"/>
              <w:numPr>
                <w:ilvl w:val="0"/>
                <w:numId w:val="67"/>
              </w:numPr>
              <w:jc w:val="both"/>
            </w:pPr>
            <w:r w:rsidRPr="00325041">
              <w:rPr>
                <w:i/>
              </w:rPr>
              <w:t>Omnicare, Inc. v. NCS Healthcare, Inc</w:t>
            </w:r>
            <w:r>
              <w:t>.</w:t>
            </w:r>
          </w:p>
          <w:p w:rsidR="00325041" w:rsidRPr="00325041" w:rsidRDefault="00325041" w:rsidP="00325041">
            <w:pPr>
              <w:pStyle w:val="ListParagraph"/>
              <w:jc w:val="both"/>
            </w:pPr>
          </w:p>
        </w:tc>
        <w:tc>
          <w:tcPr>
            <w:tcW w:w="1350" w:type="dxa"/>
            <w:shd w:val="clear" w:color="auto" w:fill="FFFFFF" w:themeFill="background1"/>
          </w:tcPr>
          <w:p w:rsidR="00325041" w:rsidRDefault="00325041" w:rsidP="00325041">
            <w:pPr>
              <w:jc w:val="center"/>
            </w:pPr>
            <w:r>
              <w:t>1074-93</w:t>
            </w:r>
          </w:p>
          <w:p w:rsidR="00C431BD" w:rsidRPr="00200420" w:rsidRDefault="00C431BD" w:rsidP="00A15111">
            <w:pPr>
              <w:jc w:val="center"/>
            </w:pPr>
          </w:p>
        </w:tc>
        <w:tc>
          <w:tcPr>
            <w:tcW w:w="1265" w:type="dxa"/>
            <w:shd w:val="clear" w:color="auto" w:fill="FFFFFF" w:themeFill="background1"/>
          </w:tcPr>
          <w:p w:rsidR="00C35F68" w:rsidRPr="00200420" w:rsidRDefault="00C35F68" w:rsidP="00544D0D"/>
        </w:tc>
      </w:tr>
      <w:tr w:rsidR="00C431BD" w:rsidRPr="00200420" w:rsidTr="007A25A1">
        <w:tc>
          <w:tcPr>
            <w:tcW w:w="810" w:type="dxa"/>
            <w:shd w:val="clear" w:color="auto" w:fill="D9D9D9" w:themeFill="background1" w:themeFillShade="D9"/>
          </w:tcPr>
          <w:p w:rsidR="00C431BD" w:rsidRPr="00200420" w:rsidRDefault="00C431BD" w:rsidP="007C3DA0">
            <w:pPr>
              <w:jc w:val="center"/>
            </w:pPr>
            <w:r>
              <w:t>13.1</w:t>
            </w:r>
          </w:p>
        </w:tc>
        <w:tc>
          <w:tcPr>
            <w:tcW w:w="6030" w:type="dxa"/>
            <w:shd w:val="clear" w:color="auto" w:fill="D9D9D9" w:themeFill="background1" w:themeFillShade="D9"/>
          </w:tcPr>
          <w:p w:rsidR="00C51220" w:rsidRDefault="00C51220" w:rsidP="00C51220">
            <w:r>
              <w:t xml:space="preserve">CHAPTER 22 </w:t>
            </w:r>
          </w:p>
          <w:p w:rsidR="00C51220" w:rsidRDefault="00C51220" w:rsidP="00C51220">
            <w:pPr>
              <w:pStyle w:val="ListParagraph"/>
              <w:numPr>
                <w:ilvl w:val="0"/>
                <w:numId w:val="50"/>
              </w:numPr>
            </w:pPr>
            <w:r>
              <w:t xml:space="preserve">What is wrong with insider trading </w:t>
            </w:r>
          </w:p>
          <w:p w:rsidR="00C51220" w:rsidRDefault="00C51220" w:rsidP="00C51220">
            <w:pPr>
              <w:pStyle w:val="ListParagraph"/>
              <w:numPr>
                <w:ilvl w:val="0"/>
                <w:numId w:val="50"/>
              </w:numPr>
            </w:pPr>
            <w:r>
              <w:t xml:space="preserve">Materiality </w:t>
            </w:r>
          </w:p>
          <w:p w:rsidR="00C51220" w:rsidRDefault="00C51220" w:rsidP="00C51220">
            <w:pPr>
              <w:pStyle w:val="ListParagraph"/>
              <w:numPr>
                <w:ilvl w:val="0"/>
                <w:numId w:val="50"/>
              </w:numPr>
            </w:pPr>
            <w:r>
              <w:t xml:space="preserve">Insider trading: Rule 10b-5 </w:t>
            </w:r>
          </w:p>
          <w:p w:rsidR="007C0CDA" w:rsidRDefault="00C51220" w:rsidP="00C51220">
            <w:pPr>
              <w:pStyle w:val="ListParagraph"/>
              <w:numPr>
                <w:ilvl w:val="0"/>
                <w:numId w:val="68"/>
              </w:numPr>
              <w:jc w:val="both"/>
              <w:rPr>
                <w:i/>
              </w:rPr>
            </w:pPr>
            <w:r w:rsidRPr="00C51220">
              <w:rPr>
                <w:i/>
              </w:rPr>
              <w:t>Chiarella v. United States</w:t>
            </w:r>
          </w:p>
          <w:p w:rsidR="00C51220" w:rsidRDefault="00C51220" w:rsidP="00C51220">
            <w:pPr>
              <w:pStyle w:val="ListParagraph"/>
              <w:numPr>
                <w:ilvl w:val="0"/>
                <w:numId w:val="68"/>
              </w:numPr>
              <w:jc w:val="both"/>
              <w:rPr>
                <w:i/>
              </w:rPr>
            </w:pPr>
            <w:r>
              <w:rPr>
                <w:i/>
              </w:rPr>
              <w:t>Dirks v. SEC</w:t>
            </w:r>
          </w:p>
          <w:p w:rsidR="00881D57" w:rsidRDefault="00881D57" w:rsidP="00881D57">
            <w:pPr>
              <w:pStyle w:val="ListParagraph"/>
              <w:numPr>
                <w:ilvl w:val="0"/>
                <w:numId w:val="51"/>
              </w:numPr>
              <w:rPr>
                <w:i/>
              </w:rPr>
            </w:pPr>
            <w:r>
              <w:rPr>
                <w:i/>
              </w:rPr>
              <w:t xml:space="preserve">United States v. O’Hagan </w:t>
            </w:r>
          </w:p>
          <w:p w:rsidR="00881D57" w:rsidRPr="005D2614" w:rsidRDefault="00881D57" w:rsidP="00881D57">
            <w:pPr>
              <w:pStyle w:val="ListParagraph"/>
              <w:numPr>
                <w:ilvl w:val="0"/>
                <w:numId w:val="51"/>
              </w:numPr>
              <w:rPr>
                <w:i/>
              </w:rPr>
            </w:pPr>
            <w:r>
              <w:rPr>
                <w:i/>
              </w:rPr>
              <w:t>Salman v. United States</w:t>
            </w:r>
            <w:r>
              <w:t xml:space="preserve"> </w:t>
            </w:r>
          </w:p>
          <w:p w:rsidR="00881D57" w:rsidRDefault="00881D57" w:rsidP="00881D57">
            <w:pPr>
              <w:pStyle w:val="ListParagraph"/>
              <w:numPr>
                <w:ilvl w:val="0"/>
                <w:numId w:val="50"/>
              </w:numPr>
              <w:jc w:val="both"/>
            </w:pPr>
            <w:r>
              <w:t xml:space="preserve">Remedies for insider trading violations </w:t>
            </w:r>
          </w:p>
          <w:p w:rsidR="00881D57" w:rsidRPr="00881D57" w:rsidRDefault="00881D57" w:rsidP="00881D57">
            <w:pPr>
              <w:pStyle w:val="ListParagraph"/>
              <w:numPr>
                <w:ilvl w:val="0"/>
                <w:numId w:val="50"/>
              </w:numPr>
              <w:jc w:val="both"/>
            </w:pPr>
            <w:r>
              <w:t>Disgorgement liability: section 16</w:t>
            </w:r>
          </w:p>
          <w:p w:rsidR="00C51220" w:rsidRPr="00C51220" w:rsidRDefault="00C51220" w:rsidP="00C51220">
            <w:pPr>
              <w:jc w:val="both"/>
            </w:pPr>
          </w:p>
        </w:tc>
        <w:tc>
          <w:tcPr>
            <w:tcW w:w="1350" w:type="dxa"/>
            <w:shd w:val="clear" w:color="auto" w:fill="D9D9D9" w:themeFill="background1" w:themeFillShade="D9"/>
          </w:tcPr>
          <w:p w:rsidR="00C431BD" w:rsidRDefault="00C51220" w:rsidP="00544D0D">
            <w:pPr>
              <w:jc w:val="center"/>
            </w:pPr>
            <w:r>
              <w:t>1095-</w:t>
            </w:r>
            <w:r w:rsidR="00E36C07">
              <w:t>1100</w:t>
            </w:r>
          </w:p>
          <w:p w:rsidR="00E36C07" w:rsidRPr="00200420" w:rsidRDefault="00E36C07" w:rsidP="00E36C07">
            <w:pPr>
              <w:jc w:val="center"/>
            </w:pPr>
            <w:r>
              <w:t>1111-36</w:t>
            </w:r>
          </w:p>
        </w:tc>
        <w:tc>
          <w:tcPr>
            <w:tcW w:w="1265" w:type="dxa"/>
            <w:shd w:val="clear" w:color="auto" w:fill="D9D9D9" w:themeFill="background1" w:themeFillShade="D9"/>
          </w:tcPr>
          <w:p w:rsidR="00C431BD" w:rsidRPr="00200420" w:rsidRDefault="00C431BD" w:rsidP="007C3DA0"/>
        </w:tc>
      </w:tr>
      <w:tr w:rsidR="00C431BD" w:rsidRPr="00200420" w:rsidTr="007A25A1">
        <w:tc>
          <w:tcPr>
            <w:tcW w:w="810" w:type="dxa"/>
            <w:shd w:val="clear" w:color="auto" w:fill="D9D9D9" w:themeFill="background1" w:themeFillShade="D9"/>
          </w:tcPr>
          <w:p w:rsidR="00C431BD" w:rsidRPr="00200420" w:rsidRDefault="00C431BD" w:rsidP="007C3DA0">
            <w:pPr>
              <w:jc w:val="center"/>
            </w:pPr>
            <w:r>
              <w:t>13.2</w:t>
            </w:r>
          </w:p>
        </w:tc>
        <w:tc>
          <w:tcPr>
            <w:tcW w:w="6030" w:type="dxa"/>
            <w:shd w:val="clear" w:color="auto" w:fill="D9D9D9" w:themeFill="background1" w:themeFillShade="D9"/>
          </w:tcPr>
          <w:p w:rsidR="00C51220" w:rsidRPr="00C51220" w:rsidRDefault="00881D57" w:rsidP="00881D57">
            <w:r>
              <w:t>OPEN</w:t>
            </w:r>
          </w:p>
          <w:p w:rsidR="00C51220" w:rsidRPr="00440369" w:rsidRDefault="00C51220" w:rsidP="00881D57">
            <w:pPr>
              <w:pStyle w:val="ListParagraph"/>
              <w:ind w:left="360"/>
              <w:jc w:val="both"/>
            </w:pPr>
          </w:p>
        </w:tc>
        <w:tc>
          <w:tcPr>
            <w:tcW w:w="1350" w:type="dxa"/>
            <w:shd w:val="clear" w:color="auto" w:fill="D9D9D9" w:themeFill="background1" w:themeFillShade="D9"/>
          </w:tcPr>
          <w:p w:rsidR="005D2614" w:rsidRPr="00200420" w:rsidRDefault="005D2614" w:rsidP="00C51220">
            <w:pPr>
              <w:jc w:val="center"/>
            </w:pPr>
          </w:p>
        </w:tc>
        <w:tc>
          <w:tcPr>
            <w:tcW w:w="1265" w:type="dxa"/>
            <w:shd w:val="clear" w:color="auto" w:fill="D9D9D9" w:themeFill="background1" w:themeFillShade="D9"/>
          </w:tcPr>
          <w:p w:rsidR="00C431BD" w:rsidRDefault="00C431BD" w:rsidP="007C3DA0"/>
          <w:p w:rsidR="00C431BD" w:rsidRPr="00200420" w:rsidRDefault="00C431BD" w:rsidP="007C3DA0"/>
        </w:tc>
      </w:tr>
      <w:tr w:rsidR="007C3DA0" w:rsidRPr="00200420" w:rsidTr="007A25A1">
        <w:tc>
          <w:tcPr>
            <w:tcW w:w="9455" w:type="dxa"/>
            <w:gridSpan w:val="4"/>
            <w:shd w:val="clear" w:color="auto" w:fill="auto"/>
          </w:tcPr>
          <w:p w:rsidR="007C3DA0" w:rsidRDefault="007C3DA0" w:rsidP="007C3DA0">
            <w:pPr>
              <w:jc w:val="center"/>
              <w:rPr>
                <w:b/>
                <w:sz w:val="32"/>
              </w:rPr>
            </w:pPr>
          </w:p>
          <w:p w:rsidR="007C3DA0" w:rsidRDefault="007C3DA0" w:rsidP="007C3DA0">
            <w:pPr>
              <w:jc w:val="center"/>
              <w:rPr>
                <w:b/>
                <w:sz w:val="32"/>
              </w:rPr>
            </w:pPr>
            <w:r w:rsidRPr="00930AAD">
              <w:rPr>
                <w:b/>
                <w:sz w:val="32"/>
              </w:rPr>
              <w:t xml:space="preserve">FINAL EXAM:  </w:t>
            </w:r>
            <w:r w:rsidR="003B7DAF">
              <w:rPr>
                <w:b/>
                <w:sz w:val="32"/>
              </w:rPr>
              <w:t>Monday</w:t>
            </w:r>
            <w:r w:rsidRPr="00930AAD">
              <w:rPr>
                <w:b/>
                <w:sz w:val="32"/>
              </w:rPr>
              <w:t xml:space="preserve">, </w:t>
            </w:r>
            <w:r w:rsidR="007A25A1">
              <w:rPr>
                <w:b/>
                <w:sz w:val="32"/>
              </w:rPr>
              <w:t>December 18</w:t>
            </w:r>
            <w:r>
              <w:rPr>
                <w:b/>
                <w:sz w:val="32"/>
              </w:rPr>
              <w:t>, 8:30 AM to 1</w:t>
            </w:r>
            <w:r w:rsidR="007A25A1">
              <w:rPr>
                <w:b/>
                <w:sz w:val="32"/>
              </w:rPr>
              <w:t>2:3</w:t>
            </w:r>
            <w:r>
              <w:rPr>
                <w:b/>
                <w:sz w:val="32"/>
              </w:rPr>
              <w:t>0 PM</w:t>
            </w:r>
            <w:r w:rsidRPr="00930AAD">
              <w:rPr>
                <w:b/>
                <w:sz w:val="32"/>
              </w:rPr>
              <w:t xml:space="preserve"> </w:t>
            </w:r>
          </w:p>
          <w:p w:rsidR="007C3DA0" w:rsidRPr="00930AAD" w:rsidRDefault="007C3DA0" w:rsidP="007C3DA0">
            <w:pPr>
              <w:jc w:val="center"/>
              <w:rPr>
                <w:b/>
                <w:sz w:val="28"/>
              </w:rPr>
            </w:pPr>
          </w:p>
        </w:tc>
      </w:tr>
    </w:tbl>
    <w:p w:rsidR="00A63DE7" w:rsidRPr="00200420" w:rsidRDefault="00A63DE7" w:rsidP="00930AAD"/>
    <w:sectPr w:rsidR="00A63DE7" w:rsidRPr="00200420" w:rsidSect="00090AB1">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AED" w:rsidRDefault="002A1AED" w:rsidP="005459B5">
      <w:r>
        <w:separator/>
      </w:r>
    </w:p>
  </w:endnote>
  <w:endnote w:type="continuationSeparator" w:id="0">
    <w:p w:rsidR="002A1AED" w:rsidRDefault="002A1AED" w:rsidP="0054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AED" w:rsidRDefault="002A1AED" w:rsidP="005459B5">
      <w:r>
        <w:separator/>
      </w:r>
    </w:p>
  </w:footnote>
  <w:footnote w:type="continuationSeparator" w:id="0">
    <w:p w:rsidR="002A1AED" w:rsidRDefault="002A1AED" w:rsidP="00545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E89"/>
    <w:multiLevelType w:val="hybridMultilevel"/>
    <w:tmpl w:val="7E2A9A7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1681C"/>
    <w:multiLevelType w:val="hybridMultilevel"/>
    <w:tmpl w:val="9D50929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07C19"/>
    <w:multiLevelType w:val="hybridMultilevel"/>
    <w:tmpl w:val="EC62E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A0776"/>
    <w:multiLevelType w:val="hybridMultilevel"/>
    <w:tmpl w:val="1F80BD7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507C5"/>
    <w:multiLevelType w:val="hybridMultilevel"/>
    <w:tmpl w:val="DF30B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D07B47"/>
    <w:multiLevelType w:val="hybridMultilevel"/>
    <w:tmpl w:val="41141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66534A"/>
    <w:multiLevelType w:val="hybridMultilevel"/>
    <w:tmpl w:val="248A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519EF"/>
    <w:multiLevelType w:val="hybridMultilevel"/>
    <w:tmpl w:val="57609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91FC9"/>
    <w:multiLevelType w:val="hybridMultilevel"/>
    <w:tmpl w:val="3D183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153C39"/>
    <w:multiLevelType w:val="hybridMultilevel"/>
    <w:tmpl w:val="281E491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D1E2E"/>
    <w:multiLevelType w:val="hybridMultilevel"/>
    <w:tmpl w:val="1C5C5F0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9F45EB"/>
    <w:multiLevelType w:val="hybridMultilevel"/>
    <w:tmpl w:val="0E04363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55308B"/>
    <w:multiLevelType w:val="hybridMultilevel"/>
    <w:tmpl w:val="1DF6CE7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06059"/>
    <w:multiLevelType w:val="hybridMultilevel"/>
    <w:tmpl w:val="3AB48D8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C0482"/>
    <w:multiLevelType w:val="hybridMultilevel"/>
    <w:tmpl w:val="B49EC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CD7120"/>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9E343E8"/>
    <w:multiLevelType w:val="hybridMultilevel"/>
    <w:tmpl w:val="5E88F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53297"/>
    <w:multiLevelType w:val="hybridMultilevel"/>
    <w:tmpl w:val="6FA21BF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902C2B"/>
    <w:multiLevelType w:val="hybridMultilevel"/>
    <w:tmpl w:val="969A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D2A7B6A"/>
    <w:multiLevelType w:val="hybridMultilevel"/>
    <w:tmpl w:val="E6CA8B3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8231D5"/>
    <w:multiLevelType w:val="hybridMultilevel"/>
    <w:tmpl w:val="4AB0D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ED45709"/>
    <w:multiLevelType w:val="hybridMultilevel"/>
    <w:tmpl w:val="3D02E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333070D"/>
    <w:multiLevelType w:val="hybridMultilevel"/>
    <w:tmpl w:val="5DCE0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C83BDE"/>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C8D690A"/>
    <w:multiLevelType w:val="hybridMultilevel"/>
    <w:tmpl w:val="79B0C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E51246F"/>
    <w:multiLevelType w:val="hybridMultilevel"/>
    <w:tmpl w:val="8090A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F382867"/>
    <w:multiLevelType w:val="hybridMultilevel"/>
    <w:tmpl w:val="CA1C3A3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9E57CB"/>
    <w:multiLevelType w:val="hybridMultilevel"/>
    <w:tmpl w:val="EF60E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52627C4"/>
    <w:multiLevelType w:val="hybridMultilevel"/>
    <w:tmpl w:val="CB9EE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605118E"/>
    <w:multiLevelType w:val="hybridMultilevel"/>
    <w:tmpl w:val="3994342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B604DD"/>
    <w:multiLevelType w:val="hybridMultilevel"/>
    <w:tmpl w:val="A65E1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910EDF"/>
    <w:multiLevelType w:val="hybridMultilevel"/>
    <w:tmpl w:val="60C8350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34468C"/>
    <w:multiLevelType w:val="hybridMultilevel"/>
    <w:tmpl w:val="2B664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C571A51"/>
    <w:multiLevelType w:val="hybridMultilevel"/>
    <w:tmpl w:val="AA2251C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A14B9B"/>
    <w:multiLevelType w:val="hybridMultilevel"/>
    <w:tmpl w:val="F83A5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68274A"/>
    <w:multiLevelType w:val="hybridMultilevel"/>
    <w:tmpl w:val="C87E136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7F3204"/>
    <w:multiLevelType w:val="hybridMultilevel"/>
    <w:tmpl w:val="07C09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3927064"/>
    <w:multiLevelType w:val="hybridMultilevel"/>
    <w:tmpl w:val="F8A45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156B2D"/>
    <w:multiLevelType w:val="hybridMultilevel"/>
    <w:tmpl w:val="A322E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BA4188D"/>
    <w:multiLevelType w:val="hybridMultilevel"/>
    <w:tmpl w:val="80165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C5109DB"/>
    <w:multiLevelType w:val="hybridMultilevel"/>
    <w:tmpl w:val="81C624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C85931"/>
    <w:multiLevelType w:val="hybridMultilevel"/>
    <w:tmpl w:val="1D06B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D6C6431"/>
    <w:multiLevelType w:val="hybridMultilevel"/>
    <w:tmpl w:val="160AC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A73688"/>
    <w:multiLevelType w:val="hybridMultilevel"/>
    <w:tmpl w:val="AF782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11C5844"/>
    <w:multiLevelType w:val="hybridMultilevel"/>
    <w:tmpl w:val="45A8A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1207615"/>
    <w:multiLevelType w:val="hybridMultilevel"/>
    <w:tmpl w:val="216A5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3938B4"/>
    <w:multiLevelType w:val="hybridMultilevel"/>
    <w:tmpl w:val="5FB4C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2607A69"/>
    <w:multiLevelType w:val="hybridMultilevel"/>
    <w:tmpl w:val="379EF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725332"/>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4A800E5"/>
    <w:multiLevelType w:val="hybridMultilevel"/>
    <w:tmpl w:val="0A443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51B23AE"/>
    <w:multiLevelType w:val="hybridMultilevel"/>
    <w:tmpl w:val="674AE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5241E25"/>
    <w:multiLevelType w:val="hybridMultilevel"/>
    <w:tmpl w:val="54A6F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85130A"/>
    <w:multiLevelType w:val="hybridMultilevel"/>
    <w:tmpl w:val="969A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6820AB7"/>
    <w:multiLevelType w:val="hybridMultilevel"/>
    <w:tmpl w:val="6A48C4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980D2E"/>
    <w:multiLevelType w:val="hybridMultilevel"/>
    <w:tmpl w:val="0B1ED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14A1621"/>
    <w:multiLevelType w:val="hybridMultilevel"/>
    <w:tmpl w:val="6C706D4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9A208D"/>
    <w:multiLevelType w:val="hybridMultilevel"/>
    <w:tmpl w:val="EF60E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7C54BFE"/>
    <w:multiLevelType w:val="hybridMultilevel"/>
    <w:tmpl w:val="369428C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367581"/>
    <w:multiLevelType w:val="hybridMultilevel"/>
    <w:tmpl w:val="63FC32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3B4BF4"/>
    <w:multiLevelType w:val="hybridMultilevel"/>
    <w:tmpl w:val="EC62E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1E40D99"/>
    <w:multiLevelType w:val="hybridMultilevel"/>
    <w:tmpl w:val="1FAA1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4F53E16"/>
    <w:multiLevelType w:val="hybridMultilevel"/>
    <w:tmpl w:val="2A0ED1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475CF8"/>
    <w:multiLevelType w:val="hybridMultilevel"/>
    <w:tmpl w:val="9B9AD34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FD66E4"/>
    <w:multiLevelType w:val="hybridMultilevel"/>
    <w:tmpl w:val="229030F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361154"/>
    <w:multiLevelType w:val="hybridMultilevel"/>
    <w:tmpl w:val="11B25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DC83A26"/>
    <w:multiLevelType w:val="hybridMultilevel"/>
    <w:tmpl w:val="50DA2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DFB61B4"/>
    <w:multiLevelType w:val="hybridMultilevel"/>
    <w:tmpl w:val="041610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33"/>
  </w:num>
  <w:num w:numId="4">
    <w:abstractNumId w:val="21"/>
  </w:num>
  <w:num w:numId="5">
    <w:abstractNumId w:val="53"/>
  </w:num>
  <w:num w:numId="6">
    <w:abstractNumId w:val="45"/>
  </w:num>
  <w:num w:numId="7">
    <w:abstractNumId w:val="24"/>
  </w:num>
  <w:num w:numId="8">
    <w:abstractNumId w:val="46"/>
  </w:num>
  <w:num w:numId="9">
    <w:abstractNumId w:val="38"/>
  </w:num>
  <w:num w:numId="10">
    <w:abstractNumId w:val="35"/>
  </w:num>
  <w:num w:numId="11">
    <w:abstractNumId w:val="15"/>
  </w:num>
  <w:num w:numId="12">
    <w:abstractNumId w:val="26"/>
  </w:num>
  <w:num w:numId="13">
    <w:abstractNumId w:val="20"/>
  </w:num>
  <w:num w:numId="14">
    <w:abstractNumId w:val="2"/>
  </w:num>
  <w:num w:numId="15">
    <w:abstractNumId w:val="51"/>
  </w:num>
  <w:num w:numId="16">
    <w:abstractNumId w:val="39"/>
  </w:num>
  <w:num w:numId="17">
    <w:abstractNumId w:val="12"/>
  </w:num>
  <w:num w:numId="18">
    <w:abstractNumId w:val="43"/>
  </w:num>
  <w:num w:numId="19">
    <w:abstractNumId w:val="4"/>
  </w:num>
  <w:num w:numId="20">
    <w:abstractNumId w:val="23"/>
  </w:num>
  <w:num w:numId="21">
    <w:abstractNumId w:val="36"/>
  </w:num>
  <w:num w:numId="22">
    <w:abstractNumId w:val="18"/>
  </w:num>
  <w:num w:numId="23">
    <w:abstractNumId w:val="41"/>
  </w:num>
  <w:num w:numId="24">
    <w:abstractNumId w:val="28"/>
  </w:num>
  <w:num w:numId="25">
    <w:abstractNumId w:val="27"/>
  </w:num>
  <w:num w:numId="26">
    <w:abstractNumId w:val="34"/>
  </w:num>
  <w:num w:numId="27">
    <w:abstractNumId w:val="56"/>
  </w:num>
  <w:num w:numId="28">
    <w:abstractNumId w:val="62"/>
  </w:num>
  <w:num w:numId="29">
    <w:abstractNumId w:val="0"/>
  </w:num>
  <w:num w:numId="30">
    <w:abstractNumId w:val="22"/>
  </w:num>
  <w:num w:numId="31">
    <w:abstractNumId w:val="47"/>
  </w:num>
  <w:num w:numId="32">
    <w:abstractNumId w:val="60"/>
  </w:num>
  <w:num w:numId="33">
    <w:abstractNumId w:val="5"/>
  </w:num>
  <w:num w:numId="34">
    <w:abstractNumId w:val="63"/>
  </w:num>
  <w:num w:numId="35">
    <w:abstractNumId w:val="30"/>
  </w:num>
  <w:num w:numId="36">
    <w:abstractNumId w:val="37"/>
  </w:num>
  <w:num w:numId="37">
    <w:abstractNumId w:val="67"/>
  </w:num>
  <w:num w:numId="38">
    <w:abstractNumId w:val="44"/>
  </w:num>
  <w:num w:numId="39">
    <w:abstractNumId w:val="1"/>
  </w:num>
  <w:num w:numId="40">
    <w:abstractNumId w:val="57"/>
  </w:num>
  <w:num w:numId="41">
    <w:abstractNumId w:val="64"/>
  </w:num>
  <w:num w:numId="42">
    <w:abstractNumId w:val="40"/>
  </w:num>
  <w:num w:numId="43">
    <w:abstractNumId w:val="58"/>
  </w:num>
  <w:num w:numId="44">
    <w:abstractNumId w:val="13"/>
  </w:num>
  <w:num w:numId="45">
    <w:abstractNumId w:val="49"/>
  </w:num>
  <w:num w:numId="46">
    <w:abstractNumId w:val="29"/>
  </w:num>
  <w:num w:numId="47">
    <w:abstractNumId w:val="48"/>
  </w:num>
  <w:num w:numId="48">
    <w:abstractNumId w:val="32"/>
  </w:num>
  <w:num w:numId="49">
    <w:abstractNumId w:val="10"/>
  </w:num>
  <w:num w:numId="50">
    <w:abstractNumId w:val="55"/>
  </w:num>
  <w:num w:numId="51">
    <w:abstractNumId w:val="54"/>
  </w:num>
  <w:num w:numId="52">
    <w:abstractNumId w:val="42"/>
  </w:num>
  <w:num w:numId="53">
    <w:abstractNumId w:val="14"/>
  </w:num>
  <w:num w:numId="54">
    <w:abstractNumId w:val="11"/>
  </w:num>
  <w:num w:numId="55">
    <w:abstractNumId w:val="16"/>
  </w:num>
  <w:num w:numId="56">
    <w:abstractNumId w:val="9"/>
  </w:num>
  <w:num w:numId="57">
    <w:abstractNumId w:val="50"/>
  </w:num>
  <w:num w:numId="58">
    <w:abstractNumId w:val="59"/>
  </w:num>
  <w:num w:numId="59">
    <w:abstractNumId w:val="3"/>
  </w:num>
  <w:num w:numId="60">
    <w:abstractNumId w:val="19"/>
  </w:num>
  <w:num w:numId="61">
    <w:abstractNumId w:val="61"/>
  </w:num>
  <w:num w:numId="62">
    <w:abstractNumId w:val="66"/>
  </w:num>
  <w:num w:numId="63">
    <w:abstractNumId w:val="17"/>
  </w:num>
  <w:num w:numId="64">
    <w:abstractNumId w:val="65"/>
  </w:num>
  <w:num w:numId="65">
    <w:abstractNumId w:val="31"/>
  </w:num>
  <w:num w:numId="66">
    <w:abstractNumId w:val="8"/>
  </w:num>
  <w:num w:numId="67">
    <w:abstractNumId w:val="52"/>
  </w:num>
  <w:num w:numId="68">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E7"/>
    <w:rsid w:val="00001C73"/>
    <w:rsid w:val="00002010"/>
    <w:rsid w:val="0000616B"/>
    <w:rsid w:val="00010B57"/>
    <w:rsid w:val="00013A9A"/>
    <w:rsid w:val="00024825"/>
    <w:rsid w:val="00025949"/>
    <w:rsid w:val="000330D3"/>
    <w:rsid w:val="00035A2A"/>
    <w:rsid w:val="00042839"/>
    <w:rsid w:val="00051D76"/>
    <w:rsid w:val="00052E7F"/>
    <w:rsid w:val="00055C86"/>
    <w:rsid w:val="00061591"/>
    <w:rsid w:val="00061D88"/>
    <w:rsid w:val="00080C5D"/>
    <w:rsid w:val="00081089"/>
    <w:rsid w:val="000834A6"/>
    <w:rsid w:val="00084204"/>
    <w:rsid w:val="00090AB1"/>
    <w:rsid w:val="00091156"/>
    <w:rsid w:val="00093019"/>
    <w:rsid w:val="000A0BC1"/>
    <w:rsid w:val="000A1E8B"/>
    <w:rsid w:val="000A7DE2"/>
    <w:rsid w:val="000C6935"/>
    <w:rsid w:val="000C7D17"/>
    <w:rsid w:val="000D0756"/>
    <w:rsid w:val="000D0CCD"/>
    <w:rsid w:val="000D1002"/>
    <w:rsid w:val="000D26B7"/>
    <w:rsid w:val="000D3557"/>
    <w:rsid w:val="000D402B"/>
    <w:rsid w:val="000F0767"/>
    <w:rsid w:val="000F79AE"/>
    <w:rsid w:val="00114D61"/>
    <w:rsid w:val="00117F70"/>
    <w:rsid w:val="001244CA"/>
    <w:rsid w:val="001260ED"/>
    <w:rsid w:val="00126A4C"/>
    <w:rsid w:val="00131BD9"/>
    <w:rsid w:val="001361E7"/>
    <w:rsid w:val="001362BB"/>
    <w:rsid w:val="00153DA6"/>
    <w:rsid w:val="001574B3"/>
    <w:rsid w:val="00161C9D"/>
    <w:rsid w:val="00171036"/>
    <w:rsid w:val="001732D0"/>
    <w:rsid w:val="001733F5"/>
    <w:rsid w:val="00182D9E"/>
    <w:rsid w:val="001838F3"/>
    <w:rsid w:val="001869BF"/>
    <w:rsid w:val="00190B54"/>
    <w:rsid w:val="001926E9"/>
    <w:rsid w:val="001939E7"/>
    <w:rsid w:val="00194F1F"/>
    <w:rsid w:val="0019648E"/>
    <w:rsid w:val="001A0D73"/>
    <w:rsid w:val="001A41C8"/>
    <w:rsid w:val="001B7BED"/>
    <w:rsid w:val="001C244A"/>
    <w:rsid w:val="001C2D27"/>
    <w:rsid w:val="001D4E80"/>
    <w:rsid w:val="001F2E83"/>
    <w:rsid w:val="002003A3"/>
    <w:rsid w:val="00200420"/>
    <w:rsid w:val="00201B66"/>
    <w:rsid w:val="00206E72"/>
    <w:rsid w:val="002103F8"/>
    <w:rsid w:val="00222C98"/>
    <w:rsid w:val="00234CFA"/>
    <w:rsid w:val="00237135"/>
    <w:rsid w:val="002416C9"/>
    <w:rsid w:val="00246FA8"/>
    <w:rsid w:val="002519F1"/>
    <w:rsid w:val="00252706"/>
    <w:rsid w:val="002673FC"/>
    <w:rsid w:val="002709F6"/>
    <w:rsid w:val="00275A4F"/>
    <w:rsid w:val="00281625"/>
    <w:rsid w:val="00285516"/>
    <w:rsid w:val="0029181D"/>
    <w:rsid w:val="002A1AED"/>
    <w:rsid w:val="002A3444"/>
    <w:rsid w:val="002D14A9"/>
    <w:rsid w:val="002D1B58"/>
    <w:rsid w:val="002D2666"/>
    <w:rsid w:val="002D2844"/>
    <w:rsid w:val="002D5D65"/>
    <w:rsid w:val="002E0053"/>
    <w:rsid w:val="002F3457"/>
    <w:rsid w:val="00301C56"/>
    <w:rsid w:val="003051E0"/>
    <w:rsid w:val="00307944"/>
    <w:rsid w:val="00310CC4"/>
    <w:rsid w:val="0031281A"/>
    <w:rsid w:val="00317AE6"/>
    <w:rsid w:val="00325041"/>
    <w:rsid w:val="003253D0"/>
    <w:rsid w:val="00332733"/>
    <w:rsid w:val="00341C33"/>
    <w:rsid w:val="003422ED"/>
    <w:rsid w:val="003542BC"/>
    <w:rsid w:val="00354D51"/>
    <w:rsid w:val="00360723"/>
    <w:rsid w:val="00360DAF"/>
    <w:rsid w:val="00361128"/>
    <w:rsid w:val="00363C43"/>
    <w:rsid w:val="003702D6"/>
    <w:rsid w:val="003B7DAF"/>
    <w:rsid w:val="003D3652"/>
    <w:rsid w:val="003E5957"/>
    <w:rsid w:val="003F1CD4"/>
    <w:rsid w:val="004016E5"/>
    <w:rsid w:val="00401A87"/>
    <w:rsid w:val="00403430"/>
    <w:rsid w:val="00415F77"/>
    <w:rsid w:val="00417B6C"/>
    <w:rsid w:val="00420F19"/>
    <w:rsid w:val="00423960"/>
    <w:rsid w:val="00423BF0"/>
    <w:rsid w:val="0043226E"/>
    <w:rsid w:val="00435D89"/>
    <w:rsid w:val="00440369"/>
    <w:rsid w:val="00441A68"/>
    <w:rsid w:val="00443556"/>
    <w:rsid w:val="004466FB"/>
    <w:rsid w:val="00450120"/>
    <w:rsid w:val="0045362F"/>
    <w:rsid w:val="00454FF0"/>
    <w:rsid w:val="004554F5"/>
    <w:rsid w:val="004747EE"/>
    <w:rsid w:val="0047602E"/>
    <w:rsid w:val="00476F0A"/>
    <w:rsid w:val="004802E8"/>
    <w:rsid w:val="00483D16"/>
    <w:rsid w:val="0048487B"/>
    <w:rsid w:val="00486C35"/>
    <w:rsid w:val="004970C1"/>
    <w:rsid w:val="004B08EC"/>
    <w:rsid w:val="004D4716"/>
    <w:rsid w:val="004E60CB"/>
    <w:rsid w:val="004F42E9"/>
    <w:rsid w:val="004F53D2"/>
    <w:rsid w:val="00501665"/>
    <w:rsid w:val="005048D5"/>
    <w:rsid w:val="00512450"/>
    <w:rsid w:val="00514426"/>
    <w:rsid w:val="00517050"/>
    <w:rsid w:val="00517ABF"/>
    <w:rsid w:val="00517ADB"/>
    <w:rsid w:val="00521542"/>
    <w:rsid w:val="00527FAC"/>
    <w:rsid w:val="00530631"/>
    <w:rsid w:val="00531792"/>
    <w:rsid w:val="00535858"/>
    <w:rsid w:val="005379BC"/>
    <w:rsid w:val="00541A33"/>
    <w:rsid w:val="00544D0D"/>
    <w:rsid w:val="005459B5"/>
    <w:rsid w:val="005461E0"/>
    <w:rsid w:val="00557BB6"/>
    <w:rsid w:val="005608E4"/>
    <w:rsid w:val="00564ADF"/>
    <w:rsid w:val="00576215"/>
    <w:rsid w:val="00581199"/>
    <w:rsid w:val="00582131"/>
    <w:rsid w:val="00592ECB"/>
    <w:rsid w:val="00594A8C"/>
    <w:rsid w:val="00595077"/>
    <w:rsid w:val="00595258"/>
    <w:rsid w:val="005A037A"/>
    <w:rsid w:val="005A1552"/>
    <w:rsid w:val="005A1ABD"/>
    <w:rsid w:val="005A28D6"/>
    <w:rsid w:val="005B0D26"/>
    <w:rsid w:val="005B1F82"/>
    <w:rsid w:val="005C2366"/>
    <w:rsid w:val="005D06A2"/>
    <w:rsid w:val="005D111E"/>
    <w:rsid w:val="005D2614"/>
    <w:rsid w:val="005E1B8F"/>
    <w:rsid w:val="005E37BC"/>
    <w:rsid w:val="005E69F1"/>
    <w:rsid w:val="005F1DC5"/>
    <w:rsid w:val="006061C2"/>
    <w:rsid w:val="00606766"/>
    <w:rsid w:val="00637B5A"/>
    <w:rsid w:val="00642696"/>
    <w:rsid w:val="00645F95"/>
    <w:rsid w:val="00650A65"/>
    <w:rsid w:val="00655535"/>
    <w:rsid w:val="00660D57"/>
    <w:rsid w:val="00667C00"/>
    <w:rsid w:val="00670E2E"/>
    <w:rsid w:val="0068569A"/>
    <w:rsid w:val="00690299"/>
    <w:rsid w:val="006946BB"/>
    <w:rsid w:val="00697080"/>
    <w:rsid w:val="006A5EE1"/>
    <w:rsid w:val="006A5F45"/>
    <w:rsid w:val="006B204F"/>
    <w:rsid w:val="006B2D85"/>
    <w:rsid w:val="006B2D9E"/>
    <w:rsid w:val="006C3BE6"/>
    <w:rsid w:val="006C69BB"/>
    <w:rsid w:val="006D09CC"/>
    <w:rsid w:val="006D32B0"/>
    <w:rsid w:val="006E7254"/>
    <w:rsid w:val="006F3B92"/>
    <w:rsid w:val="00702CFB"/>
    <w:rsid w:val="00713EC3"/>
    <w:rsid w:val="00717EB3"/>
    <w:rsid w:val="00723D80"/>
    <w:rsid w:val="00750205"/>
    <w:rsid w:val="007549A0"/>
    <w:rsid w:val="00757C6D"/>
    <w:rsid w:val="00764045"/>
    <w:rsid w:val="00764639"/>
    <w:rsid w:val="0076530A"/>
    <w:rsid w:val="0076530F"/>
    <w:rsid w:val="00771079"/>
    <w:rsid w:val="00784711"/>
    <w:rsid w:val="00786814"/>
    <w:rsid w:val="00795EB1"/>
    <w:rsid w:val="007A0615"/>
    <w:rsid w:val="007A25A1"/>
    <w:rsid w:val="007A2BB6"/>
    <w:rsid w:val="007A565E"/>
    <w:rsid w:val="007A6470"/>
    <w:rsid w:val="007B7E4F"/>
    <w:rsid w:val="007C0CDA"/>
    <w:rsid w:val="007C3DA0"/>
    <w:rsid w:val="007C5947"/>
    <w:rsid w:val="007E1407"/>
    <w:rsid w:val="007E27FE"/>
    <w:rsid w:val="007E4E9A"/>
    <w:rsid w:val="007E50DC"/>
    <w:rsid w:val="007E6BA2"/>
    <w:rsid w:val="007F3481"/>
    <w:rsid w:val="007F72FF"/>
    <w:rsid w:val="00800466"/>
    <w:rsid w:val="008007E2"/>
    <w:rsid w:val="00810A80"/>
    <w:rsid w:val="008167D8"/>
    <w:rsid w:val="00836B2F"/>
    <w:rsid w:val="008428F7"/>
    <w:rsid w:val="00843CFF"/>
    <w:rsid w:val="00846F73"/>
    <w:rsid w:val="00847674"/>
    <w:rsid w:val="00852CB0"/>
    <w:rsid w:val="00862735"/>
    <w:rsid w:val="008707BC"/>
    <w:rsid w:val="00872C09"/>
    <w:rsid w:val="00877A58"/>
    <w:rsid w:val="00881D57"/>
    <w:rsid w:val="00885AA3"/>
    <w:rsid w:val="008A5251"/>
    <w:rsid w:val="008A5BB0"/>
    <w:rsid w:val="008B60C9"/>
    <w:rsid w:val="008C137C"/>
    <w:rsid w:val="008D3D7D"/>
    <w:rsid w:val="008D4815"/>
    <w:rsid w:val="008D7C8A"/>
    <w:rsid w:val="008E3D62"/>
    <w:rsid w:val="008F148A"/>
    <w:rsid w:val="008F1B66"/>
    <w:rsid w:val="008F7F10"/>
    <w:rsid w:val="00906F45"/>
    <w:rsid w:val="00915346"/>
    <w:rsid w:val="00930522"/>
    <w:rsid w:val="00930AAD"/>
    <w:rsid w:val="009337BB"/>
    <w:rsid w:val="009434A8"/>
    <w:rsid w:val="0094520B"/>
    <w:rsid w:val="00945779"/>
    <w:rsid w:val="00963287"/>
    <w:rsid w:val="0096364D"/>
    <w:rsid w:val="009637D9"/>
    <w:rsid w:val="00964452"/>
    <w:rsid w:val="009644E3"/>
    <w:rsid w:val="00972F70"/>
    <w:rsid w:val="00975B31"/>
    <w:rsid w:val="009833D1"/>
    <w:rsid w:val="00987638"/>
    <w:rsid w:val="00992281"/>
    <w:rsid w:val="009925A4"/>
    <w:rsid w:val="00997F2C"/>
    <w:rsid w:val="009A3411"/>
    <w:rsid w:val="009A74D1"/>
    <w:rsid w:val="009B1252"/>
    <w:rsid w:val="009B3F1B"/>
    <w:rsid w:val="009B42D6"/>
    <w:rsid w:val="009B70DB"/>
    <w:rsid w:val="009C186F"/>
    <w:rsid w:val="009C3C3D"/>
    <w:rsid w:val="009C3DC1"/>
    <w:rsid w:val="009D4473"/>
    <w:rsid w:val="009D4F5A"/>
    <w:rsid w:val="009D65E2"/>
    <w:rsid w:val="009E1377"/>
    <w:rsid w:val="009E7980"/>
    <w:rsid w:val="009F7171"/>
    <w:rsid w:val="00A02BF9"/>
    <w:rsid w:val="00A15111"/>
    <w:rsid w:val="00A16B87"/>
    <w:rsid w:val="00A24B30"/>
    <w:rsid w:val="00A25531"/>
    <w:rsid w:val="00A27D34"/>
    <w:rsid w:val="00A3035A"/>
    <w:rsid w:val="00A4415C"/>
    <w:rsid w:val="00A4530E"/>
    <w:rsid w:val="00A5791B"/>
    <w:rsid w:val="00A60DA4"/>
    <w:rsid w:val="00A63DE7"/>
    <w:rsid w:val="00A640B8"/>
    <w:rsid w:val="00A70139"/>
    <w:rsid w:val="00A75AB9"/>
    <w:rsid w:val="00A82920"/>
    <w:rsid w:val="00A86A06"/>
    <w:rsid w:val="00AA132F"/>
    <w:rsid w:val="00AC2968"/>
    <w:rsid w:val="00AC45D0"/>
    <w:rsid w:val="00AC7AE9"/>
    <w:rsid w:val="00AE308C"/>
    <w:rsid w:val="00AF0459"/>
    <w:rsid w:val="00AF10F2"/>
    <w:rsid w:val="00AF4122"/>
    <w:rsid w:val="00AF42D9"/>
    <w:rsid w:val="00AF7299"/>
    <w:rsid w:val="00B202C2"/>
    <w:rsid w:val="00B22FA6"/>
    <w:rsid w:val="00B25E2F"/>
    <w:rsid w:val="00B354D2"/>
    <w:rsid w:val="00B36FCC"/>
    <w:rsid w:val="00B413FE"/>
    <w:rsid w:val="00B53DBF"/>
    <w:rsid w:val="00B561E2"/>
    <w:rsid w:val="00B57935"/>
    <w:rsid w:val="00B57986"/>
    <w:rsid w:val="00B60AEE"/>
    <w:rsid w:val="00B63663"/>
    <w:rsid w:val="00B708F2"/>
    <w:rsid w:val="00B77088"/>
    <w:rsid w:val="00B81F0D"/>
    <w:rsid w:val="00B85BC2"/>
    <w:rsid w:val="00B91A68"/>
    <w:rsid w:val="00B94B58"/>
    <w:rsid w:val="00BA57D8"/>
    <w:rsid w:val="00BB5658"/>
    <w:rsid w:val="00BC1573"/>
    <w:rsid w:val="00BD0C6E"/>
    <w:rsid w:val="00BE053A"/>
    <w:rsid w:val="00BF00A2"/>
    <w:rsid w:val="00BF351E"/>
    <w:rsid w:val="00BF4725"/>
    <w:rsid w:val="00C00555"/>
    <w:rsid w:val="00C030B9"/>
    <w:rsid w:val="00C05310"/>
    <w:rsid w:val="00C05FAE"/>
    <w:rsid w:val="00C1059B"/>
    <w:rsid w:val="00C27ADC"/>
    <w:rsid w:val="00C33B4A"/>
    <w:rsid w:val="00C3525B"/>
    <w:rsid w:val="00C35F68"/>
    <w:rsid w:val="00C41221"/>
    <w:rsid w:val="00C431BD"/>
    <w:rsid w:val="00C51220"/>
    <w:rsid w:val="00C54B86"/>
    <w:rsid w:val="00C63AC1"/>
    <w:rsid w:val="00C6471E"/>
    <w:rsid w:val="00C8006A"/>
    <w:rsid w:val="00C80152"/>
    <w:rsid w:val="00C80A13"/>
    <w:rsid w:val="00C848F3"/>
    <w:rsid w:val="00C97EB4"/>
    <w:rsid w:val="00CA04D2"/>
    <w:rsid w:val="00CA1DE9"/>
    <w:rsid w:val="00CB2A6A"/>
    <w:rsid w:val="00CB31F7"/>
    <w:rsid w:val="00CB5574"/>
    <w:rsid w:val="00CD144F"/>
    <w:rsid w:val="00CD1FC3"/>
    <w:rsid w:val="00CD499F"/>
    <w:rsid w:val="00CE15B0"/>
    <w:rsid w:val="00CE1F3F"/>
    <w:rsid w:val="00CE5B5C"/>
    <w:rsid w:val="00CE5F21"/>
    <w:rsid w:val="00CF1962"/>
    <w:rsid w:val="00D0169D"/>
    <w:rsid w:val="00D01FEB"/>
    <w:rsid w:val="00D03CED"/>
    <w:rsid w:val="00D04626"/>
    <w:rsid w:val="00D1613A"/>
    <w:rsid w:val="00D32178"/>
    <w:rsid w:val="00D3335B"/>
    <w:rsid w:val="00D3412D"/>
    <w:rsid w:val="00D37F6B"/>
    <w:rsid w:val="00D45FF1"/>
    <w:rsid w:val="00D53144"/>
    <w:rsid w:val="00D63DCB"/>
    <w:rsid w:val="00D652BE"/>
    <w:rsid w:val="00D65334"/>
    <w:rsid w:val="00D654F8"/>
    <w:rsid w:val="00D72316"/>
    <w:rsid w:val="00D7362B"/>
    <w:rsid w:val="00D819B2"/>
    <w:rsid w:val="00D81AF1"/>
    <w:rsid w:val="00D92D1A"/>
    <w:rsid w:val="00DA7AF1"/>
    <w:rsid w:val="00DB03D5"/>
    <w:rsid w:val="00DB19E4"/>
    <w:rsid w:val="00DC13DD"/>
    <w:rsid w:val="00DC23FE"/>
    <w:rsid w:val="00DC3CFD"/>
    <w:rsid w:val="00DC4835"/>
    <w:rsid w:val="00DC5A77"/>
    <w:rsid w:val="00DD281C"/>
    <w:rsid w:val="00DD28E5"/>
    <w:rsid w:val="00DD7946"/>
    <w:rsid w:val="00DE7D4F"/>
    <w:rsid w:val="00DF16C3"/>
    <w:rsid w:val="00DF3A11"/>
    <w:rsid w:val="00E00677"/>
    <w:rsid w:val="00E07559"/>
    <w:rsid w:val="00E1349E"/>
    <w:rsid w:val="00E1609C"/>
    <w:rsid w:val="00E36C07"/>
    <w:rsid w:val="00E43AB5"/>
    <w:rsid w:val="00E458F1"/>
    <w:rsid w:val="00E5456B"/>
    <w:rsid w:val="00E7119D"/>
    <w:rsid w:val="00E7185E"/>
    <w:rsid w:val="00E71AA5"/>
    <w:rsid w:val="00E71BAA"/>
    <w:rsid w:val="00E85126"/>
    <w:rsid w:val="00E909F8"/>
    <w:rsid w:val="00E90EFF"/>
    <w:rsid w:val="00E9223C"/>
    <w:rsid w:val="00E93294"/>
    <w:rsid w:val="00E93E0B"/>
    <w:rsid w:val="00EA48F0"/>
    <w:rsid w:val="00EB0D11"/>
    <w:rsid w:val="00EB437C"/>
    <w:rsid w:val="00EB5360"/>
    <w:rsid w:val="00EC7487"/>
    <w:rsid w:val="00EF2A9A"/>
    <w:rsid w:val="00EF3940"/>
    <w:rsid w:val="00EF6762"/>
    <w:rsid w:val="00F0076C"/>
    <w:rsid w:val="00F01104"/>
    <w:rsid w:val="00F0703B"/>
    <w:rsid w:val="00F17803"/>
    <w:rsid w:val="00F22093"/>
    <w:rsid w:val="00F23605"/>
    <w:rsid w:val="00F24C50"/>
    <w:rsid w:val="00F25E72"/>
    <w:rsid w:val="00F26258"/>
    <w:rsid w:val="00F41A69"/>
    <w:rsid w:val="00F463B9"/>
    <w:rsid w:val="00F62A46"/>
    <w:rsid w:val="00F63938"/>
    <w:rsid w:val="00F74B45"/>
    <w:rsid w:val="00F85E6F"/>
    <w:rsid w:val="00F970A8"/>
    <w:rsid w:val="00F9742D"/>
    <w:rsid w:val="00FA6CDD"/>
    <w:rsid w:val="00FB0B82"/>
    <w:rsid w:val="00FB7B6B"/>
    <w:rsid w:val="00FE0E57"/>
    <w:rsid w:val="00FE1F8E"/>
    <w:rsid w:val="00FE7C33"/>
    <w:rsid w:val="00FF4A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5E43"/>
  <w15:docId w15:val="{0C057C4E-B070-477A-BBB8-ACD271EB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D01F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5251"/>
    <w:rPr>
      <w:color w:val="0563C1"/>
      <w:u w:val="single"/>
    </w:rPr>
  </w:style>
  <w:style w:type="paragraph" w:styleId="Header">
    <w:name w:val="header"/>
    <w:basedOn w:val="Normal"/>
    <w:link w:val="HeaderChar"/>
    <w:uiPriority w:val="99"/>
    <w:unhideWhenUsed/>
    <w:rsid w:val="005459B5"/>
    <w:pPr>
      <w:tabs>
        <w:tab w:val="center" w:pos="4680"/>
        <w:tab w:val="right" w:pos="9360"/>
      </w:tabs>
    </w:pPr>
  </w:style>
  <w:style w:type="character" w:customStyle="1" w:styleId="HeaderChar">
    <w:name w:val="Header Char"/>
    <w:basedOn w:val="DefaultParagraphFont"/>
    <w:link w:val="Header"/>
    <w:uiPriority w:val="99"/>
    <w:rsid w:val="005459B5"/>
  </w:style>
  <w:style w:type="paragraph" w:styleId="Footer">
    <w:name w:val="footer"/>
    <w:basedOn w:val="Normal"/>
    <w:link w:val="FooterChar"/>
    <w:uiPriority w:val="99"/>
    <w:unhideWhenUsed/>
    <w:rsid w:val="005459B5"/>
    <w:pPr>
      <w:tabs>
        <w:tab w:val="center" w:pos="4680"/>
        <w:tab w:val="right" w:pos="9360"/>
      </w:tabs>
    </w:pPr>
  </w:style>
  <w:style w:type="character" w:customStyle="1" w:styleId="FooterChar">
    <w:name w:val="Footer Char"/>
    <w:basedOn w:val="DefaultParagraphFont"/>
    <w:link w:val="Footer"/>
    <w:uiPriority w:val="99"/>
    <w:rsid w:val="005459B5"/>
  </w:style>
  <w:style w:type="character" w:customStyle="1" w:styleId="Heading2Char">
    <w:name w:val="Heading 2 Char"/>
    <w:basedOn w:val="DefaultParagraphFont"/>
    <w:link w:val="Heading2"/>
    <w:uiPriority w:val="9"/>
    <w:rsid w:val="00D01FE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theme" Target="theme/theme1.xm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7" Type="http://schemas.openxmlformats.org/officeDocument/2006/relationships/hyperlink" Target="http://www.law.ufl.edu/student-affairs/current-students/academic-policies"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s://gatorevals.aa.ufl.edu/public-results/" TargetMode="Externa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s://ufl.bluera.com/ufl/"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s://gatorevals.aa.ufl.edu/students/" TargetMode="External"/><Relationship Id="rId8" Type="http://schemas.openxmlformats.org/officeDocument/2006/relationships/hyperlink" Target="https://catalog.ufl.edu/ugrad/current/regulations/info/attendance.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1544</TotalTime>
  <Pages>9</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Rhee, Robert J.</dc:creator>
  <cp:lastModifiedBy>Rhee,Robert J</cp:lastModifiedBy>
  <cp:revision>109</cp:revision>
  <cp:lastPrinted>2014-08-28T15:00:00Z</cp:lastPrinted>
  <dcterms:created xsi:type="dcterms:W3CDTF">2015-11-22T02:20:00Z</dcterms:created>
  <dcterms:modified xsi:type="dcterms:W3CDTF">2019-07-30T16:08:00Z</dcterms:modified>
</cp:coreProperties>
</file>