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701FDB95" w:rsidR="00DC571D" w:rsidRPr="000037B8" w:rsidRDefault="00A43FCB" w:rsidP="003D08CA">
      <w:pPr>
        <w:spacing w:after="40" w:line="259" w:lineRule="auto"/>
        <w:ind w:left="-90"/>
        <w:jc w:val="center"/>
        <w:rPr>
          <w:bCs/>
          <w:sz w:val="28"/>
          <w:szCs w:val="28"/>
        </w:rPr>
      </w:pPr>
      <w:r>
        <w:rPr>
          <w:b/>
          <w:sz w:val="28"/>
          <w:szCs w:val="28"/>
        </w:rPr>
        <w:t>ENVIRONMENTAL JUSTICE SEMINAR</w:t>
      </w:r>
    </w:p>
    <w:p w14:paraId="5352C854" w14:textId="6B8B70E8" w:rsidR="00DC571D" w:rsidRPr="000037B8" w:rsidRDefault="00DC571D" w:rsidP="003D08CA">
      <w:pPr>
        <w:spacing w:after="40" w:line="265" w:lineRule="auto"/>
        <w:ind w:left="1791" w:right="1718"/>
        <w:jc w:val="center"/>
        <w:rPr>
          <w:b/>
        </w:rPr>
      </w:pPr>
      <w:r w:rsidRPr="000037B8">
        <w:rPr>
          <w:b/>
        </w:rPr>
        <w:t>U</w:t>
      </w:r>
      <w:r w:rsidR="00B075D9" w:rsidRPr="000037B8">
        <w:rPr>
          <w:b/>
        </w:rPr>
        <w:t>niversity of Florida Levin College of Law</w:t>
      </w:r>
      <w:r w:rsidRPr="000037B8">
        <w:rPr>
          <w:b/>
        </w:rPr>
        <w:t xml:space="preserve"> </w:t>
      </w:r>
    </w:p>
    <w:p w14:paraId="1C42F52C" w14:textId="12375BC7" w:rsidR="001E2603" w:rsidRPr="000037B8" w:rsidRDefault="00095F63" w:rsidP="003D08CA">
      <w:pPr>
        <w:spacing w:after="40" w:line="265" w:lineRule="auto"/>
        <w:ind w:left="1791" w:right="1718"/>
        <w:jc w:val="center"/>
        <w:rPr>
          <w:b/>
          <w:smallCaps/>
        </w:rPr>
      </w:pPr>
      <w:r w:rsidRPr="000037B8">
        <w:rPr>
          <w:b/>
          <w:smallCaps/>
        </w:rPr>
        <w:t>S</w:t>
      </w:r>
      <w:r w:rsidR="00B075D9" w:rsidRPr="000037B8">
        <w:rPr>
          <w:b/>
          <w:smallCaps/>
        </w:rPr>
        <w:t>pring</w:t>
      </w:r>
      <w:r w:rsidRPr="000037B8">
        <w:rPr>
          <w:b/>
          <w:smallCaps/>
        </w:rPr>
        <w:t xml:space="preserve"> 2023 </w:t>
      </w:r>
      <w:r w:rsidR="00DC571D" w:rsidRPr="000037B8">
        <w:rPr>
          <w:b/>
          <w:smallCaps/>
        </w:rPr>
        <w:t>S</w:t>
      </w:r>
      <w:r w:rsidR="00B075D9" w:rsidRPr="000037B8">
        <w:rPr>
          <w:b/>
          <w:smallCaps/>
        </w:rPr>
        <w:t>yllabus</w:t>
      </w:r>
      <w:r w:rsidR="00DC571D" w:rsidRPr="000037B8">
        <w:rPr>
          <w:b/>
          <w:smallCaps/>
        </w:rPr>
        <w:t xml:space="preserve"> – LAW</w:t>
      </w:r>
      <w:r w:rsidR="00C50C4B" w:rsidRPr="000037B8">
        <w:rPr>
          <w:b/>
          <w:smallCaps/>
        </w:rPr>
        <w:t xml:space="preserve"> </w:t>
      </w:r>
      <w:r w:rsidR="00EB4D73" w:rsidRPr="000037B8">
        <w:rPr>
          <w:b/>
          <w:smallCaps/>
        </w:rPr>
        <w:t>6</w:t>
      </w:r>
      <w:r w:rsidR="00171284">
        <w:rPr>
          <w:b/>
          <w:smallCaps/>
        </w:rPr>
        <w:t>936</w:t>
      </w:r>
      <w:r w:rsidR="00DC571D" w:rsidRPr="000037B8">
        <w:rPr>
          <w:b/>
          <w:smallCaps/>
        </w:rPr>
        <w:t xml:space="preserve"> – </w:t>
      </w:r>
      <w:r w:rsidR="00A43FCB">
        <w:rPr>
          <w:b/>
          <w:smallCaps/>
        </w:rPr>
        <w:t>2</w:t>
      </w:r>
      <w:r w:rsidR="00DC571D" w:rsidRPr="000037B8">
        <w:rPr>
          <w:b/>
          <w:smallCaps/>
        </w:rPr>
        <w:t xml:space="preserve"> C</w:t>
      </w:r>
      <w:r w:rsidR="00B075D9" w:rsidRPr="000037B8">
        <w:rPr>
          <w:b/>
          <w:smallCaps/>
        </w:rPr>
        <w:t>redits</w:t>
      </w:r>
      <w:r w:rsidR="00DC571D" w:rsidRPr="000037B8">
        <w:rPr>
          <w:b/>
          <w:smallCaps/>
        </w:rPr>
        <w:t xml:space="preserve"> </w:t>
      </w:r>
    </w:p>
    <w:p w14:paraId="33DD6473" w14:textId="0730123F" w:rsidR="00156083" w:rsidRPr="000037B8" w:rsidRDefault="00B62345" w:rsidP="00FA5086">
      <w:pPr>
        <w:spacing w:before="180"/>
        <w:rPr>
          <w:b/>
          <w:bCs/>
        </w:rPr>
      </w:pPr>
      <w:r w:rsidRPr="000037B8">
        <w:rPr>
          <w:b/>
          <w:bCs/>
        </w:rPr>
        <w:t>Instructor</w:t>
      </w:r>
    </w:p>
    <w:p w14:paraId="47E47726" w14:textId="4F634D4B" w:rsidR="006A5D34" w:rsidRPr="000037B8" w:rsidRDefault="006A5D34" w:rsidP="00156083">
      <w:pPr>
        <w:spacing w:before="120"/>
        <w:ind w:left="360"/>
      </w:pPr>
      <w:r w:rsidRPr="000037B8">
        <w:t xml:space="preserve">Professor </w:t>
      </w:r>
      <w:r w:rsidR="00E23E53" w:rsidRPr="000037B8">
        <w:t>James M. Van Nostrand</w:t>
      </w:r>
    </w:p>
    <w:p w14:paraId="22BBBF3A" w14:textId="35CC5BE1" w:rsidR="006A5D34" w:rsidRPr="000037B8" w:rsidRDefault="00F6228A" w:rsidP="00156083">
      <w:pPr>
        <w:ind w:left="360"/>
      </w:pPr>
      <w:r w:rsidRPr="000037B8">
        <w:t xml:space="preserve">Office: </w:t>
      </w:r>
      <w:r w:rsidR="00FD744C" w:rsidRPr="000037B8">
        <w:t>HOL 339</w:t>
      </w:r>
    </w:p>
    <w:p w14:paraId="17A3E66B" w14:textId="4CA706A3" w:rsidR="006A5D34" w:rsidRPr="000037B8" w:rsidRDefault="006A5D34" w:rsidP="00156083">
      <w:pPr>
        <w:ind w:left="360"/>
      </w:pPr>
      <w:r w:rsidRPr="000037B8">
        <w:t xml:space="preserve">Office Phone: </w:t>
      </w:r>
      <w:r w:rsidR="00285408">
        <w:t>(</w:t>
      </w:r>
      <w:r w:rsidR="00F94DDE">
        <w:t>352</w:t>
      </w:r>
      <w:r w:rsidR="00285408">
        <w:t>)</w:t>
      </w:r>
      <w:r w:rsidR="00F94DDE">
        <w:t>-273-0</w:t>
      </w:r>
      <w:r w:rsidR="007A6ADD">
        <w:t>978</w:t>
      </w:r>
    </w:p>
    <w:p w14:paraId="74AD7035" w14:textId="08CB4423" w:rsidR="00F6228A" w:rsidRPr="000037B8" w:rsidRDefault="00F6228A" w:rsidP="00156083">
      <w:pPr>
        <w:ind w:left="360"/>
      </w:pPr>
      <w:r w:rsidRPr="000037B8">
        <w:t>Cell Phone: (304) 777-6050</w:t>
      </w:r>
    </w:p>
    <w:p w14:paraId="05CB6241" w14:textId="28F32FC7" w:rsidR="006A5D34" w:rsidRPr="000037B8" w:rsidRDefault="006A5D34" w:rsidP="00156083">
      <w:pPr>
        <w:ind w:left="360"/>
      </w:pPr>
      <w:r w:rsidRPr="000037B8">
        <w:t xml:space="preserve">Email: </w:t>
      </w:r>
      <w:r w:rsidR="001B2905" w:rsidRPr="000037B8">
        <w:t>vannostrand@law.ufl.edu</w:t>
      </w:r>
    </w:p>
    <w:p w14:paraId="668500BF" w14:textId="086C5DAC" w:rsidR="006A5D34" w:rsidRPr="000037B8" w:rsidRDefault="006A5D34" w:rsidP="00156083">
      <w:pPr>
        <w:ind w:left="360"/>
        <w:rPr>
          <w:lang w:eastAsia="zh-CN"/>
        </w:rPr>
      </w:pPr>
      <w:r w:rsidRPr="000037B8">
        <w:t xml:space="preserve">Office Hours: </w:t>
      </w:r>
      <w:r w:rsidR="000401D6" w:rsidRPr="000037B8">
        <w:t>3:00 to 4:00 pm on Mondays and Wednesdays</w:t>
      </w:r>
    </w:p>
    <w:p w14:paraId="0F01024E" w14:textId="47610680" w:rsidR="00B62345" w:rsidRPr="000037B8" w:rsidRDefault="007241F2" w:rsidP="00FA5086">
      <w:pPr>
        <w:shd w:val="clear" w:color="auto" w:fill="FFFFFF"/>
        <w:spacing w:before="180" w:after="120"/>
        <w:rPr>
          <w:b/>
        </w:rPr>
      </w:pPr>
      <w:r w:rsidRPr="000037B8">
        <w:rPr>
          <w:b/>
        </w:rPr>
        <w:t>Class Schedule and Location</w:t>
      </w:r>
    </w:p>
    <w:p w14:paraId="329582A2" w14:textId="7655749E" w:rsidR="00242088" w:rsidRPr="000037B8" w:rsidRDefault="00BE4BBB" w:rsidP="00B62345">
      <w:pPr>
        <w:shd w:val="clear" w:color="auto" w:fill="FFFFFF"/>
        <w:spacing w:before="120" w:after="120"/>
        <w:ind w:left="360"/>
        <w:rPr>
          <w:bCs/>
          <w:lang w:eastAsia="zh-CN"/>
        </w:rPr>
      </w:pPr>
      <w:r w:rsidRPr="000037B8">
        <w:rPr>
          <w:bCs/>
        </w:rPr>
        <w:t xml:space="preserve">The class meets on </w:t>
      </w:r>
      <w:r w:rsidR="00363A5A">
        <w:rPr>
          <w:bCs/>
        </w:rPr>
        <w:t>Tuesday</w:t>
      </w:r>
      <w:r w:rsidR="00474714">
        <w:rPr>
          <w:bCs/>
        </w:rPr>
        <w:t xml:space="preserve"> afternoons</w:t>
      </w:r>
      <w:r w:rsidRPr="000037B8">
        <w:rPr>
          <w:bCs/>
        </w:rPr>
        <w:t xml:space="preserve"> from </w:t>
      </w:r>
      <w:r w:rsidR="00474714">
        <w:rPr>
          <w:bCs/>
        </w:rPr>
        <w:t xml:space="preserve">4:00 to 6:00 </w:t>
      </w:r>
      <w:r w:rsidR="007241F2" w:rsidRPr="000037B8">
        <w:rPr>
          <w:bCs/>
        </w:rPr>
        <w:t>in HOL 359</w:t>
      </w:r>
      <w:r w:rsidR="00B94D56">
        <w:rPr>
          <w:bCs/>
        </w:rPr>
        <w:t>.</w:t>
      </w:r>
    </w:p>
    <w:p w14:paraId="5373273B" w14:textId="594AB49B" w:rsidR="00B47272" w:rsidRPr="000037B8" w:rsidRDefault="007241F2" w:rsidP="00FA5086">
      <w:pPr>
        <w:spacing w:before="180" w:after="120"/>
        <w:rPr>
          <w:b/>
        </w:rPr>
      </w:pPr>
      <w:r w:rsidRPr="000037B8">
        <w:rPr>
          <w:b/>
        </w:rPr>
        <w:t>Course Description and Objectives</w:t>
      </w:r>
    </w:p>
    <w:p w14:paraId="6FECC7C9" w14:textId="472DA5A5" w:rsidR="006A5D34" w:rsidRPr="000037B8" w:rsidRDefault="00B41F0D" w:rsidP="003D08CA">
      <w:pPr>
        <w:ind w:left="360"/>
        <w:jc w:val="both"/>
        <w:rPr>
          <w:bCs/>
        </w:rPr>
      </w:pPr>
      <w:r w:rsidRPr="00B41F0D">
        <w:rPr>
          <w:bCs/>
        </w:rPr>
        <w:t>This two-credit seminar covers the foundations of, and current developments in, the field of environmental justice, and cultivates lawyering skills to proactively engage in this area of law and policy. Environmental justice</w:t>
      </w:r>
      <w:r w:rsidR="00112E9E">
        <w:rPr>
          <w:bCs/>
        </w:rPr>
        <w:t>—</w:t>
      </w:r>
      <w:r w:rsidRPr="00B41F0D">
        <w:rPr>
          <w:bCs/>
        </w:rPr>
        <w:t>as</w:t>
      </w:r>
      <w:r w:rsidR="00112E9E">
        <w:rPr>
          <w:bCs/>
        </w:rPr>
        <w:t xml:space="preserve"> </w:t>
      </w:r>
      <w:r w:rsidRPr="00B41F0D">
        <w:rPr>
          <w:bCs/>
        </w:rPr>
        <w:t>a field of study, practice, and citizen activism</w:t>
      </w:r>
      <w:r w:rsidR="00112E9E">
        <w:rPr>
          <w:bCs/>
        </w:rPr>
        <w:t>—</w:t>
      </w:r>
      <w:r w:rsidRPr="00B41F0D">
        <w:rPr>
          <w:bCs/>
        </w:rPr>
        <w:t>grew</w:t>
      </w:r>
      <w:r w:rsidR="00112E9E">
        <w:rPr>
          <w:bCs/>
        </w:rPr>
        <w:t xml:space="preserve"> </w:t>
      </w:r>
      <w:r w:rsidRPr="00B41F0D">
        <w:rPr>
          <w:bCs/>
        </w:rPr>
        <w:t xml:space="preserve">out of the civil rights movement, supported by statistical evidence that marginalized and disenfranchised communities, often of color and lower income, are more likely to be proximate to industrial activities with residents exposed to negative environmental and public health conditions. </w:t>
      </w:r>
      <w:r w:rsidR="00112E9E">
        <w:rPr>
          <w:bCs/>
        </w:rPr>
        <w:t>Although t</w:t>
      </w:r>
      <w:r w:rsidRPr="00B41F0D">
        <w:rPr>
          <w:bCs/>
        </w:rPr>
        <w:t xml:space="preserve">he course focus is largely on U.S. environmental justice issues and practice, </w:t>
      </w:r>
      <w:r w:rsidR="00112E9E">
        <w:rPr>
          <w:bCs/>
        </w:rPr>
        <w:t xml:space="preserve">readings </w:t>
      </w:r>
      <w:r w:rsidRPr="00B41F0D">
        <w:rPr>
          <w:bCs/>
        </w:rPr>
        <w:t>and discussions will address environmental concerns that extend beyond U.S. borders</w:t>
      </w:r>
      <w:r w:rsidR="007846EC">
        <w:rPr>
          <w:bCs/>
        </w:rPr>
        <w:t>—</w:t>
      </w:r>
      <w:r w:rsidRPr="00B41F0D">
        <w:rPr>
          <w:bCs/>
        </w:rPr>
        <w:t>including</w:t>
      </w:r>
      <w:r w:rsidR="007846EC">
        <w:rPr>
          <w:bCs/>
        </w:rPr>
        <w:t xml:space="preserve"> </w:t>
      </w:r>
      <w:r w:rsidRPr="00B41F0D">
        <w:rPr>
          <w:bCs/>
        </w:rPr>
        <w:t>climate justice and disaster justice.</w:t>
      </w:r>
    </w:p>
    <w:p w14:paraId="69B96114" w14:textId="2B47C402" w:rsidR="006A5D34" w:rsidRPr="000037B8" w:rsidRDefault="00FA5086" w:rsidP="00FA5086">
      <w:pPr>
        <w:spacing w:before="180" w:after="120"/>
        <w:rPr>
          <w:b/>
        </w:rPr>
      </w:pPr>
      <w:r w:rsidRPr="000037B8">
        <w:rPr>
          <w:b/>
        </w:rPr>
        <w:t>Student Learning Outcomes</w:t>
      </w:r>
    </w:p>
    <w:p w14:paraId="07CE2E3C" w14:textId="542C0CAE" w:rsidR="006A5D34" w:rsidRPr="000037B8" w:rsidRDefault="00554674" w:rsidP="006B55DB">
      <w:pPr>
        <w:autoSpaceDE w:val="0"/>
        <w:autoSpaceDN w:val="0"/>
        <w:adjustRightInd w:val="0"/>
        <w:ind w:left="360"/>
        <w:jc w:val="both"/>
        <w:rPr>
          <w:b/>
          <w:bCs/>
        </w:rPr>
      </w:pPr>
      <w:r w:rsidRPr="00554674">
        <w:rPr>
          <w:bCs/>
        </w:rPr>
        <w:t xml:space="preserve">A student who completes this course should have knowledge and understanding of key legal, regulatory, and policy issues the field of environmental justice, and of relevant tools and strategies to engage with environmental justice concerns. </w:t>
      </w:r>
      <w:r w:rsidR="006A5D34" w:rsidRPr="000037B8">
        <w:rPr>
          <w:bCs/>
        </w:rPr>
        <w:t>At the end of this course, students should be able to:</w:t>
      </w:r>
    </w:p>
    <w:p w14:paraId="065D2D7B" w14:textId="38178C41" w:rsidR="00B9234F" w:rsidRPr="00B9234F" w:rsidRDefault="002A6E77" w:rsidP="006B55DB">
      <w:pPr>
        <w:numPr>
          <w:ilvl w:val="0"/>
          <w:numId w:val="43"/>
        </w:numPr>
        <w:spacing w:before="60" w:after="60"/>
        <w:jc w:val="both"/>
      </w:pPr>
      <w:r>
        <w:t>Demonstrate a basic understanding of t</w:t>
      </w:r>
      <w:r w:rsidR="00B9234F" w:rsidRPr="00B9234F">
        <w:t>he history of environmental justice, and key federal and state legal, regulatory, and policy developments.</w:t>
      </w:r>
    </w:p>
    <w:p w14:paraId="3FA68E31" w14:textId="2349719D" w:rsidR="00B9234F" w:rsidRPr="00B9234F" w:rsidRDefault="00CB023B" w:rsidP="006B55DB">
      <w:pPr>
        <w:numPr>
          <w:ilvl w:val="0"/>
          <w:numId w:val="43"/>
        </w:numPr>
        <w:spacing w:before="60" w:after="60"/>
        <w:jc w:val="both"/>
      </w:pPr>
      <w:r>
        <w:t>D</w:t>
      </w:r>
      <w:r w:rsidR="00D704B3">
        <w:t xml:space="preserve">escribe </w:t>
      </w:r>
      <w:r w:rsidR="00AD01E4">
        <w:t>t</w:t>
      </w:r>
      <w:r w:rsidR="00B9234F" w:rsidRPr="00B9234F">
        <w:t>he expansion of the environmental justice field over time to include climate, disaster, and social justice, broader concepts of equity, inclusion, and lived experience, and accompanying evolving terminology.</w:t>
      </w:r>
    </w:p>
    <w:p w14:paraId="73A9C4B7" w14:textId="53DDF548" w:rsidR="00B9234F" w:rsidRPr="00B9234F" w:rsidRDefault="00D704B3" w:rsidP="006B55DB">
      <w:pPr>
        <w:numPr>
          <w:ilvl w:val="0"/>
          <w:numId w:val="43"/>
        </w:numPr>
        <w:spacing w:before="60" w:after="60"/>
        <w:jc w:val="both"/>
      </w:pPr>
      <w:r>
        <w:t>Identify the r</w:t>
      </w:r>
      <w:r w:rsidR="00B9234F" w:rsidRPr="00B9234F">
        <w:t>ole of lawyers in responding to environmental justice based conflict</w:t>
      </w:r>
      <w:r w:rsidR="00226117">
        <w:t xml:space="preserve">, including </w:t>
      </w:r>
      <w:r w:rsidR="00B9234F" w:rsidRPr="00B9234F">
        <w:t xml:space="preserve">a variety of practice placements, </w:t>
      </w:r>
      <w:r w:rsidR="006B55DB">
        <w:t xml:space="preserve">including </w:t>
      </w:r>
      <w:r w:rsidR="00B9234F" w:rsidRPr="00B9234F">
        <w:t>nongovernmental organizations, government (local/state/federal/tribal), in-house counsel, private firms, or policy advisors.</w:t>
      </w:r>
    </w:p>
    <w:p w14:paraId="52EC954B" w14:textId="62F12A18" w:rsidR="00B9234F" w:rsidRPr="00B9234F" w:rsidRDefault="00B51B75" w:rsidP="006B55DB">
      <w:pPr>
        <w:numPr>
          <w:ilvl w:val="0"/>
          <w:numId w:val="43"/>
        </w:numPr>
        <w:spacing w:before="60" w:after="60"/>
        <w:jc w:val="both"/>
      </w:pPr>
      <w:r>
        <w:t>Articulate s</w:t>
      </w:r>
      <w:r w:rsidR="00B9234F" w:rsidRPr="00B9234F">
        <w:t>trategies for empowering clients in communities with environmental justice concerns.</w:t>
      </w:r>
    </w:p>
    <w:p w14:paraId="59283EFA" w14:textId="7A02E6D2" w:rsidR="00B9234F" w:rsidRPr="00B9234F" w:rsidRDefault="00B51B75" w:rsidP="006B55DB">
      <w:pPr>
        <w:numPr>
          <w:ilvl w:val="0"/>
          <w:numId w:val="43"/>
        </w:numPr>
        <w:spacing w:before="60" w:after="60"/>
        <w:jc w:val="both"/>
      </w:pPr>
      <w:r>
        <w:t>Id</w:t>
      </w:r>
      <w:r w:rsidR="00BB12FC">
        <w:t>entify r</w:t>
      </w:r>
      <w:r w:rsidR="00B9234F" w:rsidRPr="00B9234F">
        <w:t>emedies for environmental and public health burdens</w:t>
      </w:r>
      <w:r w:rsidR="003260CE">
        <w:t xml:space="preserve"> in the affected communities</w:t>
      </w:r>
      <w:r w:rsidR="00B9234F" w:rsidRPr="00B9234F">
        <w:t xml:space="preserve">, including litigation, application of administrative procedures, constitutional law, civil rights law, environmental dispute resolution, civil and criminal enforcement, voluntary </w:t>
      </w:r>
      <w:r w:rsidR="00B9234F" w:rsidRPr="00B9234F">
        <w:lastRenderedPageBreak/>
        <w:t>agreements such as community benefits agreements, supplemental environmental projects, and substantive changed outcomes as compared to procedural change.</w:t>
      </w:r>
    </w:p>
    <w:p w14:paraId="7804E9C3" w14:textId="61FDED98" w:rsidR="00B9234F" w:rsidRPr="00B9234F" w:rsidRDefault="003260CE" w:rsidP="006B55DB">
      <w:pPr>
        <w:numPr>
          <w:ilvl w:val="0"/>
          <w:numId w:val="43"/>
        </w:numPr>
        <w:spacing w:before="60" w:after="60"/>
        <w:jc w:val="both"/>
      </w:pPr>
      <w:r>
        <w:t>List the basic c</w:t>
      </w:r>
      <w:r w:rsidR="00B9234F" w:rsidRPr="00B9234F">
        <w:t>oncepts of risk assessment, access to information, and the application of mapping and technical tools to understand a community’s environmental exposures.</w:t>
      </w:r>
    </w:p>
    <w:p w14:paraId="715656C2" w14:textId="02564FE3" w:rsidR="00B9234F" w:rsidRPr="00B9234F" w:rsidRDefault="00722FC0" w:rsidP="006B55DB">
      <w:pPr>
        <w:spacing w:before="60" w:after="60"/>
        <w:ind w:left="360"/>
        <w:jc w:val="both"/>
      </w:pPr>
      <w:r>
        <w:t xml:space="preserve">The course </w:t>
      </w:r>
      <w:r w:rsidR="00B9234F" w:rsidRPr="00B9234F">
        <w:t xml:space="preserve">will </w:t>
      </w:r>
      <w:r>
        <w:t xml:space="preserve">also </w:t>
      </w:r>
      <w:r w:rsidR="00B9234F" w:rsidRPr="00B9234F">
        <w:t>undertake a</w:t>
      </w:r>
      <w:r>
        <w:t>n</w:t>
      </w:r>
      <w:r w:rsidR="00B9234F" w:rsidRPr="00B9234F">
        <w:t xml:space="preserve"> </w:t>
      </w:r>
      <w:r w:rsidRPr="00B9234F">
        <w:t xml:space="preserve">environmental conflict simulation </w:t>
      </w:r>
      <w:r w:rsidR="00CB023B">
        <w:t xml:space="preserve">from the </w:t>
      </w:r>
      <w:r w:rsidR="00B9234F" w:rsidRPr="00B9234F">
        <w:t>Harvard Program on Negotiation.</w:t>
      </w:r>
    </w:p>
    <w:p w14:paraId="0212562F" w14:textId="274BD903" w:rsidR="00DA68FE" w:rsidRPr="000037B8" w:rsidRDefault="000C1986" w:rsidP="000C1986">
      <w:pPr>
        <w:spacing w:before="180" w:after="120"/>
      </w:pPr>
      <w:r w:rsidRPr="000037B8">
        <w:rPr>
          <w:b/>
        </w:rPr>
        <w:t>Required Reading Materials</w:t>
      </w:r>
    </w:p>
    <w:p w14:paraId="7D4092F7" w14:textId="35953E7E" w:rsidR="00F421D5" w:rsidRPr="000037B8" w:rsidRDefault="00F421D5" w:rsidP="009007B6">
      <w:pPr>
        <w:autoSpaceDE w:val="0"/>
        <w:autoSpaceDN w:val="0"/>
        <w:adjustRightInd w:val="0"/>
        <w:ind w:left="360"/>
        <w:jc w:val="both"/>
      </w:pPr>
      <w:r w:rsidRPr="000037B8">
        <w:t xml:space="preserve">The casebook we will be using is </w:t>
      </w:r>
      <w:r w:rsidR="00F312DA">
        <w:rPr>
          <w:smallCaps/>
        </w:rPr>
        <w:t>Environmental Justice: Law, Policy &amp; Regulation</w:t>
      </w:r>
      <w:r w:rsidR="003D2F9C">
        <w:rPr>
          <w:smallCaps/>
        </w:rPr>
        <w:t xml:space="preserve">, </w:t>
      </w:r>
      <w:r w:rsidR="00F96179">
        <w:t>Villa</w:t>
      </w:r>
      <w:r w:rsidR="000A56C0" w:rsidRPr="000037B8">
        <w:t xml:space="preserve">, </w:t>
      </w:r>
      <w:r w:rsidR="00F96179">
        <w:t>Ahmad,</w:t>
      </w:r>
      <w:r w:rsidR="000A56C0" w:rsidRPr="000037B8">
        <w:t xml:space="preserve"> </w:t>
      </w:r>
      <w:proofErr w:type="spellStart"/>
      <w:r w:rsidR="006B1F57">
        <w:t>Bratspies</w:t>
      </w:r>
      <w:proofErr w:type="spellEnd"/>
      <w:r w:rsidR="000A56C0" w:rsidRPr="000037B8">
        <w:t xml:space="preserve">, </w:t>
      </w:r>
      <w:r w:rsidR="006B1F57">
        <w:t xml:space="preserve">Lin, </w:t>
      </w:r>
      <w:proofErr w:type="spellStart"/>
      <w:r w:rsidR="006B1F57">
        <w:t>Rechtschaffen</w:t>
      </w:r>
      <w:proofErr w:type="spellEnd"/>
      <w:r w:rsidR="006B1F57">
        <w:t xml:space="preserve">, </w:t>
      </w:r>
      <w:proofErr w:type="spellStart"/>
      <w:r w:rsidR="006B1F57">
        <w:t>Gauna</w:t>
      </w:r>
      <w:proofErr w:type="spellEnd"/>
      <w:r w:rsidR="000A56C0" w:rsidRPr="000037B8">
        <w:t xml:space="preserve"> &amp; </w:t>
      </w:r>
      <w:r w:rsidR="006B1F57">
        <w:t>O’Neill</w:t>
      </w:r>
      <w:r w:rsidR="000A56C0" w:rsidRPr="000037B8">
        <w:t>, (</w:t>
      </w:r>
      <w:r w:rsidR="003D2F9C">
        <w:t xml:space="preserve">Carolina Academic Press, </w:t>
      </w:r>
      <w:r w:rsidR="00F96179">
        <w:t xml:space="preserve">3d Ed. </w:t>
      </w:r>
      <w:r w:rsidR="000A56C0" w:rsidRPr="000037B8">
        <w:t>20</w:t>
      </w:r>
      <w:r w:rsidRPr="000037B8">
        <w:t>2</w:t>
      </w:r>
      <w:r w:rsidR="00F96179">
        <w:t>0</w:t>
      </w:r>
      <w:r w:rsidR="000A56C0" w:rsidRPr="000037B8">
        <w:t>)</w:t>
      </w:r>
      <w:r w:rsidRPr="000037B8">
        <w:t>.</w:t>
      </w:r>
    </w:p>
    <w:p w14:paraId="27D29B67" w14:textId="56E6B411" w:rsidR="00B47272" w:rsidRPr="000037B8" w:rsidRDefault="00321826" w:rsidP="009007B6">
      <w:pPr>
        <w:autoSpaceDE w:val="0"/>
        <w:autoSpaceDN w:val="0"/>
        <w:adjustRightInd w:val="0"/>
        <w:spacing w:before="120"/>
        <w:ind w:left="360"/>
        <w:jc w:val="both"/>
      </w:pPr>
      <w:r w:rsidRPr="000037B8">
        <w:t>P</w:t>
      </w:r>
      <w:r w:rsidR="00B942A3" w:rsidRPr="000037B8">
        <w:t>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w:t>
      </w:r>
    </w:p>
    <w:p w14:paraId="389F362B" w14:textId="77777777" w:rsidR="00DE478D" w:rsidRPr="000037B8" w:rsidRDefault="00DE478D" w:rsidP="00475233">
      <w:pPr>
        <w:spacing w:before="180" w:after="120"/>
        <w:rPr>
          <w:b/>
        </w:rPr>
      </w:pPr>
      <w:r w:rsidRPr="000037B8">
        <w:rPr>
          <w:b/>
        </w:rPr>
        <w:t>Course Expectations and Grading Evaluation</w:t>
      </w:r>
    </w:p>
    <w:p w14:paraId="2621FFDD" w14:textId="14999EB1" w:rsidR="0092659B" w:rsidRPr="0092659B" w:rsidRDefault="0092659B" w:rsidP="0092659B">
      <w:pPr>
        <w:spacing w:after="120"/>
        <w:ind w:left="360"/>
        <w:jc w:val="both"/>
        <w:rPr>
          <w:bCs/>
          <w:color w:val="000000" w:themeColor="text1"/>
        </w:rPr>
      </w:pPr>
      <w:r w:rsidRPr="0092659B">
        <w:rPr>
          <w:color w:val="000000" w:themeColor="text1"/>
        </w:rPr>
        <w:t>This seminar is structured in such a way as to satisfy the College of Law’s Advanced Writing Requirement</w:t>
      </w:r>
      <w:r w:rsidR="00650253">
        <w:rPr>
          <w:color w:val="000000" w:themeColor="text1"/>
        </w:rPr>
        <w:t xml:space="preserve">, as set forth in </w:t>
      </w:r>
      <w:r w:rsidRPr="0092659B">
        <w:rPr>
          <w:color w:val="000000" w:themeColor="text1"/>
        </w:rPr>
        <w:t xml:space="preserve">the </w:t>
      </w:r>
      <w:r w:rsidR="00216A19">
        <w:rPr>
          <w:color w:val="000000" w:themeColor="text1"/>
        </w:rPr>
        <w:t xml:space="preserve">UF Law Student Handbook </w:t>
      </w:r>
      <w:r w:rsidR="00DE06D2">
        <w:rPr>
          <w:color w:val="000000" w:themeColor="text1"/>
        </w:rPr>
        <w:t>&amp;</w:t>
      </w:r>
      <w:r w:rsidR="00216A19">
        <w:rPr>
          <w:color w:val="000000" w:themeColor="text1"/>
        </w:rPr>
        <w:t xml:space="preserve"> Academic Policies</w:t>
      </w:r>
      <w:r w:rsidR="002505AA">
        <w:rPr>
          <w:color w:val="000000" w:themeColor="text1"/>
        </w:rPr>
        <w:t>:</w:t>
      </w:r>
    </w:p>
    <w:p w14:paraId="01619223" w14:textId="0AAF9D12" w:rsidR="0092659B" w:rsidRPr="0092659B" w:rsidRDefault="00450F03" w:rsidP="00450F03">
      <w:pPr>
        <w:spacing w:after="120"/>
        <w:ind w:left="720" w:right="718"/>
        <w:jc w:val="both"/>
        <w:rPr>
          <w:color w:val="333132"/>
        </w:rPr>
      </w:pPr>
      <w:r w:rsidRPr="00450F03">
        <w:rPr>
          <w:color w:val="333132"/>
        </w:rPr>
        <w:t>All J.D. candidates must complete—under close faculty supervision—a major, written product that shows evidence of original scholarship based on individual research. Students often satisfy this requirement in a seminar course.</w:t>
      </w:r>
      <w:r w:rsidR="00DE06D2">
        <w:rPr>
          <w:color w:val="333132"/>
        </w:rPr>
        <w:t xml:space="preserve"> </w:t>
      </w:r>
      <w:r w:rsidR="00123771">
        <w:rPr>
          <w:color w:val="333132"/>
        </w:rPr>
        <w:t xml:space="preserve">. . . </w:t>
      </w:r>
      <w:r w:rsidRPr="00450F03">
        <w:rPr>
          <w:color w:val="333132"/>
        </w:rPr>
        <w:t>If fulfilled in an advanced course, the required writing may take the form of one or a number of finished written products that together demonstrate these qualities. The general standard for fulfillment of the advanced writing requirement is one or more papers that are cumulatively at least 25 pages of double-spaced, 12-point text or the equivalent.</w:t>
      </w:r>
    </w:p>
    <w:p w14:paraId="172FFBD2" w14:textId="74B057B5" w:rsidR="0092659B" w:rsidRPr="0092659B" w:rsidRDefault="00B62B54" w:rsidP="0092659B">
      <w:pPr>
        <w:spacing w:line="259" w:lineRule="auto"/>
        <w:ind w:left="360"/>
        <w:jc w:val="both"/>
        <w:rPr>
          <w:color w:val="333132"/>
        </w:rPr>
      </w:pPr>
      <w:r>
        <w:rPr>
          <w:color w:val="333132"/>
        </w:rPr>
        <w:t>To fulfill this requirement</w:t>
      </w:r>
      <w:r w:rsidR="0092659B" w:rsidRPr="0092659B">
        <w:rPr>
          <w:color w:val="333132"/>
        </w:rPr>
        <w:t xml:space="preserve"> in this seminar, students </w:t>
      </w:r>
      <w:r w:rsidR="008D37D0">
        <w:rPr>
          <w:color w:val="333132"/>
        </w:rPr>
        <w:t xml:space="preserve">have two options: </w:t>
      </w:r>
      <w:r w:rsidR="0051544C">
        <w:rPr>
          <w:color w:val="333132"/>
        </w:rPr>
        <w:t>(1) </w:t>
      </w:r>
      <w:r w:rsidR="0092659B" w:rsidRPr="0092659B">
        <w:rPr>
          <w:color w:val="333132"/>
        </w:rPr>
        <w:t xml:space="preserve">three reaction papers </w:t>
      </w:r>
      <w:r w:rsidR="003E752A">
        <w:rPr>
          <w:color w:val="333132"/>
        </w:rPr>
        <w:t xml:space="preserve">totaling about 25 pages, </w:t>
      </w:r>
      <w:r w:rsidR="0092659B" w:rsidRPr="0092659B">
        <w:rPr>
          <w:color w:val="333132"/>
        </w:rPr>
        <w:t xml:space="preserve">or </w:t>
      </w:r>
      <w:r w:rsidR="0051544C">
        <w:rPr>
          <w:color w:val="333132"/>
        </w:rPr>
        <w:t>(2) </w:t>
      </w:r>
      <w:r w:rsidR="0092659B" w:rsidRPr="0092659B">
        <w:rPr>
          <w:color w:val="333132"/>
        </w:rPr>
        <w:t xml:space="preserve">a longer, research paper. Both will satisfy the College of Law’s Advanced Writing Requirement. </w:t>
      </w:r>
      <w:r>
        <w:rPr>
          <w:color w:val="333132"/>
        </w:rPr>
        <w:t xml:space="preserve">These </w:t>
      </w:r>
      <w:r w:rsidR="0092659B" w:rsidRPr="0092659B">
        <w:rPr>
          <w:color w:val="333132"/>
        </w:rPr>
        <w:t xml:space="preserve">two options </w:t>
      </w:r>
      <w:r>
        <w:rPr>
          <w:color w:val="333132"/>
        </w:rPr>
        <w:t xml:space="preserve">are described </w:t>
      </w:r>
      <w:r w:rsidR="0092659B" w:rsidRPr="0092659B">
        <w:rPr>
          <w:color w:val="333132"/>
        </w:rPr>
        <w:t xml:space="preserve">in </w:t>
      </w:r>
      <w:r>
        <w:rPr>
          <w:color w:val="333132"/>
        </w:rPr>
        <w:t xml:space="preserve">greater </w:t>
      </w:r>
      <w:r w:rsidR="0092659B" w:rsidRPr="0092659B">
        <w:rPr>
          <w:color w:val="333132"/>
        </w:rPr>
        <w:t>detail below:</w:t>
      </w:r>
    </w:p>
    <w:p w14:paraId="26D843E2" w14:textId="3D867E27" w:rsidR="003D03BA" w:rsidRDefault="0092659B" w:rsidP="00837EE5">
      <w:pPr>
        <w:spacing w:before="120" w:after="120"/>
        <w:ind w:left="720" w:right="718"/>
        <w:jc w:val="both"/>
      </w:pPr>
      <w:r w:rsidRPr="0092659B">
        <w:rPr>
          <w:b/>
          <w:bCs/>
        </w:rPr>
        <w:t xml:space="preserve">Option #1: Three Reaction Papers: </w:t>
      </w:r>
      <w:r w:rsidRPr="0092659B">
        <w:t xml:space="preserve">Students will write three papers </w:t>
      </w:r>
      <w:r w:rsidR="003239E9" w:rsidRPr="0092659B">
        <w:t>(roughly 8 to 10 pages</w:t>
      </w:r>
      <w:r w:rsidR="00E27AD6">
        <w:t xml:space="preserve"> of double-spaced text, </w:t>
      </w:r>
      <w:r w:rsidR="003239E9" w:rsidRPr="0092659B">
        <w:t>12</w:t>
      </w:r>
      <w:r w:rsidR="00C45B55">
        <w:t>-</w:t>
      </w:r>
      <w:r w:rsidR="003239E9" w:rsidRPr="0092659B">
        <w:t>point font)</w:t>
      </w:r>
      <w:r w:rsidRPr="0092659B">
        <w:t xml:space="preserve"> during the course of the term</w:t>
      </w:r>
      <w:r w:rsidR="00041708">
        <w:t>.</w:t>
      </w:r>
      <w:r w:rsidR="00041708" w:rsidRPr="00041708">
        <w:t xml:space="preserve"> </w:t>
      </w:r>
      <w:r w:rsidR="00041708" w:rsidRPr="0092659B">
        <w:t>Each paper should relate to the ideas or issues raised in the readings for a given week</w:t>
      </w:r>
      <w:r w:rsidR="00957454">
        <w:t xml:space="preserve">, which </w:t>
      </w:r>
      <w:r w:rsidRPr="0092659B">
        <w:t xml:space="preserve">will help us focus discussion for that week. </w:t>
      </w:r>
      <w:r w:rsidR="00914122" w:rsidRPr="0092659B">
        <w:t xml:space="preserve">Each </w:t>
      </w:r>
      <w:r w:rsidR="00914122">
        <w:t>reaction paper</w:t>
      </w:r>
      <w:r w:rsidR="00914122" w:rsidRPr="0092659B">
        <w:t xml:space="preserve"> will be given equal weight in calculating your grade</w:t>
      </w:r>
      <w:r w:rsidR="00914122">
        <w:t xml:space="preserve">, and </w:t>
      </w:r>
      <w:r w:rsidR="00914122" w:rsidRPr="0092659B">
        <w:t>should incorporate outside research.</w:t>
      </w:r>
    </w:p>
    <w:p w14:paraId="37C611AE" w14:textId="228D2874" w:rsidR="009C770F" w:rsidRDefault="00405559" w:rsidP="00837EE5">
      <w:pPr>
        <w:spacing w:before="120" w:after="120"/>
        <w:ind w:left="720" w:right="718"/>
        <w:jc w:val="both"/>
      </w:pPr>
      <w:r>
        <w:t xml:space="preserve">Please </w:t>
      </w:r>
      <w:r w:rsidR="0092659B" w:rsidRPr="0092659B">
        <w:t xml:space="preserve">sign up for </w:t>
      </w:r>
      <w:r>
        <w:t xml:space="preserve">specific </w:t>
      </w:r>
      <w:r w:rsidR="0092659B" w:rsidRPr="0092659B">
        <w:t xml:space="preserve">weeks on Canvas, </w:t>
      </w:r>
      <w:r w:rsidR="00430BF2">
        <w:t xml:space="preserve">and </w:t>
      </w:r>
      <w:r w:rsidR="0092659B" w:rsidRPr="0092659B">
        <w:t>post your papers to Canvas so we can all learn from them for discussion</w:t>
      </w:r>
      <w:r w:rsidR="00430BF2">
        <w:t xml:space="preserve">. </w:t>
      </w:r>
      <w:r w:rsidR="00437684" w:rsidRPr="0092659B">
        <w:t xml:space="preserve">To receive credit for a reaction paper, you must submit it by 8 pm on the </w:t>
      </w:r>
      <w:r w:rsidR="00437684">
        <w:t>Monday</w:t>
      </w:r>
      <w:r w:rsidR="00437684" w:rsidRPr="0092659B">
        <w:t xml:space="preserve"> </w:t>
      </w:r>
      <w:r w:rsidR="00BE4321">
        <w:t xml:space="preserve">preceding the </w:t>
      </w:r>
      <w:r w:rsidR="00BA60EC">
        <w:t xml:space="preserve">Tuesday </w:t>
      </w:r>
      <w:r w:rsidR="00BE4321">
        <w:t xml:space="preserve">class </w:t>
      </w:r>
      <w:r w:rsidR="005C0E37">
        <w:t xml:space="preserve">in </w:t>
      </w:r>
      <w:r w:rsidR="00BE4321">
        <w:t xml:space="preserve">which </w:t>
      </w:r>
      <w:r w:rsidR="00BA60EC">
        <w:t xml:space="preserve">the subject will be discussed. </w:t>
      </w:r>
      <w:r w:rsidR="007A4A67">
        <w:t>Although y</w:t>
      </w:r>
      <w:r w:rsidR="007A4A67" w:rsidRPr="0092659B">
        <w:t xml:space="preserve">ou can choose the sessions for which you will write papers, </w:t>
      </w:r>
      <w:r w:rsidR="007A4A67">
        <w:t xml:space="preserve">you must </w:t>
      </w:r>
      <w:r w:rsidR="007A4A67" w:rsidRPr="0092659B">
        <w:t>write your first paper for one of the first four class sessions</w:t>
      </w:r>
      <w:r w:rsidR="00E420E5">
        <w:t>, i</w:t>
      </w:r>
      <w:r w:rsidR="00341FB2">
        <w:t>n order t</w:t>
      </w:r>
      <w:r w:rsidR="00341FB2" w:rsidRPr="00341FB2">
        <w:t xml:space="preserve">o spread </w:t>
      </w:r>
      <w:r w:rsidR="00B55C01">
        <w:t xml:space="preserve">your assignments </w:t>
      </w:r>
      <w:r w:rsidR="003D03BA">
        <w:t xml:space="preserve">throughout </w:t>
      </w:r>
      <w:r w:rsidR="00341FB2" w:rsidRPr="00341FB2">
        <w:t>the semester</w:t>
      </w:r>
      <w:r w:rsidR="00E420E5">
        <w:t xml:space="preserve">. So </w:t>
      </w:r>
      <w:r w:rsidR="00341FB2" w:rsidRPr="00341FB2">
        <w:t>yo</w:t>
      </w:r>
      <w:r w:rsidR="00430BF2" w:rsidRPr="00341FB2">
        <w:t>ur</w:t>
      </w:r>
      <w:r w:rsidR="00430BF2">
        <w:t xml:space="preserve"> first reaction </w:t>
      </w:r>
      <w:r w:rsidR="00430BF2">
        <w:lastRenderedPageBreak/>
        <w:t>paper must be posted no later than Monday</w:t>
      </w:r>
      <w:r w:rsidR="0092659B" w:rsidRPr="0092659B">
        <w:t xml:space="preserve">, </w:t>
      </w:r>
      <w:r w:rsidR="003B4842">
        <w:t>February 13</w:t>
      </w:r>
      <w:r w:rsidR="00437684">
        <w:t>, for discussion during the class on Tuesday, February 1</w:t>
      </w:r>
      <w:r w:rsidR="003506BE">
        <w:t>4</w:t>
      </w:r>
      <w:r w:rsidR="0092659B" w:rsidRPr="0092659B">
        <w:t>.</w:t>
      </w:r>
    </w:p>
    <w:p w14:paraId="6DE0B664" w14:textId="44A108F7" w:rsidR="0092659B" w:rsidRPr="0092659B" w:rsidRDefault="003A07C8" w:rsidP="00837EE5">
      <w:pPr>
        <w:spacing w:before="120" w:after="120"/>
        <w:ind w:left="720" w:right="718"/>
        <w:jc w:val="both"/>
      </w:pPr>
      <w:r>
        <w:t xml:space="preserve">The deadline for the </w:t>
      </w:r>
      <w:r w:rsidR="0092659B" w:rsidRPr="0092659B">
        <w:t xml:space="preserve">final reaction paper </w:t>
      </w:r>
      <w:r w:rsidR="00005C73">
        <w:t xml:space="preserve">is 8:00 pm on </w:t>
      </w:r>
      <w:r w:rsidR="00D4380A">
        <w:t>Monday</w:t>
      </w:r>
      <w:r w:rsidR="0092659B" w:rsidRPr="0092659B">
        <w:t xml:space="preserve">, </w:t>
      </w:r>
      <w:r w:rsidR="00D4380A">
        <w:t>April 1</w:t>
      </w:r>
      <w:r w:rsidR="00C74D29">
        <w:t>7</w:t>
      </w:r>
      <w:r w:rsidR="00005C73">
        <w:t>.</w:t>
      </w:r>
    </w:p>
    <w:p w14:paraId="2E6BD62C" w14:textId="4CF366C0" w:rsidR="000F38EF" w:rsidRDefault="0092659B" w:rsidP="00837EE5">
      <w:pPr>
        <w:spacing w:before="120" w:after="120"/>
        <w:ind w:left="720" w:right="718"/>
        <w:jc w:val="both"/>
      </w:pPr>
      <w:r w:rsidRPr="0092659B">
        <w:rPr>
          <w:b/>
          <w:bCs/>
        </w:rPr>
        <w:t xml:space="preserve">Option #2: Research Paper: </w:t>
      </w:r>
      <w:r w:rsidRPr="0092659B">
        <w:t xml:space="preserve">Students have the option of writing </w:t>
      </w:r>
      <w:r w:rsidR="00D05FA3">
        <w:t xml:space="preserve">one </w:t>
      </w:r>
      <w:r w:rsidRPr="0092659B">
        <w:t xml:space="preserve">paper, </w:t>
      </w:r>
      <w:r w:rsidR="00F83EC9" w:rsidRPr="00F83EC9">
        <w:t>at least 25 pages of double-spaced</w:t>
      </w:r>
      <w:r w:rsidR="00C45B55">
        <w:t xml:space="preserve"> text</w:t>
      </w:r>
      <w:r w:rsidR="00F83EC9" w:rsidRPr="00F83EC9">
        <w:t xml:space="preserve">, 12-point </w:t>
      </w:r>
      <w:r w:rsidR="00C45B55">
        <w:t>font</w:t>
      </w:r>
      <w:r w:rsidR="00F83EC9" w:rsidRPr="00F83EC9">
        <w:t xml:space="preserve"> or the equivalent </w:t>
      </w:r>
      <w:r w:rsidR="00173C23">
        <w:t>(approximately 8,000 words)</w:t>
      </w:r>
      <w:r w:rsidR="00E73F13">
        <w:t xml:space="preserve"> on a subject that is </w:t>
      </w:r>
      <w:r w:rsidR="00E73F13">
        <w:rPr>
          <w:color w:val="000000" w:themeColor="text1"/>
        </w:rPr>
        <w:t>related to the subject matter of the course, as further established in the reading assignments</w:t>
      </w:r>
      <w:r w:rsidR="00BC775F">
        <w:rPr>
          <w:color w:val="000000" w:themeColor="text1"/>
        </w:rPr>
        <w:t>,</w:t>
      </w:r>
      <w:r w:rsidR="00E73F13" w:rsidRPr="00F83EC9">
        <w:t xml:space="preserve"> </w:t>
      </w:r>
      <w:r w:rsidR="00F83EC9" w:rsidRPr="00F83EC9">
        <w:t>and based on your own research</w:t>
      </w:r>
      <w:r w:rsidR="00173C23">
        <w:t xml:space="preserve">. </w:t>
      </w:r>
      <w:r w:rsidR="004D6FAF">
        <w:t xml:space="preserve">Students choosing this option will be subject to </w:t>
      </w:r>
      <w:r w:rsidR="000F38EF">
        <w:t xml:space="preserve">the following </w:t>
      </w:r>
      <w:r w:rsidR="004D6FAF">
        <w:t xml:space="preserve">deadlines to ensure reasonable progress </w:t>
      </w:r>
      <w:r w:rsidR="005129F5">
        <w:t xml:space="preserve">on the paper </w:t>
      </w:r>
      <w:r w:rsidR="004D6FAF">
        <w:t>throughout the semester</w:t>
      </w:r>
      <w:r w:rsidR="000F38EF">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145"/>
      </w:tblGrid>
      <w:tr w:rsidR="005129F5" w14:paraId="4A8F76B7" w14:textId="77777777" w:rsidTr="00F0159C">
        <w:trPr>
          <w:jc w:val="center"/>
        </w:trPr>
        <w:tc>
          <w:tcPr>
            <w:tcW w:w="2700" w:type="dxa"/>
          </w:tcPr>
          <w:p w14:paraId="0E8775BE" w14:textId="565A2E4C" w:rsidR="000F38EF" w:rsidRDefault="006174E6" w:rsidP="00EC1A31">
            <w:pPr>
              <w:spacing w:before="40" w:after="40"/>
              <w:ind w:right="720"/>
              <w:jc w:val="both"/>
            </w:pPr>
            <w:r>
              <w:t xml:space="preserve">Approval of </w:t>
            </w:r>
            <w:r w:rsidR="005129F5">
              <w:t>t</w:t>
            </w:r>
            <w:r w:rsidR="008E5F7A">
              <w:t>opic</w:t>
            </w:r>
          </w:p>
        </w:tc>
        <w:tc>
          <w:tcPr>
            <w:tcW w:w="3145" w:type="dxa"/>
          </w:tcPr>
          <w:p w14:paraId="7DBCAEEB" w14:textId="25B9197C" w:rsidR="000F38EF" w:rsidRDefault="00935201" w:rsidP="00EC1A31">
            <w:pPr>
              <w:spacing w:before="40" w:after="40"/>
              <w:ind w:right="720"/>
              <w:jc w:val="both"/>
            </w:pPr>
            <w:r>
              <w:t>Tuesday</w:t>
            </w:r>
            <w:r w:rsidR="00C9509E">
              <w:t>, February</w:t>
            </w:r>
            <w:r w:rsidR="00FF4D94">
              <w:t> </w:t>
            </w:r>
            <w:r>
              <w:t>7</w:t>
            </w:r>
          </w:p>
        </w:tc>
      </w:tr>
      <w:tr w:rsidR="005129F5" w14:paraId="0D62DA1A" w14:textId="77777777" w:rsidTr="00F0159C">
        <w:trPr>
          <w:jc w:val="center"/>
        </w:trPr>
        <w:tc>
          <w:tcPr>
            <w:tcW w:w="2700" w:type="dxa"/>
          </w:tcPr>
          <w:p w14:paraId="7CCA225E" w14:textId="76392AC8" w:rsidR="000F38EF" w:rsidRDefault="00C9509E" w:rsidP="00EC1A31">
            <w:pPr>
              <w:spacing w:before="40" w:after="40"/>
              <w:ind w:right="720"/>
              <w:jc w:val="both"/>
            </w:pPr>
            <w:r>
              <w:t>Outline</w:t>
            </w:r>
          </w:p>
        </w:tc>
        <w:tc>
          <w:tcPr>
            <w:tcW w:w="3145" w:type="dxa"/>
          </w:tcPr>
          <w:p w14:paraId="719572D2" w14:textId="4D87AD4D" w:rsidR="000F38EF" w:rsidRDefault="00935201" w:rsidP="00EC1A31">
            <w:pPr>
              <w:spacing w:before="40" w:after="40"/>
              <w:ind w:right="720"/>
              <w:jc w:val="both"/>
            </w:pPr>
            <w:r>
              <w:t>Tuesday</w:t>
            </w:r>
            <w:r w:rsidR="00C9509E">
              <w:t xml:space="preserve">, </w:t>
            </w:r>
            <w:r>
              <w:t>February </w:t>
            </w:r>
            <w:r w:rsidR="005F5C66">
              <w:t>28</w:t>
            </w:r>
          </w:p>
        </w:tc>
      </w:tr>
      <w:tr w:rsidR="005129F5" w14:paraId="6CCB6B3D" w14:textId="77777777" w:rsidTr="00F0159C">
        <w:trPr>
          <w:jc w:val="center"/>
        </w:trPr>
        <w:tc>
          <w:tcPr>
            <w:tcW w:w="2700" w:type="dxa"/>
          </w:tcPr>
          <w:p w14:paraId="2455DC02" w14:textId="772EFF65" w:rsidR="000F38EF" w:rsidRDefault="00C9509E" w:rsidP="00EC1A31">
            <w:pPr>
              <w:spacing w:before="40" w:after="40"/>
              <w:ind w:right="720"/>
              <w:jc w:val="both"/>
            </w:pPr>
            <w:r>
              <w:t>Rough Draft</w:t>
            </w:r>
            <w:r w:rsidR="005653FC">
              <w:rPr>
                <w:rStyle w:val="FootnoteReference"/>
              </w:rPr>
              <w:footnoteReference w:id="2"/>
            </w:r>
          </w:p>
        </w:tc>
        <w:tc>
          <w:tcPr>
            <w:tcW w:w="3145" w:type="dxa"/>
          </w:tcPr>
          <w:p w14:paraId="0CE5F3EC" w14:textId="324FFAA7" w:rsidR="000F38EF" w:rsidRDefault="005F5C66" w:rsidP="00EC1A31">
            <w:pPr>
              <w:spacing w:before="40" w:after="40"/>
              <w:ind w:right="720"/>
              <w:jc w:val="both"/>
            </w:pPr>
            <w:r>
              <w:t>Tuesday</w:t>
            </w:r>
            <w:r w:rsidR="008A3EBC">
              <w:t xml:space="preserve">, </w:t>
            </w:r>
            <w:r w:rsidR="00ED0FE8">
              <w:t>April 1</w:t>
            </w:r>
            <w:r w:rsidR="00CE1B31">
              <w:t>8</w:t>
            </w:r>
          </w:p>
        </w:tc>
      </w:tr>
      <w:tr w:rsidR="005129F5" w14:paraId="5549B828" w14:textId="77777777" w:rsidTr="00F0159C">
        <w:trPr>
          <w:jc w:val="center"/>
        </w:trPr>
        <w:tc>
          <w:tcPr>
            <w:tcW w:w="2700" w:type="dxa"/>
          </w:tcPr>
          <w:p w14:paraId="52DE0070" w14:textId="53820990" w:rsidR="000F38EF" w:rsidRDefault="00C9509E" w:rsidP="00EC1A31">
            <w:pPr>
              <w:spacing w:before="40" w:after="40"/>
              <w:ind w:right="720"/>
              <w:jc w:val="both"/>
            </w:pPr>
            <w:r>
              <w:t>Final Draft</w:t>
            </w:r>
          </w:p>
        </w:tc>
        <w:tc>
          <w:tcPr>
            <w:tcW w:w="3145" w:type="dxa"/>
          </w:tcPr>
          <w:p w14:paraId="29C3BD81" w14:textId="62DFCB8E" w:rsidR="000F38EF" w:rsidRPr="00C9509E" w:rsidRDefault="00C713F2" w:rsidP="00EC1A31">
            <w:pPr>
              <w:spacing w:before="40" w:after="40"/>
              <w:ind w:right="720"/>
              <w:jc w:val="both"/>
            </w:pPr>
            <w:r>
              <w:t>Thursday</w:t>
            </w:r>
            <w:r w:rsidR="00C9509E">
              <w:t>, May 11</w:t>
            </w:r>
          </w:p>
        </w:tc>
      </w:tr>
    </w:tbl>
    <w:p w14:paraId="60C21BB1" w14:textId="52784215" w:rsidR="0092659B" w:rsidRPr="0092659B" w:rsidRDefault="0092659B" w:rsidP="00837EE5">
      <w:pPr>
        <w:spacing w:before="120" w:after="120"/>
        <w:ind w:left="720" w:right="718"/>
        <w:jc w:val="both"/>
        <w:rPr>
          <w:color w:val="333132"/>
        </w:rPr>
      </w:pPr>
      <w:r w:rsidRPr="0092659B">
        <w:rPr>
          <w:color w:val="000000" w:themeColor="text1"/>
        </w:rPr>
        <w:t>I am happy to meet with any student interested in writing a paper to discuss topics</w:t>
      </w:r>
      <w:r w:rsidR="00E73F13">
        <w:rPr>
          <w:color w:val="000000" w:themeColor="text1"/>
        </w:rPr>
        <w:t xml:space="preserve">, </w:t>
      </w:r>
      <w:r w:rsidRPr="0092659B">
        <w:rPr>
          <w:color w:val="000000" w:themeColor="text1"/>
        </w:rPr>
        <w:t>even</w:t>
      </w:r>
      <w:r w:rsidR="00326B0E">
        <w:rPr>
          <w:color w:val="000000" w:themeColor="text1"/>
        </w:rPr>
        <w:t xml:space="preserve"> </w:t>
      </w:r>
      <w:r w:rsidRPr="0092659B">
        <w:rPr>
          <w:color w:val="000000" w:themeColor="text1"/>
        </w:rPr>
        <w:t xml:space="preserve">if students do not start out with any sense of </w:t>
      </w:r>
      <w:r w:rsidR="00F0159C">
        <w:rPr>
          <w:color w:val="000000" w:themeColor="text1"/>
        </w:rPr>
        <w:t xml:space="preserve">the topic on which </w:t>
      </w:r>
      <w:r w:rsidRPr="0092659B">
        <w:rPr>
          <w:color w:val="000000" w:themeColor="text1"/>
        </w:rPr>
        <w:t>they wish to write.</w:t>
      </w:r>
      <w:r w:rsidRPr="0092659B">
        <w:t xml:space="preserve"> </w:t>
      </w:r>
    </w:p>
    <w:p w14:paraId="7E0D381A" w14:textId="77777777" w:rsidR="00475233" w:rsidRPr="000037B8" w:rsidRDefault="00475233" w:rsidP="00731DF1">
      <w:pPr>
        <w:spacing w:before="180" w:after="120"/>
      </w:pPr>
      <w:r w:rsidRPr="000037B8">
        <w:rPr>
          <w:b/>
        </w:rPr>
        <w:t>Class Attendance Policy</w:t>
      </w:r>
    </w:p>
    <w:p w14:paraId="206235F6" w14:textId="14B6292D" w:rsidR="00242088" w:rsidRPr="000037B8" w:rsidRDefault="00E44896" w:rsidP="009007B6">
      <w:pPr>
        <w:spacing w:before="120" w:after="200"/>
        <w:ind w:left="360"/>
        <w:jc w:val="both"/>
      </w:pPr>
      <w:r w:rsidRPr="000037B8">
        <w:t xml:space="preserve">Attendance in class is required by both the ABA and the Law School. Attendance will be taken at each class meeting. If you miss more than </w:t>
      </w:r>
      <w:r w:rsidR="00DD4427">
        <w:t>two</w:t>
      </w:r>
      <w:r w:rsidRPr="000037B8">
        <w:t xml:space="preserve"> classes for any reason, you may be administratively withdrawn from the course or your grade may be lowered. Absences during the drop/add period (through the first week of classes) will not count toward your </w:t>
      </w:r>
      <w:r w:rsidR="00DD4427">
        <w:t>two</w:t>
      </w:r>
      <w:r w:rsidRPr="000037B8">
        <w:t xml:space="preserve"> permitted absences. As a matter of professionalism, </w:t>
      </w:r>
      <w:r w:rsidR="007669BA" w:rsidRPr="000037B8">
        <w:t xml:space="preserve">you are expected to </w:t>
      </w:r>
      <w:r w:rsidRPr="000037B8">
        <w:t>be on time for class. If you arrive late, it is your responsibility to see me after class to make sure I have marked you late rather than absent (in my discretion, but tardiness of 10 minutes or more will generally count as an absence).</w:t>
      </w:r>
      <w:r w:rsidR="001C0EA6" w:rsidRPr="000037B8">
        <w:t xml:space="preserve"> The law school’s policy on attendance can be found </w:t>
      </w:r>
      <w:hyperlink r:id="rId8" w:anchor=":~:text=co%2Dcurricular%20activities.-,Attendance,regular%20and%20punctual%20class%20attendance.&amp;text=UF%20Law%20policy%20permits%20dismissal,of%2012%20credits%20per%20semester." w:history="1">
        <w:r w:rsidR="001C0EA6" w:rsidRPr="000037B8">
          <w:rPr>
            <w:rStyle w:val="Hyperlink"/>
            <w:color w:val="5B9BD5" w:themeColor="accent1"/>
          </w:rPr>
          <w:t>here</w:t>
        </w:r>
      </w:hyperlink>
      <w:r w:rsidR="001C0EA6" w:rsidRPr="000037B8">
        <w:t>.</w:t>
      </w:r>
    </w:p>
    <w:p w14:paraId="2B480FF7" w14:textId="5A9D6B8F" w:rsidR="00570808" w:rsidRPr="000037B8" w:rsidRDefault="00AF03C7" w:rsidP="00AF03C7">
      <w:pPr>
        <w:spacing w:before="180" w:after="120"/>
        <w:rPr>
          <w:b/>
        </w:rPr>
      </w:pPr>
      <w:r w:rsidRPr="000037B8">
        <w:rPr>
          <w:b/>
        </w:rPr>
        <w:t>Compliance with UF Honor Code</w:t>
      </w:r>
    </w:p>
    <w:p w14:paraId="06994BC7" w14:textId="45630A07" w:rsidR="00570808" w:rsidRPr="000037B8" w:rsidRDefault="00570808" w:rsidP="009007B6">
      <w:pPr>
        <w:ind w:left="360"/>
        <w:jc w:val="both"/>
      </w:pPr>
      <w:r w:rsidRPr="000037B8">
        <w:rPr>
          <w:rFonts w:eastAsia="Calibri"/>
        </w:rPr>
        <w:t>A</w:t>
      </w:r>
      <w:r w:rsidRPr="000037B8">
        <w:t xml:space="preserve">cademic honesty and integrity are fundamental values of the University community. Students should be sure that they understand the UF Law Honor Code located </w:t>
      </w:r>
      <w:hyperlink r:id="rId9" w:history="1">
        <w:r w:rsidRPr="000037B8">
          <w:rPr>
            <w:rStyle w:val="Hyperlink"/>
            <w:color w:val="auto"/>
          </w:rPr>
          <w:t>here</w:t>
        </w:r>
      </w:hyperlink>
      <w:r w:rsidRPr="000037B8">
        <w:t>.</w:t>
      </w:r>
      <w:r w:rsidR="009F4DAE" w:rsidRPr="000037B8">
        <w:t xml:space="preserve"> </w:t>
      </w:r>
      <w:r w:rsidR="009F4DAE" w:rsidRPr="000037B8">
        <w:rPr>
          <w:color w:val="242424"/>
          <w:shd w:val="clear" w:color="auto" w:fill="FFFFFF"/>
        </w:rPr>
        <w:t xml:space="preserve">The UF Law Honor Code also prohibits use of artificial intelligence, including, but not limited to, </w:t>
      </w:r>
      <w:proofErr w:type="spellStart"/>
      <w:r w:rsidR="009F4DAE" w:rsidRPr="000037B8">
        <w:rPr>
          <w:color w:val="242424"/>
          <w:shd w:val="clear" w:color="auto" w:fill="FFFFFF"/>
        </w:rPr>
        <w:t>ChatGPT</w:t>
      </w:r>
      <w:proofErr w:type="spellEnd"/>
      <w:r w:rsidR="009F4DAE" w:rsidRPr="000037B8">
        <w:rPr>
          <w:color w:val="242424"/>
          <w:shd w:val="clear" w:color="auto" w:fill="FFFFFF"/>
        </w:rPr>
        <w:t xml:space="preserve"> and Harvey, to assist in completing quizzes, exams, papers, or other assessments.</w:t>
      </w:r>
    </w:p>
    <w:p w14:paraId="41FCCAFD" w14:textId="6B622A23" w:rsidR="00570808" w:rsidRPr="000037B8" w:rsidRDefault="003E6F92" w:rsidP="003E6F92">
      <w:pPr>
        <w:spacing w:before="180" w:after="120"/>
        <w:rPr>
          <w:b/>
          <w:u w:val="single"/>
        </w:rPr>
      </w:pPr>
      <w:r w:rsidRPr="000037B8">
        <w:rPr>
          <w:b/>
        </w:rPr>
        <w:t>Information on UF Law Grading Policies</w:t>
      </w:r>
    </w:p>
    <w:p w14:paraId="2B5FD17A" w14:textId="50B2D68F" w:rsidR="00570808" w:rsidRPr="000037B8" w:rsidRDefault="00570808" w:rsidP="009007B6">
      <w:pPr>
        <w:spacing w:after="240"/>
        <w:ind w:left="360"/>
        <w:jc w:val="both"/>
        <w:textAlignment w:val="baseline"/>
      </w:pPr>
      <w:r w:rsidRPr="000037B8">
        <w:t>The Levin College of Law’s mean and mandatory distributions are posted on the College’s website and this class adheres to that posted grading policy. The following chart describes the specific letter grade/grade point equivalent in place: </w:t>
      </w:r>
    </w:p>
    <w:tbl>
      <w:tblPr>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7"/>
        <w:gridCol w:w="1757"/>
        <w:gridCol w:w="1757"/>
        <w:gridCol w:w="1757"/>
      </w:tblGrid>
      <w:tr w:rsidR="00570808" w:rsidRPr="000037B8" w14:paraId="09FA2D30" w14:textId="77777777" w:rsidTr="0017478F">
        <w:trPr>
          <w:trHeight w:val="345"/>
          <w:jc w:val="center"/>
        </w:trPr>
        <w:tc>
          <w:tcPr>
            <w:tcW w:w="1757" w:type="dxa"/>
            <w:shd w:val="clear" w:color="auto" w:fill="auto"/>
            <w:hideMark/>
          </w:tcPr>
          <w:p w14:paraId="15F3FC48" w14:textId="358FAD9E" w:rsidR="00570808" w:rsidRPr="000037B8" w:rsidRDefault="00570808" w:rsidP="00744A55">
            <w:pPr>
              <w:jc w:val="center"/>
              <w:textAlignment w:val="baseline"/>
              <w:rPr>
                <w:b/>
                <w:bCs/>
              </w:rPr>
            </w:pPr>
            <w:r w:rsidRPr="000037B8">
              <w:rPr>
                <w:b/>
                <w:bCs/>
              </w:rPr>
              <w:lastRenderedPageBreak/>
              <w:t>Letter Grade </w:t>
            </w:r>
          </w:p>
        </w:tc>
        <w:tc>
          <w:tcPr>
            <w:tcW w:w="1757" w:type="dxa"/>
            <w:shd w:val="clear" w:color="auto" w:fill="auto"/>
            <w:hideMark/>
          </w:tcPr>
          <w:p w14:paraId="4C220A28" w14:textId="640463FB" w:rsidR="00570808" w:rsidRPr="000037B8" w:rsidRDefault="00570808" w:rsidP="00744A55">
            <w:pPr>
              <w:jc w:val="center"/>
              <w:textAlignment w:val="baseline"/>
              <w:rPr>
                <w:b/>
                <w:bCs/>
              </w:rPr>
            </w:pPr>
            <w:r w:rsidRPr="000037B8">
              <w:rPr>
                <w:b/>
                <w:bCs/>
              </w:rPr>
              <w:t>Point Equivalent </w:t>
            </w:r>
          </w:p>
        </w:tc>
        <w:tc>
          <w:tcPr>
            <w:tcW w:w="1757" w:type="dxa"/>
          </w:tcPr>
          <w:p w14:paraId="50EC7C9E" w14:textId="177C8F5E" w:rsidR="00570808" w:rsidRPr="000037B8" w:rsidRDefault="00570808" w:rsidP="00744A55">
            <w:pPr>
              <w:jc w:val="center"/>
              <w:rPr>
                <w:b/>
                <w:bCs/>
              </w:rPr>
            </w:pPr>
            <w:r w:rsidRPr="000037B8">
              <w:rPr>
                <w:b/>
                <w:bCs/>
              </w:rPr>
              <w:t>Letter Grade </w:t>
            </w:r>
          </w:p>
        </w:tc>
        <w:tc>
          <w:tcPr>
            <w:tcW w:w="1757" w:type="dxa"/>
          </w:tcPr>
          <w:p w14:paraId="1B759C4E" w14:textId="243085ED" w:rsidR="00570808" w:rsidRPr="000037B8" w:rsidRDefault="00570808" w:rsidP="00744A55">
            <w:pPr>
              <w:jc w:val="center"/>
              <w:rPr>
                <w:b/>
                <w:bCs/>
              </w:rPr>
            </w:pPr>
            <w:r w:rsidRPr="000037B8">
              <w:rPr>
                <w:b/>
                <w:bCs/>
              </w:rPr>
              <w:t>Point</w:t>
            </w:r>
            <w:r w:rsidR="00744A55" w:rsidRPr="000037B8">
              <w:rPr>
                <w:b/>
                <w:bCs/>
              </w:rPr>
              <w:t xml:space="preserve"> </w:t>
            </w:r>
            <w:r w:rsidRPr="000037B8">
              <w:rPr>
                <w:b/>
                <w:bCs/>
              </w:rPr>
              <w:t>Equivalent </w:t>
            </w:r>
          </w:p>
        </w:tc>
      </w:tr>
      <w:tr w:rsidR="00570808" w:rsidRPr="000037B8" w14:paraId="296FD75C" w14:textId="77777777" w:rsidTr="0017478F">
        <w:trPr>
          <w:trHeight w:val="300"/>
          <w:jc w:val="center"/>
        </w:trPr>
        <w:tc>
          <w:tcPr>
            <w:tcW w:w="1757" w:type="dxa"/>
            <w:shd w:val="clear" w:color="auto" w:fill="auto"/>
            <w:hideMark/>
          </w:tcPr>
          <w:p w14:paraId="5DA43D8A" w14:textId="748EAB90" w:rsidR="00570808" w:rsidRPr="000037B8" w:rsidRDefault="00570808" w:rsidP="004D1E71">
            <w:pPr>
              <w:ind w:left="84" w:firstLine="11"/>
              <w:textAlignment w:val="baseline"/>
            </w:pPr>
            <w:r w:rsidRPr="000037B8">
              <w:t>A (Excellent) </w:t>
            </w:r>
          </w:p>
        </w:tc>
        <w:tc>
          <w:tcPr>
            <w:tcW w:w="1757" w:type="dxa"/>
            <w:shd w:val="clear" w:color="auto" w:fill="auto"/>
            <w:hideMark/>
          </w:tcPr>
          <w:p w14:paraId="00D9AC55" w14:textId="17E0435D" w:rsidR="00570808" w:rsidRPr="000037B8" w:rsidRDefault="00570808" w:rsidP="00DC0713">
            <w:pPr>
              <w:ind w:left="30"/>
              <w:jc w:val="center"/>
              <w:textAlignment w:val="baseline"/>
            </w:pPr>
            <w:r w:rsidRPr="000037B8">
              <w:t>4.0</w:t>
            </w:r>
            <w:r w:rsidR="004D1E71" w:rsidRPr="000037B8">
              <w:t>0</w:t>
            </w:r>
            <w:r w:rsidRPr="000037B8">
              <w:t> </w:t>
            </w:r>
          </w:p>
        </w:tc>
        <w:tc>
          <w:tcPr>
            <w:tcW w:w="1757" w:type="dxa"/>
          </w:tcPr>
          <w:p w14:paraId="39B4DA26" w14:textId="77777777" w:rsidR="00570808" w:rsidRPr="000037B8" w:rsidRDefault="00570808" w:rsidP="004D1E71">
            <w:pPr>
              <w:ind w:left="80"/>
            </w:pPr>
            <w:r w:rsidRPr="000037B8">
              <w:t>C (Satisfactory)  </w:t>
            </w:r>
          </w:p>
        </w:tc>
        <w:tc>
          <w:tcPr>
            <w:tcW w:w="1757" w:type="dxa"/>
          </w:tcPr>
          <w:p w14:paraId="6A21B028" w14:textId="3A0FCBF0" w:rsidR="00570808" w:rsidRPr="000037B8" w:rsidRDefault="00570808" w:rsidP="004D1E71">
            <w:pPr>
              <w:jc w:val="center"/>
            </w:pPr>
            <w:r w:rsidRPr="000037B8">
              <w:t>2.0</w:t>
            </w:r>
            <w:r w:rsidR="004D1E71" w:rsidRPr="000037B8">
              <w:t>0</w:t>
            </w:r>
            <w:r w:rsidRPr="000037B8">
              <w:t> </w:t>
            </w:r>
          </w:p>
        </w:tc>
      </w:tr>
      <w:tr w:rsidR="00570808" w:rsidRPr="000037B8" w14:paraId="30747E3E" w14:textId="77777777" w:rsidTr="0017478F">
        <w:trPr>
          <w:jc w:val="center"/>
        </w:trPr>
        <w:tc>
          <w:tcPr>
            <w:tcW w:w="1757" w:type="dxa"/>
            <w:shd w:val="clear" w:color="auto" w:fill="auto"/>
            <w:hideMark/>
          </w:tcPr>
          <w:p w14:paraId="42A59C52" w14:textId="77777777" w:rsidR="00570808" w:rsidRPr="000037B8" w:rsidRDefault="00570808" w:rsidP="004D1E71">
            <w:pPr>
              <w:ind w:left="84" w:firstLine="11"/>
              <w:textAlignment w:val="baseline"/>
            </w:pPr>
            <w:r w:rsidRPr="000037B8">
              <w:t>A-  </w:t>
            </w:r>
          </w:p>
        </w:tc>
        <w:tc>
          <w:tcPr>
            <w:tcW w:w="1757" w:type="dxa"/>
            <w:shd w:val="clear" w:color="auto" w:fill="auto"/>
            <w:hideMark/>
          </w:tcPr>
          <w:p w14:paraId="666ABC98" w14:textId="3BCCC476" w:rsidR="00570808" w:rsidRPr="000037B8" w:rsidRDefault="00570808" w:rsidP="00DC0713">
            <w:pPr>
              <w:ind w:left="30"/>
              <w:jc w:val="center"/>
              <w:textAlignment w:val="baseline"/>
            </w:pPr>
            <w:r w:rsidRPr="000037B8">
              <w:t>3.67 </w:t>
            </w:r>
          </w:p>
        </w:tc>
        <w:tc>
          <w:tcPr>
            <w:tcW w:w="1757" w:type="dxa"/>
          </w:tcPr>
          <w:p w14:paraId="27D20603" w14:textId="77777777" w:rsidR="00570808" w:rsidRPr="000037B8" w:rsidRDefault="00570808" w:rsidP="004D1E71">
            <w:pPr>
              <w:ind w:left="80"/>
            </w:pPr>
            <w:r w:rsidRPr="000037B8">
              <w:t>C-  </w:t>
            </w:r>
          </w:p>
        </w:tc>
        <w:tc>
          <w:tcPr>
            <w:tcW w:w="1757" w:type="dxa"/>
          </w:tcPr>
          <w:p w14:paraId="3F3D5F0E" w14:textId="7C47EDB1" w:rsidR="00570808" w:rsidRPr="000037B8" w:rsidRDefault="00570808" w:rsidP="004D1E71">
            <w:pPr>
              <w:jc w:val="center"/>
            </w:pPr>
            <w:r w:rsidRPr="000037B8">
              <w:t>1.67 </w:t>
            </w:r>
          </w:p>
        </w:tc>
      </w:tr>
      <w:tr w:rsidR="00570808" w:rsidRPr="000037B8" w14:paraId="7A5C1732" w14:textId="77777777" w:rsidTr="0017478F">
        <w:trPr>
          <w:jc w:val="center"/>
        </w:trPr>
        <w:tc>
          <w:tcPr>
            <w:tcW w:w="1757" w:type="dxa"/>
            <w:shd w:val="clear" w:color="auto" w:fill="auto"/>
            <w:hideMark/>
          </w:tcPr>
          <w:p w14:paraId="001BE86B" w14:textId="77777777" w:rsidR="00570808" w:rsidRPr="000037B8" w:rsidRDefault="00570808" w:rsidP="004D1E71">
            <w:pPr>
              <w:ind w:left="84" w:firstLine="11"/>
              <w:textAlignment w:val="baseline"/>
            </w:pPr>
            <w:r w:rsidRPr="000037B8">
              <w:t>B+  </w:t>
            </w:r>
          </w:p>
        </w:tc>
        <w:tc>
          <w:tcPr>
            <w:tcW w:w="1757" w:type="dxa"/>
            <w:shd w:val="clear" w:color="auto" w:fill="auto"/>
            <w:hideMark/>
          </w:tcPr>
          <w:p w14:paraId="49B006D2" w14:textId="3999A9D3" w:rsidR="00570808" w:rsidRPr="000037B8" w:rsidRDefault="00570808" w:rsidP="00DC0713">
            <w:pPr>
              <w:ind w:left="30"/>
              <w:jc w:val="center"/>
              <w:textAlignment w:val="baseline"/>
            </w:pPr>
            <w:r w:rsidRPr="000037B8">
              <w:t>3.33 </w:t>
            </w:r>
          </w:p>
        </w:tc>
        <w:tc>
          <w:tcPr>
            <w:tcW w:w="1757" w:type="dxa"/>
          </w:tcPr>
          <w:p w14:paraId="010277BE" w14:textId="77777777" w:rsidR="00570808" w:rsidRPr="000037B8" w:rsidRDefault="00570808" w:rsidP="004D1E71">
            <w:pPr>
              <w:ind w:left="80"/>
            </w:pPr>
            <w:r w:rsidRPr="000037B8">
              <w:t>D+  </w:t>
            </w:r>
          </w:p>
        </w:tc>
        <w:tc>
          <w:tcPr>
            <w:tcW w:w="1757" w:type="dxa"/>
          </w:tcPr>
          <w:p w14:paraId="56B86088" w14:textId="6E76A3C6" w:rsidR="00570808" w:rsidRPr="000037B8" w:rsidRDefault="00570808" w:rsidP="004D1E71">
            <w:pPr>
              <w:jc w:val="center"/>
            </w:pPr>
            <w:r w:rsidRPr="000037B8">
              <w:t>1.33 </w:t>
            </w:r>
          </w:p>
        </w:tc>
      </w:tr>
      <w:tr w:rsidR="00570808" w:rsidRPr="000037B8" w14:paraId="00505D0B" w14:textId="77777777" w:rsidTr="0017478F">
        <w:trPr>
          <w:jc w:val="center"/>
        </w:trPr>
        <w:tc>
          <w:tcPr>
            <w:tcW w:w="1757" w:type="dxa"/>
            <w:shd w:val="clear" w:color="auto" w:fill="auto"/>
            <w:hideMark/>
          </w:tcPr>
          <w:p w14:paraId="39F2E402" w14:textId="77777777" w:rsidR="00570808" w:rsidRPr="000037B8" w:rsidRDefault="00570808" w:rsidP="004D1E71">
            <w:pPr>
              <w:ind w:left="84" w:firstLine="11"/>
              <w:textAlignment w:val="baseline"/>
            </w:pPr>
            <w:r w:rsidRPr="000037B8">
              <w:t>B  </w:t>
            </w:r>
          </w:p>
        </w:tc>
        <w:tc>
          <w:tcPr>
            <w:tcW w:w="1757" w:type="dxa"/>
            <w:shd w:val="clear" w:color="auto" w:fill="auto"/>
            <w:hideMark/>
          </w:tcPr>
          <w:p w14:paraId="3621EA88" w14:textId="1184F312" w:rsidR="00570808" w:rsidRPr="000037B8" w:rsidRDefault="00570808" w:rsidP="00DC0713">
            <w:pPr>
              <w:ind w:left="30"/>
              <w:jc w:val="center"/>
              <w:textAlignment w:val="baseline"/>
            </w:pPr>
            <w:r w:rsidRPr="000037B8">
              <w:t>3.0 </w:t>
            </w:r>
            <w:r w:rsidR="004D1E71" w:rsidRPr="000037B8">
              <w:t>0</w:t>
            </w:r>
          </w:p>
        </w:tc>
        <w:tc>
          <w:tcPr>
            <w:tcW w:w="1757" w:type="dxa"/>
          </w:tcPr>
          <w:p w14:paraId="4E2F3A06" w14:textId="77777777" w:rsidR="00570808" w:rsidRPr="000037B8" w:rsidRDefault="00570808" w:rsidP="004D1E71">
            <w:pPr>
              <w:ind w:left="80"/>
            </w:pPr>
            <w:r w:rsidRPr="000037B8">
              <w:t>D (Poor)  </w:t>
            </w:r>
          </w:p>
        </w:tc>
        <w:tc>
          <w:tcPr>
            <w:tcW w:w="1757" w:type="dxa"/>
          </w:tcPr>
          <w:p w14:paraId="04D1D120" w14:textId="0B0F914E" w:rsidR="00570808" w:rsidRPr="000037B8" w:rsidRDefault="00570808" w:rsidP="004D1E71">
            <w:pPr>
              <w:jc w:val="center"/>
            </w:pPr>
            <w:r w:rsidRPr="000037B8">
              <w:t>1.0</w:t>
            </w:r>
            <w:r w:rsidR="004D1E71" w:rsidRPr="000037B8">
              <w:t>0</w:t>
            </w:r>
            <w:r w:rsidRPr="000037B8">
              <w:t> </w:t>
            </w:r>
          </w:p>
        </w:tc>
      </w:tr>
      <w:tr w:rsidR="00570808" w:rsidRPr="000037B8" w14:paraId="276403E4" w14:textId="77777777" w:rsidTr="0017478F">
        <w:trPr>
          <w:jc w:val="center"/>
        </w:trPr>
        <w:tc>
          <w:tcPr>
            <w:tcW w:w="1757" w:type="dxa"/>
            <w:shd w:val="clear" w:color="auto" w:fill="auto"/>
            <w:hideMark/>
          </w:tcPr>
          <w:p w14:paraId="260E2D1D" w14:textId="77777777" w:rsidR="00570808" w:rsidRPr="000037B8" w:rsidRDefault="00570808" w:rsidP="004D1E71">
            <w:pPr>
              <w:ind w:left="84" w:firstLine="11"/>
              <w:textAlignment w:val="baseline"/>
            </w:pPr>
            <w:r w:rsidRPr="000037B8">
              <w:t>B-  </w:t>
            </w:r>
          </w:p>
        </w:tc>
        <w:tc>
          <w:tcPr>
            <w:tcW w:w="1757" w:type="dxa"/>
            <w:shd w:val="clear" w:color="auto" w:fill="auto"/>
            <w:hideMark/>
          </w:tcPr>
          <w:p w14:paraId="08E57B45" w14:textId="56961B8A" w:rsidR="00570808" w:rsidRPr="000037B8" w:rsidRDefault="00570808" w:rsidP="00DC0713">
            <w:pPr>
              <w:ind w:left="30"/>
              <w:jc w:val="center"/>
              <w:textAlignment w:val="baseline"/>
            </w:pPr>
            <w:r w:rsidRPr="000037B8">
              <w:t>2.67 </w:t>
            </w:r>
          </w:p>
        </w:tc>
        <w:tc>
          <w:tcPr>
            <w:tcW w:w="1757" w:type="dxa"/>
          </w:tcPr>
          <w:p w14:paraId="66B6BDBC" w14:textId="77777777" w:rsidR="00570808" w:rsidRPr="000037B8" w:rsidRDefault="00570808" w:rsidP="004D1E71">
            <w:pPr>
              <w:ind w:left="80"/>
            </w:pPr>
            <w:r w:rsidRPr="000037B8">
              <w:t>D-  </w:t>
            </w:r>
          </w:p>
        </w:tc>
        <w:tc>
          <w:tcPr>
            <w:tcW w:w="1757" w:type="dxa"/>
          </w:tcPr>
          <w:p w14:paraId="0B99D3EE" w14:textId="38A69A01" w:rsidR="00570808" w:rsidRPr="000037B8" w:rsidRDefault="00570808" w:rsidP="004D1E71">
            <w:pPr>
              <w:jc w:val="center"/>
            </w:pPr>
            <w:r w:rsidRPr="000037B8">
              <w:t>0.67 </w:t>
            </w:r>
          </w:p>
        </w:tc>
      </w:tr>
      <w:tr w:rsidR="00570808" w:rsidRPr="000037B8" w14:paraId="1E22DE3F" w14:textId="77777777" w:rsidTr="0017478F">
        <w:trPr>
          <w:jc w:val="center"/>
        </w:trPr>
        <w:tc>
          <w:tcPr>
            <w:tcW w:w="1757" w:type="dxa"/>
            <w:shd w:val="clear" w:color="auto" w:fill="auto"/>
            <w:hideMark/>
          </w:tcPr>
          <w:p w14:paraId="42F5FEAC" w14:textId="77777777" w:rsidR="00570808" w:rsidRPr="000037B8" w:rsidRDefault="00570808" w:rsidP="004D1E71">
            <w:pPr>
              <w:ind w:left="84" w:firstLine="11"/>
              <w:textAlignment w:val="baseline"/>
            </w:pPr>
            <w:r w:rsidRPr="000037B8">
              <w:t>C+  </w:t>
            </w:r>
          </w:p>
        </w:tc>
        <w:tc>
          <w:tcPr>
            <w:tcW w:w="1757" w:type="dxa"/>
            <w:shd w:val="clear" w:color="auto" w:fill="auto"/>
            <w:hideMark/>
          </w:tcPr>
          <w:p w14:paraId="7237D2D7" w14:textId="57AB6009" w:rsidR="00570808" w:rsidRPr="000037B8" w:rsidRDefault="00570808" w:rsidP="00DC0713">
            <w:pPr>
              <w:ind w:left="30"/>
              <w:jc w:val="center"/>
              <w:textAlignment w:val="baseline"/>
            </w:pPr>
            <w:r w:rsidRPr="000037B8">
              <w:t>2.33 </w:t>
            </w:r>
          </w:p>
        </w:tc>
        <w:tc>
          <w:tcPr>
            <w:tcW w:w="1757" w:type="dxa"/>
          </w:tcPr>
          <w:p w14:paraId="62A07172" w14:textId="77777777" w:rsidR="00570808" w:rsidRPr="000037B8" w:rsidRDefault="00570808" w:rsidP="004D1E71">
            <w:pPr>
              <w:ind w:left="80"/>
            </w:pPr>
            <w:r w:rsidRPr="000037B8">
              <w:t>E (Failure)  </w:t>
            </w:r>
          </w:p>
        </w:tc>
        <w:tc>
          <w:tcPr>
            <w:tcW w:w="1757" w:type="dxa"/>
          </w:tcPr>
          <w:p w14:paraId="402D1F9F" w14:textId="6F460C04" w:rsidR="00570808" w:rsidRPr="000037B8" w:rsidRDefault="00570808" w:rsidP="004D1E71">
            <w:pPr>
              <w:jc w:val="center"/>
            </w:pPr>
            <w:r w:rsidRPr="000037B8">
              <w:t>0.0 </w:t>
            </w:r>
            <w:r w:rsidR="004D1E71" w:rsidRPr="000037B8">
              <w:t>0</w:t>
            </w:r>
            <w:r w:rsidRPr="000037B8">
              <w:t> </w:t>
            </w:r>
          </w:p>
        </w:tc>
      </w:tr>
    </w:tbl>
    <w:p w14:paraId="1F4F433A" w14:textId="77777777" w:rsidR="002115D7" w:rsidRPr="00F9655C" w:rsidRDefault="002115D7" w:rsidP="00F9655C">
      <w:pPr>
        <w:ind w:left="360"/>
        <w:rPr>
          <w:sz w:val="16"/>
          <w:szCs w:val="16"/>
        </w:rPr>
      </w:pPr>
    </w:p>
    <w:p w14:paraId="4667D093" w14:textId="4D4D0896" w:rsidR="00570808" w:rsidRPr="000037B8" w:rsidRDefault="00570808" w:rsidP="009007B6">
      <w:pPr>
        <w:spacing w:after="120"/>
        <w:ind w:left="360"/>
      </w:pPr>
      <w:r w:rsidRPr="000037B8">
        <w:t xml:space="preserve">The law school grading policy is available </w:t>
      </w:r>
      <w:hyperlink r:id="rId10" w:history="1">
        <w:r w:rsidRPr="000037B8">
          <w:rPr>
            <w:rStyle w:val="Hyperlink"/>
            <w:color w:val="auto"/>
          </w:rPr>
          <w:t>here</w:t>
        </w:r>
      </w:hyperlink>
      <w:r w:rsidRPr="000037B8">
        <w:t>.</w:t>
      </w:r>
    </w:p>
    <w:p w14:paraId="41FA9505" w14:textId="7E496DA8" w:rsidR="00570808" w:rsidRPr="000037B8" w:rsidRDefault="00170E1A" w:rsidP="00170E1A">
      <w:pPr>
        <w:spacing w:before="180" w:after="120"/>
        <w:rPr>
          <w:b/>
        </w:rPr>
      </w:pPr>
      <w:r w:rsidRPr="000037B8">
        <w:rPr>
          <w:b/>
        </w:rPr>
        <w:t>Observance of Religious Holidays</w:t>
      </w:r>
    </w:p>
    <w:p w14:paraId="4533C37F" w14:textId="77777777" w:rsidR="00570808" w:rsidRPr="000037B8" w:rsidRDefault="00570808" w:rsidP="009007B6">
      <w:pPr>
        <w:ind w:left="360"/>
        <w:jc w:val="both"/>
      </w:pPr>
      <w:r w:rsidRPr="000037B8">
        <w:t xml:space="preserve">UF Law respects students’ </w:t>
      </w:r>
      <w:hyperlink r:id="rId11" w:history="1">
        <w:r w:rsidRPr="000037B8">
          <w:rPr>
            <w:rStyle w:val="Hyperlink"/>
            <w:color w:val="auto"/>
          </w:rPr>
          <w:t>observance of religious holidays</w:t>
        </w:r>
      </w:hyperlink>
      <w:r w:rsidRPr="000037B8">
        <w:t>.</w:t>
      </w:r>
    </w:p>
    <w:p w14:paraId="6DDFC171" w14:textId="77777777" w:rsidR="00570808" w:rsidRPr="000037B8" w:rsidRDefault="00570808" w:rsidP="00366C4C">
      <w:pPr>
        <w:pStyle w:val="ListParagraph"/>
        <w:numPr>
          <w:ilvl w:val="0"/>
          <w:numId w:val="35"/>
        </w:numPr>
        <w:jc w:val="both"/>
      </w:pPr>
      <w:r w:rsidRPr="000037B8">
        <w:t>Students, upon prior notification to their instructors, shall be excused from class or other scheduled academic activity to observe a religious holy day of their faith.</w:t>
      </w:r>
    </w:p>
    <w:p w14:paraId="3C0CF1E1" w14:textId="77777777" w:rsidR="00570808" w:rsidRPr="000037B8" w:rsidRDefault="00570808" w:rsidP="00366C4C">
      <w:pPr>
        <w:pStyle w:val="ListParagraph"/>
        <w:numPr>
          <w:ilvl w:val="0"/>
          <w:numId w:val="35"/>
        </w:numPr>
        <w:jc w:val="both"/>
      </w:pPr>
      <w:r w:rsidRPr="000037B8">
        <w:t>Students shall be permitted a reasonable amount of time to make up the material or activities covered in their absence.</w:t>
      </w:r>
    </w:p>
    <w:p w14:paraId="57A818E2" w14:textId="77777777" w:rsidR="00570808" w:rsidRPr="000037B8" w:rsidRDefault="00570808" w:rsidP="00366C4C">
      <w:pPr>
        <w:pStyle w:val="ListParagraph"/>
        <w:numPr>
          <w:ilvl w:val="0"/>
          <w:numId w:val="35"/>
        </w:numPr>
        <w:jc w:val="both"/>
      </w:pPr>
      <w:r w:rsidRPr="000037B8">
        <w:t>Students shall not be penalized due to absence from class or other scheduled academic activity because of religious observances.</w:t>
      </w:r>
    </w:p>
    <w:p w14:paraId="58B11721" w14:textId="1B7145BD" w:rsidR="00570808" w:rsidRPr="000037B8" w:rsidRDefault="00366C4C" w:rsidP="00366C4C">
      <w:pPr>
        <w:spacing w:before="180" w:after="120"/>
        <w:rPr>
          <w:b/>
        </w:rPr>
      </w:pPr>
      <w:r w:rsidRPr="000037B8">
        <w:rPr>
          <w:b/>
        </w:rPr>
        <w:t>Statement Related to Accommodations for Students with Disabilities</w:t>
      </w:r>
    </w:p>
    <w:p w14:paraId="1CD138F6" w14:textId="765A74B0" w:rsidR="00570808" w:rsidRPr="000037B8" w:rsidRDefault="00570808" w:rsidP="0037499B">
      <w:pPr>
        <w:ind w:left="360"/>
        <w:jc w:val="both"/>
      </w:pPr>
      <w:r w:rsidRPr="000037B8">
        <w:rPr>
          <w:color w:val="000000"/>
        </w:rPr>
        <w:t>Students requesting accommodations for disabilities must first register with the Disability Resource Center (</w:t>
      </w:r>
      <w:hyperlink r:id="rId12" w:history="1">
        <w:r w:rsidR="009007B6" w:rsidRPr="000037B8">
          <w:rPr>
            <w:rStyle w:val="Hyperlink"/>
            <w:color w:val="auto"/>
          </w:rPr>
          <w:t>https://disability.ufl.edu/</w:t>
        </w:r>
      </w:hyperlink>
      <w:r w:rsidRPr="000037B8">
        <w:rPr>
          <w:color w:val="000000"/>
        </w:rPr>
        <w:t>).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0037B8">
        <w:t xml:space="preserve">. </w:t>
      </w:r>
      <w:r w:rsidRPr="000037B8">
        <w:rPr>
          <w:color w:val="242424"/>
          <w:bdr w:val="none" w:sz="0" w:space="0" w:color="auto" w:frame="1"/>
        </w:rPr>
        <w:t>Students may access information about various resources on the UF Law Student Resources Canvas page, available at </w:t>
      </w:r>
      <w:hyperlink r:id="rId13" w:tgtFrame="_blank" w:tooltip="https://ufl.instructure.com/courses/427635" w:history="1">
        <w:r w:rsidRPr="000037B8">
          <w:rPr>
            <w:rStyle w:val="Hyperlink"/>
            <w:color w:val="auto"/>
            <w:bdr w:val="none" w:sz="0" w:space="0" w:color="auto" w:frame="1"/>
          </w:rPr>
          <w:t>https://ufl.instructure.com/courses/427635</w:t>
        </w:r>
      </w:hyperlink>
      <w:r w:rsidRPr="000037B8">
        <w:rPr>
          <w:color w:val="242424"/>
          <w:bdr w:val="none" w:sz="0" w:space="0" w:color="auto" w:frame="1"/>
        </w:rPr>
        <w:t>.</w:t>
      </w:r>
    </w:p>
    <w:p w14:paraId="3A72A6DE" w14:textId="794D7209" w:rsidR="00570808" w:rsidRPr="000037B8" w:rsidRDefault="009007B6" w:rsidP="009007B6">
      <w:pPr>
        <w:spacing w:before="180" w:after="120"/>
      </w:pPr>
      <w:r w:rsidRPr="000037B8">
        <w:rPr>
          <w:b/>
        </w:rPr>
        <w:t>Student Course Evaluations</w:t>
      </w:r>
    </w:p>
    <w:p w14:paraId="5B786ECF" w14:textId="77777777" w:rsidR="00570808" w:rsidRPr="000037B8" w:rsidRDefault="00570808" w:rsidP="000B01DC">
      <w:pPr>
        <w:ind w:left="360"/>
        <w:jc w:val="both"/>
      </w:pPr>
      <w:r w:rsidRPr="000037B8">
        <w:t xml:space="preserve">Students are expected to provide professional and respectful feedback on the quality of instruction in this course by completing course evaluations online via </w:t>
      </w:r>
      <w:proofErr w:type="spellStart"/>
      <w:r w:rsidRPr="000037B8">
        <w:t>GatorEvals</w:t>
      </w:r>
      <w:proofErr w:type="spellEnd"/>
      <w:r w:rsidRPr="000037B8">
        <w:t xml:space="preserve">. Click </w:t>
      </w:r>
      <w:hyperlink r:id="rId14" w:history="1">
        <w:r w:rsidRPr="000037B8">
          <w:rPr>
            <w:rStyle w:val="Hyperlink"/>
            <w:color w:val="auto"/>
          </w:rPr>
          <w:t>here</w:t>
        </w:r>
      </w:hyperlink>
      <w:r w:rsidRPr="000037B8">
        <w:t xml:space="preserve"> for guidance on how to give feedback in a professional and respectful manner. Students will be notified when the evaluation period opens and may complete evaluations through the email they receive from </w:t>
      </w:r>
      <w:proofErr w:type="spellStart"/>
      <w:r w:rsidRPr="000037B8">
        <w:t>GatorEvals</w:t>
      </w:r>
      <w:proofErr w:type="spellEnd"/>
      <w:r w:rsidRPr="000037B8">
        <w:t xml:space="preserve">, in their Canvas course menu under </w:t>
      </w:r>
      <w:proofErr w:type="spellStart"/>
      <w:r w:rsidRPr="000037B8">
        <w:t>GatorEvals</w:t>
      </w:r>
      <w:proofErr w:type="spellEnd"/>
      <w:r w:rsidRPr="000037B8">
        <w:t xml:space="preserve">, or via </w:t>
      </w:r>
      <w:hyperlink r:id="rId15" w:history="1">
        <w:r w:rsidRPr="000037B8">
          <w:rPr>
            <w:rStyle w:val="Hyperlink"/>
            <w:color w:val="auto"/>
          </w:rPr>
          <w:t>https://ufl.bluera.com/ufl/</w:t>
        </w:r>
      </w:hyperlink>
      <w:r w:rsidRPr="000037B8">
        <w:t xml:space="preserve">. Summaries of course evaluation results are available to students </w:t>
      </w:r>
      <w:hyperlink r:id="rId16" w:history="1">
        <w:r w:rsidRPr="000037B8">
          <w:rPr>
            <w:rStyle w:val="Hyperlink"/>
            <w:color w:val="auto"/>
          </w:rPr>
          <w:t>here</w:t>
        </w:r>
      </w:hyperlink>
      <w:r w:rsidRPr="000037B8">
        <w:rPr>
          <w:rStyle w:val="Hyperlink"/>
          <w:u w:val="none"/>
        </w:rPr>
        <w:t>.</w:t>
      </w:r>
    </w:p>
    <w:p w14:paraId="4C43D6A1" w14:textId="157E8944" w:rsidR="00570808" w:rsidRPr="000037B8" w:rsidRDefault="0037499B" w:rsidP="0037499B">
      <w:pPr>
        <w:spacing w:before="180" w:after="120"/>
        <w:rPr>
          <w:b/>
        </w:rPr>
      </w:pPr>
      <w:r w:rsidRPr="000037B8">
        <w:rPr>
          <w:b/>
        </w:rPr>
        <w:t>Recordings of Class</w:t>
      </w:r>
    </w:p>
    <w:p w14:paraId="618DB853" w14:textId="60960548" w:rsidR="00570808" w:rsidRPr="000037B8" w:rsidRDefault="00570808" w:rsidP="0037499B">
      <w:pPr>
        <w:ind w:left="360"/>
        <w:jc w:val="both"/>
        <w:rPr>
          <w:color w:val="201F1E"/>
        </w:rPr>
      </w:pPr>
      <w:r w:rsidRPr="000037B8">
        <w:rPr>
          <w:rFonts w:eastAsia="Baskerville Old Face"/>
          <w:color w:val="323130"/>
        </w:rPr>
        <w:t xml:space="preserve">All classes will be recorded via </w:t>
      </w:r>
      <w:proofErr w:type="spellStart"/>
      <w:r w:rsidRPr="000037B8">
        <w:rPr>
          <w:rFonts w:eastAsia="Baskerville Old Face"/>
          <w:color w:val="323130"/>
        </w:rPr>
        <w:t>Mediasite</w:t>
      </w:r>
      <w:proofErr w:type="spellEnd"/>
      <w:r w:rsidRPr="000037B8">
        <w:rPr>
          <w:rFonts w:eastAsia="Baskerville Old Face"/>
          <w:color w:val="323130"/>
        </w:rPr>
        <w:t xml:space="preserve"> in case students must miss class for health reasons.</w:t>
      </w:r>
      <w:r w:rsidR="00B94D56">
        <w:rPr>
          <w:rFonts w:eastAsia="Baskerville Old Face"/>
          <w:color w:val="323130"/>
        </w:rPr>
        <w:t xml:space="preserve"> </w:t>
      </w:r>
      <w:r w:rsidRPr="000037B8">
        <w:rPr>
          <w:rFonts w:eastAsia="Baskerville Old Face"/>
          <w:color w:val="323130"/>
        </w:rPr>
        <w:t xml:space="preserve">The Office of Student Affairs will work with faculty to determine when students may have access to these recordings, and the recordings will be password protected. </w:t>
      </w:r>
      <w:r w:rsidRPr="000037B8">
        <w:rPr>
          <w:color w:val="201F1E"/>
        </w:rPr>
        <w:t>It is the student’s responsibility to contact the Office of Student Affairs as soon as possible after an absence.</w:t>
      </w:r>
    </w:p>
    <w:p w14:paraId="14532EEF" w14:textId="28805A54" w:rsidR="0037499B" w:rsidRPr="000037B8" w:rsidRDefault="0037499B" w:rsidP="0037499B">
      <w:pPr>
        <w:spacing w:before="180" w:after="120"/>
        <w:rPr>
          <w:b/>
        </w:rPr>
      </w:pPr>
      <w:r w:rsidRPr="000037B8">
        <w:rPr>
          <w:b/>
        </w:rPr>
        <w:lastRenderedPageBreak/>
        <w:t>ABA Out-of-Class Hours Requirements</w:t>
      </w:r>
    </w:p>
    <w:p w14:paraId="204705B0" w14:textId="61F81BE3" w:rsidR="00AA2DEF" w:rsidRPr="000037B8" w:rsidRDefault="00242088" w:rsidP="000B01DC">
      <w:pPr>
        <w:ind w:left="360"/>
        <w:jc w:val="both"/>
        <w:rPr>
          <w:rFonts w:eastAsia="Baskerville Old Face"/>
        </w:rPr>
      </w:pPr>
      <w:r w:rsidRPr="000037B8">
        <w:rPr>
          <w:rFonts w:eastAsia="Baskerville Old Face"/>
        </w:rPr>
        <w:t xml:space="preserve">ABA Standard 310 requires that students devote 120 minutes to out-of-class preparation for every “classroom hour” of in-class instruction. </w:t>
      </w:r>
      <w:r w:rsidR="00DD4427">
        <w:rPr>
          <w:rFonts w:eastAsia="Baskerville Old Face"/>
        </w:rPr>
        <w:t>The Environmental Justice Seminar</w:t>
      </w:r>
      <w:r w:rsidR="00012B8B" w:rsidRPr="000037B8">
        <w:t xml:space="preserve"> has </w:t>
      </w:r>
      <w:r w:rsidR="00DD4427">
        <w:t>two</w:t>
      </w:r>
      <w:r w:rsidR="000B01DC" w:rsidRPr="000037B8">
        <w:t xml:space="preserve"> (</w:t>
      </w:r>
      <w:r w:rsidR="00DD4427">
        <w:t>2</w:t>
      </w:r>
      <w:r w:rsidR="000B01DC" w:rsidRPr="000037B8">
        <w:t>)</w:t>
      </w:r>
      <w:r w:rsidR="00012B8B" w:rsidRPr="000037B8">
        <w:t xml:space="preserve"> “classroom hours” of in-class instruction each week, requiring at least </w:t>
      </w:r>
      <w:r w:rsidR="00DD4427">
        <w:t>four</w:t>
      </w:r>
      <w:r w:rsidR="000B01DC" w:rsidRPr="000037B8">
        <w:t xml:space="preserve"> (</w:t>
      </w:r>
      <w:r w:rsidR="00DD4427">
        <w:t>4</w:t>
      </w:r>
      <w:r w:rsidR="000B01DC" w:rsidRPr="000037B8">
        <w:t>)</w:t>
      </w:r>
      <w:r w:rsidR="00012B8B" w:rsidRPr="000037B8">
        <w:t xml:space="preserve"> hours of preparation outside of class. </w:t>
      </w:r>
      <w:r w:rsidR="00C059AC">
        <w:t>(</w:t>
      </w:r>
      <w:r w:rsidR="00C059AC" w:rsidRPr="004D0324">
        <w:rPr>
          <w:rFonts w:eastAsia="Baskerville Old Face"/>
        </w:rPr>
        <w:t>This is independent of the time spent completing the writing assignments.</w:t>
      </w:r>
      <w:r w:rsidR="00C059AC">
        <w:rPr>
          <w:rFonts w:eastAsia="Baskerville Old Face"/>
        </w:rPr>
        <w:t xml:space="preserve">) </w:t>
      </w:r>
      <w:r w:rsidR="00012B8B" w:rsidRPr="000037B8">
        <w:t>You should diligently devote that weekly minimum to preparing your readings and discussion problems, as well as reviewing and outlining material previously covered</w:t>
      </w:r>
      <w:r w:rsidRPr="000037B8">
        <w:rPr>
          <w:rFonts w:eastAsia="Baskerville Old Face"/>
        </w:rPr>
        <w:t xml:space="preserve">. </w:t>
      </w:r>
    </w:p>
    <w:p w14:paraId="595E471D" w14:textId="55838F5C" w:rsidR="001C0EA6" w:rsidRPr="000037B8" w:rsidRDefault="0089424B" w:rsidP="0089424B">
      <w:pPr>
        <w:spacing w:before="180" w:after="120"/>
        <w:rPr>
          <w:b/>
        </w:rPr>
      </w:pPr>
      <w:r w:rsidRPr="000037B8">
        <w:rPr>
          <w:b/>
        </w:rPr>
        <w:t xml:space="preserve">Course Schedule of Topics and Assignments </w:t>
      </w:r>
    </w:p>
    <w:p w14:paraId="4D5E9FC8" w14:textId="5B8ECB85" w:rsidR="00D35B89" w:rsidRPr="000037B8" w:rsidRDefault="001C0EA6" w:rsidP="0089424B">
      <w:pPr>
        <w:spacing w:after="240"/>
        <w:ind w:left="360"/>
        <w:rPr>
          <w:b/>
        </w:rPr>
      </w:pPr>
      <w:r w:rsidRPr="000037B8">
        <w:t xml:space="preserve">This syllabus is offered as a guide to the direction of the course. </w:t>
      </w:r>
      <w:r w:rsidR="00B942A3" w:rsidRPr="000037B8">
        <w:t>Our pace will depend in part on the level of interest and the level of difficulty of each section</w:t>
      </w:r>
      <w:r w:rsidR="00BE4D51" w:rsidRPr="000037B8">
        <w:t xml:space="preserve"> and is subject to change.</w:t>
      </w:r>
      <w:r w:rsidR="00B942A3" w:rsidRPr="000037B8">
        <w:t xml:space="preserve"> </w:t>
      </w:r>
    </w:p>
    <w:tbl>
      <w:tblPr>
        <w:tblStyle w:val="TableGrid"/>
        <w:tblpPr w:leftFromText="180" w:rightFromText="180" w:vertAnchor="text" w:horzAnchor="margin" w:tblpY="288"/>
        <w:tblW w:w="9828" w:type="dxa"/>
        <w:tblLayout w:type="fixed"/>
        <w:tblLook w:val="0000" w:firstRow="0" w:lastRow="0" w:firstColumn="0" w:lastColumn="0" w:noHBand="0" w:noVBand="0"/>
      </w:tblPr>
      <w:tblGrid>
        <w:gridCol w:w="1885"/>
        <w:gridCol w:w="3150"/>
        <w:gridCol w:w="4793"/>
      </w:tblGrid>
      <w:tr w:rsidR="00D35B89" w:rsidRPr="000037B8" w14:paraId="367C4C72" w14:textId="77777777" w:rsidTr="00314305">
        <w:tc>
          <w:tcPr>
            <w:tcW w:w="1885" w:type="dxa"/>
            <w:vAlign w:val="center"/>
          </w:tcPr>
          <w:p w14:paraId="42249485" w14:textId="77777777" w:rsidR="00D35B89" w:rsidRPr="000037B8" w:rsidRDefault="00D35B89" w:rsidP="0009510D">
            <w:pPr>
              <w:spacing w:before="60" w:after="60"/>
              <w:jc w:val="center"/>
              <w:rPr>
                <w:b/>
              </w:rPr>
            </w:pPr>
            <w:r w:rsidRPr="000037B8">
              <w:rPr>
                <w:b/>
              </w:rPr>
              <w:t>Date</w:t>
            </w:r>
          </w:p>
        </w:tc>
        <w:tc>
          <w:tcPr>
            <w:tcW w:w="3150" w:type="dxa"/>
            <w:vAlign w:val="center"/>
          </w:tcPr>
          <w:p w14:paraId="10629C7E" w14:textId="77777777" w:rsidR="00D35B89" w:rsidRPr="000037B8" w:rsidRDefault="00D35B89" w:rsidP="0009510D">
            <w:pPr>
              <w:spacing w:before="60" w:after="60"/>
              <w:jc w:val="center"/>
              <w:rPr>
                <w:b/>
              </w:rPr>
            </w:pPr>
            <w:r w:rsidRPr="000037B8">
              <w:rPr>
                <w:b/>
              </w:rPr>
              <w:t>Assignment</w:t>
            </w:r>
          </w:p>
        </w:tc>
        <w:tc>
          <w:tcPr>
            <w:tcW w:w="4793" w:type="dxa"/>
            <w:vAlign w:val="center"/>
          </w:tcPr>
          <w:p w14:paraId="321A5003" w14:textId="77777777" w:rsidR="00D35B89" w:rsidRPr="000037B8" w:rsidRDefault="00D35B89" w:rsidP="0009510D">
            <w:pPr>
              <w:tabs>
                <w:tab w:val="left" w:pos="-720"/>
              </w:tabs>
              <w:suppressAutoHyphens/>
              <w:spacing w:before="60" w:after="60"/>
              <w:jc w:val="center"/>
            </w:pPr>
            <w:r w:rsidRPr="000037B8">
              <w:rPr>
                <w:b/>
              </w:rPr>
              <w:t>Reading</w:t>
            </w:r>
          </w:p>
        </w:tc>
      </w:tr>
      <w:tr w:rsidR="00D35B89" w:rsidRPr="000037B8" w14:paraId="57C6D9D3" w14:textId="77777777" w:rsidTr="00314305">
        <w:trPr>
          <w:trHeight w:val="288"/>
        </w:trPr>
        <w:tc>
          <w:tcPr>
            <w:tcW w:w="1885" w:type="dxa"/>
            <w:vAlign w:val="center"/>
          </w:tcPr>
          <w:p w14:paraId="598D8495" w14:textId="563A646C" w:rsidR="00D35B89" w:rsidRPr="000037B8" w:rsidRDefault="00CD38A5" w:rsidP="0009510D">
            <w:pPr>
              <w:spacing w:before="60" w:after="60"/>
            </w:pPr>
            <w:r>
              <w:t>Tues</w:t>
            </w:r>
            <w:r w:rsidR="00D35B89" w:rsidRPr="000037B8">
              <w:t>., Jan. 1</w:t>
            </w:r>
            <w:r>
              <w:t>7</w:t>
            </w:r>
          </w:p>
        </w:tc>
        <w:tc>
          <w:tcPr>
            <w:tcW w:w="3150" w:type="dxa"/>
            <w:vAlign w:val="center"/>
          </w:tcPr>
          <w:p w14:paraId="252439CC" w14:textId="17F858D5" w:rsidR="00D35B89" w:rsidRPr="000037B8" w:rsidRDefault="00922B34" w:rsidP="0009510D">
            <w:pPr>
              <w:spacing w:before="60" w:after="60"/>
            </w:pPr>
            <w:r w:rsidRPr="00922B34">
              <w:t>The Environmental Justice Movement: Overview and Foundations</w:t>
            </w:r>
          </w:p>
        </w:tc>
        <w:tc>
          <w:tcPr>
            <w:tcW w:w="4793" w:type="dxa"/>
            <w:vAlign w:val="center"/>
          </w:tcPr>
          <w:p w14:paraId="79CA0FA3" w14:textId="41FE6209" w:rsidR="00D35B89" w:rsidRPr="000037B8" w:rsidRDefault="00C01AB8" w:rsidP="00BD7AD4">
            <w:pPr>
              <w:autoSpaceDE w:val="0"/>
              <w:autoSpaceDN w:val="0"/>
              <w:adjustRightInd w:val="0"/>
            </w:pPr>
            <w:r>
              <w:t xml:space="preserve">Chapter 1, </w:t>
            </w:r>
            <w:r w:rsidR="009750D4" w:rsidRPr="002B3D1C">
              <w:rPr>
                <w:i/>
                <w:iCs/>
              </w:rPr>
              <w:t>Introduction</w:t>
            </w:r>
            <w:r w:rsidR="009750D4">
              <w:t xml:space="preserve">, </w:t>
            </w:r>
            <w:r>
              <w:t xml:space="preserve">pp. 3-7, 9-18, 23-30; </w:t>
            </w:r>
            <w:r w:rsidR="00BD7AD4">
              <w:t>s</w:t>
            </w:r>
            <w:r>
              <w:t xml:space="preserve">kim </w:t>
            </w:r>
            <w:hyperlink r:id="rId17" w:history="1">
              <w:r w:rsidRPr="00BF4D9E">
                <w:rPr>
                  <w:rStyle w:val="Hyperlink"/>
                </w:rPr>
                <w:t>Executive Order 12898</w:t>
              </w:r>
            </w:hyperlink>
            <w:r>
              <w:t xml:space="preserve"> (be prepared to discuss how you would update this Order)</w:t>
            </w:r>
            <w:r w:rsidR="00BD7AD4">
              <w:t>; s</w:t>
            </w:r>
            <w:r>
              <w:t xml:space="preserve">kim </w:t>
            </w:r>
            <w:hyperlink r:id="rId18" w:history="1">
              <w:r w:rsidRPr="006A6B9B">
                <w:rPr>
                  <w:rStyle w:val="Hyperlink"/>
                </w:rPr>
                <w:t>Executive Order 14008</w:t>
              </w:r>
            </w:hyperlink>
            <w:r>
              <w:t xml:space="preserve"> (Biden E</w:t>
            </w:r>
            <w:r w:rsidR="0089699E">
              <w:t xml:space="preserve">xecutive Order on Tackling </w:t>
            </w:r>
            <w:r>
              <w:t xml:space="preserve">Climate </w:t>
            </w:r>
            <w:r w:rsidR="0089699E">
              <w:t>Justice</w:t>
            </w:r>
            <w:r>
              <w:t>)</w:t>
            </w:r>
            <w:r w:rsidR="00BD7AD4">
              <w:t>; w</w:t>
            </w:r>
            <w:r>
              <w:t xml:space="preserve">atch </w:t>
            </w:r>
            <w:hyperlink r:id="rId19" w:history="1">
              <w:r w:rsidR="00A760CE">
                <w:rPr>
                  <w:rStyle w:val="Hyperlink"/>
                </w:rPr>
                <w:t>v</w:t>
              </w:r>
              <w:r w:rsidRPr="00BF4D9E">
                <w:rPr>
                  <w:rStyle w:val="Hyperlink"/>
                </w:rPr>
                <w:t>ideo</w:t>
              </w:r>
            </w:hyperlink>
            <w:r>
              <w:t xml:space="preserve"> for </w:t>
            </w:r>
            <w:r w:rsidR="006874BA">
              <w:t>d</w:t>
            </w:r>
            <w:r>
              <w:t>iscussion</w:t>
            </w:r>
            <w:r w:rsidR="006874BA">
              <w:t xml:space="preserve"> (</w:t>
            </w:r>
            <w:r>
              <w:t>Chester, PA Case Study (8 min)</w:t>
            </w:r>
            <w:r w:rsidR="006874BA">
              <w:t>)</w:t>
            </w:r>
          </w:p>
        </w:tc>
      </w:tr>
      <w:tr w:rsidR="00D35B89" w:rsidRPr="000037B8" w14:paraId="54DEF1C9" w14:textId="77777777" w:rsidTr="00314305">
        <w:trPr>
          <w:trHeight w:val="288"/>
        </w:trPr>
        <w:tc>
          <w:tcPr>
            <w:tcW w:w="1885" w:type="dxa"/>
            <w:vAlign w:val="center"/>
          </w:tcPr>
          <w:p w14:paraId="029F4601" w14:textId="13ACD48B" w:rsidR="00D35B89" w:rsidRPr="000037B8" w:rsidRDefault="00CD38A5" w:rsidP="0009510D">
            <w:pPr>
              <w:spacing w:before="60" w:after="60"/>
            </w:pPr>
            <w:r>
              <w:t>Tues</w:t>
            </w:r>
            <w:r w:rsidR="00D35B89" w:rsidRPr="000037B8">
              <w:t>., Jan. 2</w:t>
            </w:r>
            <w:r>
              <w:t>4</w:t>
            </w:r>
          </w:p>
        </w:tc>
        <w:tc>
          <w:tcPr>
            <w:tcW w:w="3150" w:type="dxa"/>
            <w:vAlign w:val="center"/>
          </w:tcPr>
          <w:p w14:paraId="334D3961" w14:textId="45A33910" w:rsidR="00D35B89" w:rsidRPr="000037B8" w:rsidRDefault="00063F9D" w:rsidP="0009510D">
            <w:pPr>
              <w:spacing w:before="60" w:after="60"/>
            </w:pPr>
            <w:r w:rsidRPr="00063F9D">
              <w:t>Current Topics in Environmental Justice</w:t>
            </w:r>
          </w:p>
        </w:tc>
        <w:tc>
          <w:tcPr>
            <w:tcW w:w="4793" w:type="dxa"/>
            <w:vAlign w:val="center"/>
          </w:tcPr>
          <w:p w14:paraId="22486869" w14:textId="357FF41F" w:rsidR="006D45DB" w:rsidRDefault="006D45DB" w:rsidP="006D45DB">
            <w:pPr>
              <w:autoSpaceDE w:val="0"/>
              <w:autoSpaceDN w:val="0"/>
              <w:adjustRightInd w:val="0"/>
            </w:pPr>
            <w:r>
              <w:t xml:space="preserve">Review </w:t>
            </w:r>
            <w:hyperlink r:id="rId20" w:history="1">
              <w:r w:rsidRPr="003E1A84">
                <w:rPr>
                  <w:rStyle w:val="Hyperlink"/>
                </w:rPr>
                <w:t>W</w:t>
              </w:r>
              <w:r>
                <w:rPr>
                  <w:rStyle w:val="Hyperlink"/>
                </w:rPr>
                <w:t>hite House Environmental Justice Advisory Council</w:t>
              </w:r>
            </w:hyperlink>
            <w:r w:rsidR="001D2EF6" w:rsidRPr="001D2EF6">
              <w:rPr>
                <w:rStyle w:val="Hyperlink"/>
                <w:color w:val="auto"/>
                <w:u w:val="none"/>
              </w:rPr>
              <w:t xml:space="preserve"> </w:t>
            </w:r>
            <w:r>
              <w:t>and</w:t>
            </w:r>
            <w:r w:rsidR="00B54101">
              <w:t xml:space="preserve"> overview of</w:t>
            </w:r>
            <w:r>
              <w:t xml:space="preserve"> </w:t>
            </w:r>
            <w:hyperlink r:id="rId21" w:history="1">
              <w:r w:rsidRPr="00BF4D9E">
                <w:rPr>
                  <w:rStyle w:val="Hyperlink"/>
                </w:rPr>
                <w:t>N</w:t>
              </w:r>
              <w:r>
                <w:rPr>
                  <w:rStyle w:val="Hyperlink"/>
                </w:rPr>
                <w:t>ational Environmental Justice Advisory Council</w:t>
              </w:r>
            </w:hyperlink>
          </w:p>
          <w:p w14:paraId="4EDA4C26" w14:textId="3542E199" w:rsidR="006D45DB" w:rsidRDefault="006D45DB" w:rsidP="006D45DB">
            <w:pPr>
              <w:autoSpaceDE w:val="0"/>
              <w:autoSpaceDN w:val="0"/>
              <w:adjustRightInd w:val="0"/>
            </w:pPr>
            <w:r>
              <w:t xml:space="preserve">Chapter 14, </w:t>
            </w:r>
            <w:r w:rsidRPr="002B3D1C">
              <w:rPr>
                <w:i/>
                <w:iCs/>
              </w:rPr>
              <w:t>Climate Justice</w:t>
            </w:r>
            <w:r w:rsidR="004832D8">
              <w:rPr>
                <w:i/>
                <w:iCs/>
              </w:rPr>
              <w:t>,</w:t>
            </w:r>
            <w:r>
              <w:t xml:space="preserve"> </w:t>
            </w:r>
            <w:r w:rsidR="00CC23E7">
              <w:t>pp. </w:t>
            </w:r>
            <w:r>
              <w:t>492-495, 505-509, 517-519</w:t>
            </w:r>
          </w:p>
          <w:p w14:paraId="349F0DBE" w14:textId="4E3A84A4" w:rsidR="00D35B89" w:rsidRPr="000037B8" w:rsidRDefault="006D45DB" w:rsidP="006D45DB">
            <w:pPr>
              <w:autoSpaceDE w:val="0"/>
              <w:autoSpaceDN w:val="0"/>
              <w:adjustRightInd w:val="0"/>
            </w:pPr>
            <w:r>
              <w:t xml:space="preserve">Chapter 15, </w:t>
            </w:r>
            <w:r w:rsidRPr="002B3D1C">
              <w:rPr>
                <w:i/>
                <w:iCs/>
              </w:rPr>
              <w:t>Disaster Justice</w:t>
            </w:r>
            <w:r w:rsidR="004832D8">
              <w:t xml:space="preserve">, </w:t>
            </w:r>
            <w:r w:rsidR="00CC23E7">
              <w:t>pp. </w:t>
            </w:r>
            <w:r>
              <w:t>521-528, 535-537, 558-560</w:t>
            </w:r>
          </w:p>
        </w:tc>
      </w:tr>
      <w:tr w:rsidR="00065C59" w:rsidRPr="000037B8" w14:paraId="19285F79" w14:textId="77777777" w:rsidTr="00314305">
        <w:trPr>
          <w:trHeight w:val="288"/>
        </w:trPr>
        <w:tc>
          <w:tcPr>
            <w:tcW w:w="1885" w:type="dxa"/>
            <w:vAlign w:val="center"/>
          </w:tcPr>
          <w:p w14:paraId="24A3EA91" w14:textId="0FEA33BA" w:rsidR="00065C59" w:rsidRDefault="00065C59" w:rsidP="0009510D">
            <w:pPr>
              <w:spacing w:before="60" w:after="60"/>
            </w:pPr>
            <w:r>
              <w:t>Tues., Jan. 31</w:t>
            </w:r>
          </w:p>
        </w:tc>
        <w:tc>
          <w:tcPr>
            <w:tcW w:w="3150" w:type="dxa"/>
            <w:vAlign w:val="center"/>
          </w:tcPr>
          <w:p w14:paraId="3F6A7D30" w14:textId="739CADC9" w:rsidR="00065C59" w:rsidRPr="00063F9D" w:rsidRDefault="00065C59" w:rsidP="0009510D">
            <w:pPr>
              <w:spacing w:before="60" w:after="60"/>
            </w:pPr>
            <w:r w:rsidRPr="008B2625">
              <w:t>Causation, Environmental Standards</w:t>
            </w:r>
          </w:p>
        </w:tc>
        <w:tc>
          <w:tcPr>
            <w:tcW w:w="4793" w:type="dxa"/>
            <w:vAlign w:val="center"/>
          </w:tcPr>
          <w:p w14:paraId="46546388" w14:textId="77777777" w:rsidR="00065C59" w:rsidRDefault="00065C59" w:rsidP="00065C59">
            <w:pPr>
              <w:tabs>
                <w:tab w:val="left" w:pos="-720"/>
              </w:tabs>
              <w:suppressAutoHyphens/>
              <w:spacing w:before="60" w:after="60"/>
            </w:pPr>
            <w:r>
              <w:t xml:space="preserve">Chapter 2, </w:t>
            </w:r>
            <w:r w:rsidRPr="00132774">
              <w:rPr>
                <w:i/>
                <w:iCs/>
              </w:rPr>
              <w:t>Theories of Causation</w:t>
            </w:r>
            <w:r>
              <w:t>, pp. 40-47, 52-55, 62-64</w:t>
            </w:r>
          </w:p>
          <w:p w14:paraId="73518356" w14:textId="2E7B29DB" w:rsidR="00065C59" w:rsidRDefault="00065C59" w:rsidP="00065C59">
            <w:pPr>
              <w:autoSpaceDE w:val="0"/>
              <w:autoSpaceDN w:val="0"/>
              <w:adjustRightInd w:val="0"/>
            </w:pPr>
            <w:r>
              <w:t xml:space="preserve">Chapter 5, </w:t>
            </w:r>
            <w:r w:rsidRPr="00E43653">
              <w:rPr>
                <w:i/>
                <w:iCs/>
              </w:rPr>
              <w:t>Standard Setting</w:t>
            </w:r>
            <w:r>
              <w:t>, pp. 172-178, 189-193, 195-202</w:t>
            </w:r>
          </w:p>
        </w:tc>
      </w:tr>
      <w:tr w:rsidR="00D35B89" w:rsidRPr="000037B8" w14:paraId="47AE24B7" w14:textId="77777777" w:rsidTr="00314305">
        <w:trPr>
          <w:trHeight w:val="288"/>
        </w:trPr>
        <w:tc>
          <w:tcPr>
            <w:tcW w:w="1885" w:type="dxa"/>
            <w:vAlign w:val="center"/>
          </w:tcPr>
          <w:p w14:paraId="07EE9BF7" w14:textId="7FB55E25" w:rsidR="00D35B89" w:rsidRPr="000037B8" w:rsidRDefault="00CD38A5" w:rsidP="0009510D">
            <w:pPr>
              <w:spacing w:before="60" w:after="60"/>
            </w:pPr>
            <w:r>
              <w:t>Tues.</w:t>
            </w:r>
            <w:r w:rsidR="00D35B89" w:rsidRPr="000037B8">
              <w:t xml:space="preserve">, </w:t>
            </w:r>
            <w:r w:rsidR="00065C59">
              <w:t>Feb. 7</w:t>
            </w:r>
          </w:p>
        </w:tc>
        <w:tc>
          <w:tcPr>
            <w:tcW w:w="3150" w:type="dxa"/>
            <w:vAlign w:val="center"/>
          </w:tcPr>
          <w:p w14:paraId="67E21471" w14:textId="0F7CBFF2" w:rsidR="00D35B89" w:rsidRPr="000037B8" w:rsidRDefault="006C6533" w:rsidP="0009510D">
            <w:pPr>
              <w:spacing w:before="60" w:after="60"/>
            </w:pPr>
            <w:r>
              <w:t xml:space="preserve">Land Use, </w:t>
            </w:r>
            <w:r w:rsidR="00157B4B">
              <w:t>Foo</w:t>
            </w:r>
            <w:r w:rsidR="00DD3161">
              <w:t>d Justice</w:t>
            </w:r>
          </w:p>
        </w:tc>
        <w:tc>
          <w:tcPr>
            <w:tcW w:w="4793" w:type="dxa"/>
            <w:vAlign w:val="center"/>
          </w:tcPr>
          <w:p w14:paraId="3184076A" w14:textId="77777777" w:rsidR="006C6533" w:rsidRDefault="006C6533" w:rsidP="006C6533">
            <w:pPr>
              <w:autoSpaceDE w:val="0"/>
              <w:autoSpaceDN w:val="0"/>
              <w:adjustRightInd w:val="0"/>
            </w:pPr>
            <w:r>
              <w:t xml:space="preserve">Chapter 11, </w:t>
            </w:r>
            <w:r w:rsidRPr="00D161CD">
              <w:rPr>
                <w:i/>
                <w:iCs/>
              </w:rPr>
              <w:t>Land</w:t>
            </w:r>
            <w:r>
              <w:rPr>
                <w:i/>
                <w:iCs/>
              </w:rPr>
              <w:t>-</w:t>
            </w:r>
            <w:r w:rsidRPr="00D161CD">
              <w:rPr>
                <w:i/>
                <w:iCs/>
              </w:rPr>
              <w:t>Use Planning</w:t>
            </w:r>
            <w:r>
              <w:t>, pp. 394-396, 398-401</w:t>
            </w:r>
          </w:p>
          <w:p w14:paraId="0634F592" w14:textId="77777777" w:rsidR="006C6533" w:rsidRDefault="007A6ADD" w:rsidP="006C6533">
            <w:pPr>
              <w:autoSpaceDE w:val="0"/>
              <w:autoSpaceDN w:val="0"/>
              <w:adjustRightInd w:val="0"/>
            </w:pPr>
            <w:hyperlink r:id="rId22" w:tgtFrame="_blank" w:history="1">
              <w:r w:rsidR="006C6533" w:rsidRPr="009B1615">
                <w:rPr>
                  <w:rStyle w:val="Hyperlink"/>
                </w:rPr>
                <w:t>Michigan EGLE Letter to EPA Administrator Regan</w:t>
              </w:r>
            </w:hyperlink>
            <w:r w:rsidR="006C6533" w:rsidRPr="009B1615">
              <w:t xml:space="preserve"> (November 2021)</w:t>
            </w:r>
          </w:p>
          <w:p w14:paraId="60289324" w14:textId="701F921A" w:rsidR="00352A42" w:rsidRDefault="00352A42" w:rsidP="006C6533">
            <w:pPr>
              <w:autoSpaceDE w:val="0"/>
              <w:autoSpaceDN w:val="0"/>
              <w:adjustRightInd w:val="0"/>
            </w:pPr>
            <w:r>
              <w:t xml:space="preserve">Chapter 16, </w:t>
            </w:r>
            <w:r w:rsidR="00882DF6" w:rsidRPr="00882DF6">
              <w:rPr>
                <w:i/>
                <w:iCs/>
              </w:rPr>
              <w:t>Food Justice</w:t>
            </w:r>
            <w:r w:rsidR="00882DF6">
              <w:t>, pp. </w:t>
            </w:r>
            <w:r>
              <w:t>563-566, 574-583</w:t>
            </w:r>
          </w:p>
          <w:p w14:paraId="6737185A" w14:textId="7F5B2DA3" w:rsidR="00691143" w:rsidRPr="006C6533" w:rsidRDefault="00352A42" w:rsidP="00352A42">
            <w:pPr>
              <w:autoSpaceDE w:val="0"/>
              <w:autoSpaceDN w:val="0"/>
              <w:adjustRightInd w:val="0"/>
              <w:rPr>
                <w:u w:val="single"/>
              </w:rPr>
            </w:pPr>
            <w:r>
              <w:t xml:space="preserve">Emerging Contaminants: Skim </w:t>
            </w:r>
            <w:hyperlink r:id="rId23" w:history="1">
              <w:r w:rsidRPr="006A6B9B">
                <w:rPr>
                  <w:rStyle w:val="Hyperlink"/>
                </w:rPr>
                <w:t>EPA PFAS Roadmap</w:t>
              </w:r>
            </w:hyperlink>
          </w:p>
        </w:tc>
      </w:tr>
    </w:tbl>
    <w:p w14:paraId="463AAB81" w14:textId="77777777" w:rsidR="00C00E07" w:rsidRDefault="00C00E07">
      <w:r>
        <w:br w:type="page"/>
      </w:r>
    </w:p>
    <w:tbl>
      <w:tblPr>
        <w:tblStyle w:val="TableGrid"/>
        <w:tblpPr w:leftFromText="180" w:rightFromText="180" w:vertAnchor="text" w:horzAnchor="margin" w:tblpY="288"/>
        <w:tblW w:w="9828" w:type="dxa"/>
        <w:tblLayout w:type="fixed"/>
        <w:tblLook w:val="0000" w:firstRow="0" w:lastRow="0" w:firstColumn="0" w:lastColumn="0" w:noHBand="0" w:noVBand="0"/>
      </w:tblPr>
      <w:tblGrid>
        <w:gridCol w:w="1885"/>
        <w:gridCol w:w="3150"/>
        <w:gridCol w:w="4793"/>
      </w:tblGrid>
      <w:tr w:rsidR="00D35B89" w:rsidRPr="000037B8" w14:paraId="773677A5" w14:textId="77777777" w:rsidTr="00314305">
        <w:trPr>
          <w:trHeight w:val="288"/>
        </w:trPr>
        <w:tc>
          <w:tcPr>
            <w:tcW w:w="1885" w:type="dxa"/>
            <w:vAlign w:val="center"/>
          </w:tcPr>
          <w:p w14:paraId="5ACDCC08" w14:textId="0317E1B6" w:rsidR="00D35B89" w:rsidRPr="000037B8" w:rsidRDefault="00231294" w:rsidP="0009510D">
            <w:pPr>
              <w:spacing w:before="60" w:after="60"/>
            </w:pPr>
            <w:r>
              <w:lastRenderedPageBreak/>
              <w:t>Tues</w:t>
            </w:r>
            <w:r w:rsidR="00D35B89" w:rsidRPr="000037B8">
              <w:t>., Feb. 1</w:t>
            </w:r>
            <w:r>
              <w:t>4</w:t>
            </w:r>
          </w:p>
        </w:tc>
        <w:tc>
          <w:tcPr>
            <w:tcW w:w="3150" w:type="dxa"/>
            <w:vAlign w:val="center"/>
          </w:tcPr>
          <w:p w14:paraId="2419418C" w14:textId="415DA4A2" w:rsidR="00D35B89" w:rsidRPr="000037B8" w:rsidRDefault="00F13643" w:rsidP="0009510D">
            <w:pPr>
              <w:spacing w:before="60" w:after="60"/>
            </w:pPr>
            <w:r w:rsidRPr="00F13643">
              <w:t>Environmental Justice and the Constitution, Civil Rights</w:t>
            </w:r>
          </w:p>
        </w:tc>
        <w:tc>
          <w:tcPr>
            <w:tcW w:w="4793" w:type="dxa"/>
            <w:vAlign w:val="center"/>
          </w:tcPr>
          <w:p w14:paraId="0B7840C0" w14:textId="77777777" w:rsidR="00C75A59" w:rsidRDefault="001369EC" w:rsidP="001369EC">
            <w:pPr>
              <w:autoSpaceDE w:val="0"/>
              <w:autoSpaceDN w:val="0"/>
              <w:adjustRightInd w:val="0"/>
            </w:pPr>
            <w:r>
              <w:t xml:space="preserve">Chapter 4, </w:t>
            </w:r>
            <w:r w:rsidRPr="001369EC">
              <w:rPr>
                <w:i/>
                <w:iCs/>
              </w:rPr>
              <w:t>Constitutional and Civil Rights Claims</w:t>
            </w:r>
            <w:r w:rsidR="00C75A59">
              <w:t>, pp. </w:t>
            </w:r>
            <w:r>
              <w:t>124-132, 140-143, 154-155</w:t>
            </w:r>
          </w:p>
          <w:p w14:paraId="3DE76B70" w14:textId="3343C338" w:rsidR="001369EC" w:rsidRDefault="00C75A59" w:rsidP="001369EC">
            <w:pPr>
              <w:autoSpaceDE w:val="0"/>
              <w:autoSpaceDN w:val="0"/>
              <w:adjustRightInd w:val="0"/>
            </w:pPr>
            <w:r>
              <w:t>V</w:t>
            </w:r>
            <w:r w:rsidR="001369EC">
              <w:t xml:space="preserve">isit </w:t>
            </w:r>
            <w:hyperlink r:id="rId24" w:history="1">
              <w:r w:rsidR="001369EC" w:rsidRPr="00C97540">
                <w:rPr>
                  <w:rStyle w:val="Hyperlink"/>
                </w:rPr>
                <w:t xml:space="preserve">EPA’s </w:t>
              </w:r>
              <w:r w:rsidR="006E0CDC">
                <w:rPr>
                  <w:rStyle w:val="Hyperlink"/>
                </w:rPr>
                <w:t>Office of External Civil Rights Compliance</w:t>
              </w:r>
            </w:hyperlink>
            <w:r w:rsidR="001369EC">
              <w:t xml:space="preserve"> site and skim postings</w:t>
            </w:r>
          </w:p>
          <w:p w14:paraId="77F46E40" w14:textId="109AA337" w:rsidR="00D35B89" w:rsidRPr="000037B8" w:rsidRDefault="001369EC" w:rsidP="001369EC">
            <w:pPr>
              <w:autoSpaceDE w:val="0"/>
              <w:autoSpaceDN w:val="0"/>
              <w:adjustRightInd w:val="0"/>
            </w:pPr>
            <w:r>
              <w:t xml:space="preserve">Read Texas </w:t>
            </w:r>
            <w:hyperlink r:id="rId25" w:history="1">
              <w:r w:rsidRPr="000D0ACD">
                <w:rPr>
                  <w:rStyle w:val="Hyperlink"/>
                </w:rPr>
                <w:t>Title VI Complaint</w:t>
              </w:r>
            </w:hyperlink>
            <w:r>
              <w:t xml:space="preserve"> (2019) and </w:t>
            </w:r>
            <w:hyperlink r:id="rId26" w:history="1">
              <w:r w:rsidRPr="00C97540">
                <w:rPr>
                  <w:rStyle w:val="Hyperlink"/>
                </w:rPr>
                <w:t>EPA</w:t>
              </w:r>
              <w:r>
                <w:rPr>
                  <w:rStyle w:val="Hyperlink"/>
                </w:rPr>
                <w:t>’s</w:t>
              </w:r>
              <w:r w:rsidRPr="00C97540">
                <w:rPr>
                  <w:rStyle w:val="Hyperlink"/>
                </w:rPr>
                <w:t xml:space="preserve"> Response</w:t>
              </w:r>
            </w:hyperlink>
            <w:r>
              <w:rPr>
                <w:rStyle w:val="Hyperlink"/>
              </w:rPr>
              <w:t xml:space="preserve"> </w:t>
            </w:r>
            <w:r>
              <w:t>(2020)</w:t>
            </w:r>
          </w:p>
        </w:tc>
      </w:tr>
      <w:tr w:rsidR="00D35B89" w:rsidRPr="000037B8" w14:paraId="14BBEFCA" w14:textId="77777777" w:rsidTr="00314305">
        <w:trPr>
          <w:trHeight w:val="288"/>
        </w:trPr>
        <w:tc>
          <w:tcPr>
            <w:tcW w:w="1885" w:type="dxa"/>
            <w:vAlign w:val="center"/>
          </w:tcPr>
          <w:p w14:paraId="7F98F271" w14:textId="3A1E197B" w:rsidR="00D35B89" w:rsidRPr="000037B8" w:rsidRDefault="00231294" w:rsidP="0009510D">
            <w:pPr>
              <w:spacing w:before="60" w:after="60"/>
            </w:pPr>
            <w:r>
              <w:t>Tues.</w:t>
            </w:r>
            <w:r w:rsidR="00D35B89" w:rsidRPr="000037B8">
              <w:t xml:space="preserve">, Feb. </w:t>
            </w:r>
            <w:r>
              <w:t>21</w:t>
            </w:r>
          </w:p>
        </w:tc>
        <w:tc>
          <w:tcPr>
            <w:tcW w:w="3150" w:type="dxa"/>
            <w:vAlign w:val="center"/>
          </w:tcPr>
          <w:p w14:paraId="2999E2D8" w14:textId="1F7678B6" w:rsidR="00D35B89" w:rsidRPr="000037B8" w:rsidRDefault="00470AB8" w:rsidP="0009510D">
            <w:pPr>
              <w:spacing w:before="60" w:after="60"/>
            </w:pPr>
            <w:r w:rsidRPr="00470AB8">
              <w:t>Key Principles of Risk Assessment</w:t>
            </w:r>
          </w:p>
        </w:tc>
        <w:tc>
          <w:tcPr>
            <w:tcW w:w="4793" w:type="dxa"/>
            <w:vAlign w:val="center"/>
          </w:tcPr>
          <w:p w14:paraId="527F63DD" w14:textId="6EB86A01" w:rsidR="00D467B2" w:rsidRDefault="00D467B2" w:rsidP="00D467B2">
            <w:pPr>
              <w:autoSpaceDE w:val="0"/>
              <w:autoSpaceDN w:val="0"/>
              <w:adjustRightInd w:val="0"/>
            </w:pPr>
            <w:r>
              <w:t xml:space="preserve">Chapter 3, </w:t>
            </w:r>
            <w:r w:rsidRPr="00D467B2">
              <w:rPr>
                <w:i/>
                <w:iCs/>
              </w:rPr>
              <w:t>Risk and Health</w:t>
            </w:r>
            <w:r>
              <w:t>, pp. 83-91, 95-100, 113-117</w:t>
            </w:r>
          </w:p>
          <w:p w14:paraId="0FA053CF" w14:textId="6368B002" w:rsidR="00D35B89" w:rsidRPr="000037B8" w:rsidRDefault="00D467B2" w:rsidP="000E2193">
            <w:pPr>
              <w:autoSpaceDE w:val="0"/>
              <w:autoSpaceDN w:val="0"/>
              <w:adjustRightInd w:val="0"/>
            </w:pPr>
            <w:r>
              <w:t xml:space="preserve">Watch </w:t>
            </w:r>
            <w:hyperlink r:id="rId27" w:history="1">
              <w:r w:rsidR="000574DD">
                <w:rPr>
                  <w:rStyle w:val="Hyperlink"/>
                </w:rPr>
                <w:t>v</w:t>
              </w:r>
              <w:r w:rsidRPr="000D0ACD">
                <w:rPr>
                  <w:rStyle w:val="Hyperlink"/>
                </w:rPr>
                <w:t>ideo</w:t>
              </w:r>
            </w:hyperlink>
            <w:r>
              <w:t xml:space="preserve"> </w:t>
            </w:r>
            <w:r w:rsidR="000574DD">
              <w:t xml:space="preserve">on </w:t>
            </w:r>
            <w:r w:rsidR="000E2193">
              <w:t>h</w:t>
            </w:r>
            <w:r w:rsidR="000574DD">
              <w:t xml:space="preserve">uman </w:t>
            </w:r>
            <w:r w:rsidR="000E2193">
              <w:t>h</w:t>
            </w:r>
            <w:r w:rsidR="000574DD">
              <w:t xml:space="preserve">ealth </w:t>
            </w:r>
            <w:r w:rsidR="000E2193">
              <w:t>r</w:t>
            </w:r>
            <w:r w:rsidR="000574DD">
              <w:t xml:space="preserve">isk </w:t>
            </w:r>
            <w:r w:rsidR="000E2193">
              <w:t>a</w:t>
            </w:r>
            <w:r w:rsidR="000574DD">
              <w:t xml:space="preserve">ssessment </w:t>
            </w:r>
            <w:r>
              <w:t>(4 min)</w:t>
            </w:r>
            <w:r w:rsidR="000E2193">
              <w:t>; w</w:t>
            </w:r>
            <w:r>
              <w:t xml:space="preserve">atch </w:t>
            </w:r>
            <w:hyperlink r:id="rId28" w:history="1">
              <w:r w:rsidR="000574DD">
                <w:rPr>
                  <w:rStyle w:val="Hyperlink"/>
                </w:rPr>
                <w:t>v</w:t>
              </w:r>
              <w:r w:rsidRPr="000D0ACD">
                <w:rPr>
                  <w:rStyle w:val="Hyperlink"/>
                </w:rPr>
                <w:t>ideo</w:t>
              </w:r>
            </w:hyperlink>
            <w:r>
              <w:t xml:space="preserve"> </w:t>
            </w:r>
            <w:r w:rsidR="000574DD">
              <w:t xml:space="preserve">on </w:t>
            </w:r>
            <w:r w:rsidR="000E2193">
              <w:t>e</w:t>
            </w:r>
            <w:r w:rsidR="000574DD">
              <w:t xml:space="preserve">nvironmental </w:t>
            </w:r>
            <w:r w:rsidR="000E2193">
              <w:t>r</w:t>
            </w:r>
            <w:r w:rsidR="000574DD">
              <w:t xml:space="preserve">isk </w:t>
            </w:r>
            <w:r w:rsidR="000E2193">
              <w:t>a</w:t>
            </w:r>
            <w:r w:rsidR="000574DD">
              <w:t xml:space="preserve">ssessment </w:t>
            </w:r>
            <w:r>
              <w:t>(4 min)</w:t>
            </w:r>
          </w:p>
        </w:tc>
      </w:tr>
      <w:tr w:rsidR="00D35B89" w:rsidRPr="000037B8" w14:paraId="39E96645" w14:textId="77777777" w:rsidTr="00314305">
        <w:trPr>
          <w:trHeight w:val="288"/>
        </w:trPr>
        <w:tc>
          <w:tcPr>
            <w:tcW w:w="1885" w:type="dxa"/>
            <w:vAlign w:val="center"/>
          </w:tcPr>
          <w:p w14:paraId="08EAC5B8" w14:textId="2B65CD40" w:rsidR="00D35B89" w:rsidRPr="000037B8" w:rsidRDefault="00231294" w:rsidP="0009510D">
            <w:pPr>
              <w:spacing w:before="60" w:after="60"/>
            </w:pPr>
            <w:r>
              <w:t>Tues</w:t>
            </w:r>
            <w:r w:rsidR="00D35B89" w:rsidRPr="000037B8">
              <w:t xml:space="preserve">., Feb. </w:t>
            </w:r>
            <w:r>
              <w:t>2</w:t>
            </w:r>
            <w:r w:rsidR="00D35B89" w:rsidRPr="000037B8">
              <w:t>8</w:t>
            </w:r>
          </w:p>
        </w:tc>
        <w:tc>
          <w:tcPr>
            <w:tcW w:w="3150" w:type="dxa"/>
            <w:vAlign w:val="center"/>
          </w:tcPr>
          <w:p w14:paraId="31AFD333" w14:textId="6BF3CE6B" w:rsidR="00D35B89" w:rsidRPr="000037B8" w:rsidRDefault="0022242D" w:rsidP="0009510D">
            <w:pPr>
              <w:spacing w:before="60" w:after="60"/>
            </w:pPr>
            <w:r>
              <w:t xml:space="preserve">Environmental Permits, </w:t>
            </w:r>
            <w:r w:rsidR="00CB3F33" w:rsidRPr="00CB3F33">
              <w:t>State Environmental Justice Initiatives</w:t>
            </w:r>
          </w:p>
        </w:tc>
        <w:tc>
          <w:tcPr>
            <w:tcW w:w="4793" w:type="dxa"/>
            <w:vAlign w:val="center"/>
          </w:tcPr>
          <w:p w14:paraId="3023F257" w14:textId="1F3CD536" w:rsidR="004855E4" w:rsidRDefault="004855E4" w:rsidP="004855E4">
            <w:r>
              <w:t xml:space="preserve">Chapter 6, </w:t>
            </w:r>
            <w:r w:rsidRPr="004855E4">
              <w:rPr>
                <w:i/>
                <w:iCs/>
              </w:rPr>
              <w:t>Environmental Permits</w:t>
            </w:r>
            <w:r>
              <w:t>, pp. 207-210</w:t>
            </w:r>
            <w:r w:rsidR="00FE7F29">
              <w:t xml:space="preserve">, </w:t>
            </w:r>
            <w:r>
              <w:t>213-218, 226-229, 238-247</w:t>
            </w:r>
          </w:p>
          <w:p w14:paraId="6E14B2C4" w14:textId="06374417" w:rsidR="004855E4" w:rsidRDefault="004855E4" w:rsidP="004855E4">
            <w:pPr>
              <w:autoSpaceDE w:val="0"/>
              <w:autoSpaceDN w:val="0"/>
              <w:adjustRightInd w:val="0"/>
            </w:pPr>
            <w:r>
              <w:t xml:space="preserve">Chapter 10, </w:t>
            </w:r>
            <w:r w:rsidRPr="00FE7F29">
              <w:rPr>
                <w:i/>
                <w:iCs/>
              </w:rPr>
              <w:t>Governmental Initiatives to Promote Environmental Justice</w:t>
            </w:r>
            <w:r w:rsidR="00FE7F29">
              <w:t>, pp. </w:t>
            </w:r>
            <w:r>
              <w:rPr>
                <w:iCs/>
              </w:rPr>
              <w:t>363-366, 383-391</w:t>
            </w:r>
          </w:p>
          <w:p w14:paraId="2B1B0E21" w14:textId="77777777" w:rsidR="004855E4" w:rsidRDefault="004855E4" w:rsidP="004855E4">
            <w:pPr>
              <w:autoSpaceDE w:val="0"/>
              <w:autoSpaceDN w:val="0"/>
              <w:adjustRightInd w:val="0"/>
            </w:pPr>
            <w:r>
              <w:t xml:space="preserve">Skim </w:t>
            </w:r>
            <w:hyperlink r:id="rId29" w:history="1">
              <w:r w:rsidRPr="00895C82">
                <w:rPr>
                  <w:rStyle w:val="Hyperlink"/>
                </w:rPr>
                <w:t>New Jersey Environmental Justice Law</w:t>
              </w:r>
            </w:hyperlink>
            <w:r>
              <w:t xml:space="preserve"> (2020)</w:t>
            </w:r>
          </w:p>
          <w:p w14:paraId="41461D93" w14:textId="4D67056F" w:rsidR="00D35B89" w:rsidRPr="000037B8" w:rsidRDefault="004855E4" w:rsidP="003D10DF">
            <w:pPr>
              <w:autoSpaceDE w:val="0"/>
              <w:autoSpaceDN w:val="0"/>
              <w:adjustRightInd w:val="0"/>
            </w:pPr>
            <w:r>
              <w:t xml:space="preserve">Skim </w:t>
            </w:r>
            <w:hyperlink r:id="rId30" w:history="1">
              <w:r w:rsidRPr="00895C82">
                <w:rPr>
                  <w:rStyle w:val="Hyperlink"/>
                </w:rPr>
                <w:t>Washington State Environmental Justice Law</w:t>
              </w:r>
            </w:hyperlink>
            <w:r>
              <w:t xml:space="preserve"> (2021)</w:t>
            </w:r>
          </w:p>
        </w:tc>
      </w:tr>
      <w:tr w:rsidR="00D35B89" w:rsidRPr="000037B8" w14:paraId="291666C3" w14:textId="77777777" w:rsidTr="00314305">
        <w:trPr>
          <w:trHeight w:val="288"/>
        </w:trPr>
        <w:tc>
          <w:tcPr>
            <w:tcW w:w="1885" w:type="dxa"/>
            <w:vAlign w:val="center"/>
          </w:tcPr>
          <w:p w14:paraId="4A05450D" w14:textId="00A066D4" w:rsidR="00D35B89" w:rsidRPr="000037B8" w:rsidRDefault="00231294" w:rsidP="0009510D">
            <w:pPr>
              <w:spacing w:before="60" w:after="60"/>
            </w:pPr>
            <w:r>
              <w:t>Tues</w:t>
            </w:r>
            <w:r w:rsidR="00D35B89" w:rsidRPr="000037B8">
              <w:t xml:space="preserve">., </w:t>
            </w:r>
            <w:r>
              <w:t xml:space="preserve">Mar. </w:t>
            </w:r>
            <w:r w:rsidR="00065C16">
              <w:t>7</w:t>
            </w:r>
          </w:p>
        </w:tc>
        <w:tc>
          <w:tcPr>
            <w:tcW w:w="3150" w:type="dxa"/>
            <w:vAlign w:val="center"/>
          </w:tcPr>
          <w:p w14:paraId="4736D159" w14:textId="7BB8D740" w:rsidR="00D35B89" w:rsidRPr="000037B8" w:rsidRDefault="004F1E85" w:rsidP="0009510D">
            <w:pPr>
              <w:spacing w:before="60" w:after="60"/>
            </w:pPr>
            <w:r w:rsidRPr="004F1E85">
              <w:t>Enforcement and Remedies</w:t>
            </w:r>
          </w:p>
        </w:tc>
        <w:tc>
          <w:tcPr>
            <w:tcW w:w="4793" w:type="dxa"/>
            <w:vAlign w:val="center"/>
          </w:tcPr>
          <w:p w14:paraId="335C3F94" w14:textId="45FE1014" w:rsidR="004B192B" w:rsidRDefault="004B192B" w:rsidP="004B192B">
            <w:pPr>
              <w:autoSpaceDE w:val="0"/>
              <w:autoSpaceDN w:val="0"/>
              <w:adjustRightInd w:val="0"/>
              <w:rPr>
                <w:iCs/>
              </w:rPr>
            </w:pPr>
            <w:r>
              <w:rPr>
                <w:iCs/>
              </w:rPr>
              <w:t xml:space="preserve">Chapter 7, </w:t>
            </w:r>
            <w:r w:rsidRPr="004B192B">
              <w:rPr>
                <w:i/>
              </w:rPr>
              <w:t>Public Enforcement</w:t>
            </w:r>
            <w:r>
              <w:rPr>
                <w:iCs/>
              </w:rPr>
              <w:t>, pp. 257-267, 269-274</w:t>
            </w:r>
          </w:p>
          <w:p w14:paraId="74FFDE8A" w14:textId="58B7947B" w:rsidR="004B192B" w:rsidRDefault="004B192B" w:rsidP="004B192B">
            <w:pPr>
              <w:autoSpaceDE w:val="0"/>
              <w:autoSpaceDN w:val="0"/>
              <w:adjustRightInd w:val="0"/>
              <w:rPr>
                <w:iCs/>
              </w:rPr>
            </w:pPr>
            <w:r>
              <w:rPr>
                <w:iCs/>
              </w:rPr>
              <w:t xml:space="preserve">Chapter 8, </w:t>
            </w:r>
            <w:r w:rsidRPr="00200C3F">
              <w:rPr>
                <w:i/>
              </w:rPr>
              <w:t>Environmental Justice and Contaminated Sites</w:t>
            </w:r>
            <w:r w:rsidR="00200C3F">
              <w:rPr>
                <w:iCs/>
              </w:rPr>
              <w:t>, pp. </w:t>
            </w:r>
            <w:r>
              <w:rPr>
                <w:iCs/>
              </w:rPr>
              <w:t>299-305, 316-321</w:t>
            </w:r>
          </w:p>
          <w:p w14:paraId="1D0A2411" w14:textId="54B290C7" w:rsidR="00D35B89" w:rsidRPr="00200C3F" w:rsidRDefault="004B192B" w:rsidP="00200C3F">
            <w:pPr>
              <w:autoSpaceDE w:val="0"/>
              <w:autoSpaceDN w:val="0"/>
              <w:adjustRightInd w:val="0"/>
              <w:rPr>
                <w:iCs/>
              </w:rPr>
            </w:pPr>
            <w:r w:rsidRPr="00782D4E">
              <w:rPr>
                <w:iCs/>
              </w:rPr>
              <w:t>Chapter 13</w:t>
            </w:r>
            <w:r>
              <w:rPr>
                <w:iCs/>
              </w:rPr>
              <w:t xml:space="preserve">, </w:t>
            </w:r>
            <w:r w:rsidRPr="00200C3F">
              <w:rPr>
                <w:i/>
              </w:rPr>
              <w:t>Citizen Enforcement and Common Law Remedies</w:t>
            </w:r>
            <w:r w:rsidR="00200C3F">
              <w:rPr>
                <w:iCs/>
              </w:rPr>
              <w:t>, pp. </w:t>
            </w:r>
            <w:r>
              <w:rPr>
                <w:iCs/>
              </w:rPr>
              <w:t>441-446, 455-459, 469-475</w:t>
            </w:r>
          </w:p>
        </w:tc>
      </w:tr>
      <w:tr w:rsidR="00D35B89" w:rsidRPr="000037B8" w14:paraId="31CD5222" w14:textId="77777777" w:rsidTr="00314305">
        <w:trPr>
          <w:trHeight w:val="288"/>
        </w:trPr>
        <w:tc>
          <w:tcPr>
            <w:tcW w:w="1885" w:type="dxa"/>
            <w:vAlign w:val="center"/>
          </w:tcPr>
          <w:p w14:paraId="5B70FE5C" w14:textId="63A76977" w:rsidR="00D35B89" w:rsidRPr="000037B8" w:rsidRDefault="004033F2" w:rsidP="0009510D">
            <w:pPr>
              <w:spacing w:before="60" w:after="60"/>
            </w:pPr>
            <w:r>
              <w:t>Tues., Mar</w:t>
            </w:r>
            <w:r w:rsidR="00D35B89" w:rsidRPr="000037B8">
              <w:t>. 1</w:t>
            </w:r>
            <w:r w:rsidR="00A0005A">
              <w:t>4</w:t>
            </w:r>
          </w:p>
        </w:tc>
        <w:tc>
          <w:tcPr>
            <w:tcW w:w="3150" w:type="dxa"/>
            <w:vAlign w:val="center"/>
          </w:tcPr>
          <w:p w14:paraId="18DB001E" w14:textId="3F4FEC3D" w:rsidR="00D35B89" w:rsidRPr="000037B8" w:rsidRDefault="00A0005A" w:rsidP="0009510D">
            <w:pPr>
              <w:spacing w:before="60" w:after="60"/>
            </w:pPr>
            <w:r>
              <w:t>SPRING BREAK</w:t>
            </w:r>
          </w:p>
        </w:tc>
        <w:tc>
          <w:tcPr>
            <w:tcW w:w="4793" w:type="dxa"/>
            <w:vAlign w:val="center"/>
          </w:tcPr>
          <w:p w14:paraId="24A03992" w14:textId="754728F4" w:rsidR="00D35B89" w:rsidRPr="000037B8" w:rsidRDefault="00D35B89" w:rsidP="0009510D">
            <w:pPr>
              <w:tabs>
                <w:tab w:val="left" w:pos="-720"/>
              </w:tabs>
              <w:suppressAutoHyphens/>
              <w:spacing w:before="60" w:after="60"/>
            </w:pPr>
          </w:p>
        </w:tc>
      </w:tr>
      <w:tr w:rsidR="00D35B89" w:rsidRPr="000037B8" w14:paraId="2E422EF9" w14:textId="77777777" w:rsidTr="00314305">
        <w:trPr>
          <w:trHeight w:val="288"/>
        </w:trPr>
        <w:tc>
          <w:tcPr>
            <w:tcW w:w="1885" w:type="dxa"/>
            <w:vAlign w:val="center"/>
          </w:tcPr>
          <w:p w14:paraId="2CD4AFC1" w14:textId="1D548748" w:rsidR="00D35B89" w:rsidRPr="000037B8" w:rsidRDefault="00A0005A" w:rsidP="0009510D">
            <w:pPr>
              <w:spacing w:before="60" w:after="60"/>
            </w:pPr>
            <w:r>
              <w:t>Tues., Mar. 21</w:t>
            </w:r>
          </w:p>
        </w:tc>
        <w:tc>
          <w:tcPr>
            <w:tcW w:w="3150" w:type="dxa"/>
            <w:vAlign w:val="center"/>
          </w:tcPr>
          <w:p w14:paraId="76674AF0" w14:textId="710FD193" w:rsidR="00D35B89" w:rsidRPr="000037B8" w:rsidRDefault="00BE01BB" w:rsidP="0009510D">
            <w:pPr>
              <w:spacing w:before="60" w:after="60"/>
            </w:pPr>
            <w:r w:rsidRPr="00BE01BB">
              <w:t>Maps and Data</w:t>
            </w:r>
          </w:p>
        </w:tc>
        <w:tc>
          <w:tcPr>
            <w:tcW w:w="4793" w:type="dxa"/>
            <w:vAlign w:val="center"/>
          </w:tcPr>
          <w:p w14:paraId="31B2A729" w14:textId="0F2B31FB" w:rsidR="00451B58" w:rsidRDefault="00723E92" w:rsidP="00451B58">
            <w:pPr>
              <w:autoSpaceDE w:val="0"/>
              <w:autoSpaceDN w:val="0"/>
              <w:adjustRightInd w:val="0"/>
            </w:pPr>
            <w:r>
              <w:t xml:space="preserve">Read </w:t>
            </w:r>
            <w:hyperlink r:id="rId31" w:history="1">
              <w:r>
                <w:rPr>
                  <w:rStyle w:val="Hyperlink"/>
                </w:rPr>
                <w:t>Reuters Article on Big Data</w:t>
              </w:r>
            </w:hyperlink>
          </w:p>
          <w:p w14:paraId="73B2D27E" w14:textId="1410EF04" w:rsidR="00D35B89" w:rsidRPr="00451B58" w:rsidRDefault="00723E92" w:rsidP="009B4CF2">
            <w:pPr>
              <w:autoSpaceDE w:val="0"/>
              <w:autoSpaceDN w:val="0"/>
              <w:adjustRightInd w:val="0"/>
            </w:pPr>
            <w:r>
              <w:t xml:space="preserve">Please </w:t>
            </w:r>
            <w:r w:rsidR="00451B58">
              <w:t xml:space="preserve">spend time before class exploring one of these tools, and we will discuss them: </w:t>
            </w:r>
            <w:hyperlink r:id="rId32" w:history="1">
              <w:r w:rsidR="00451B58" w:rsidRPr="00AE5B38">
                <w:rPr>
                  <w:rStyle w:val="Hyperlink"/>
                </w:rPr>
                <w:t>E</w:t>
              </w:r>
              <w:r w:rsidR="007D4585">
                <w:rPr>
                  <w:rStyle w:val="Hyperlink"/>
                </w:rPr>
                <w:t>P</w:t>
              </w:r>
              <w:r w:rsidR="00C45214">
                <w:rPr>
                  <w:rStyle w:val="Hyperlink"/>
                </w:rPr>
                <w:t>A</w:t>
              </w:r>
              <w:r w:rsidR="007D4585">
                <w:rPr>
                  <w:rStyle w:val="Hyperlink"/>
                </w:rPr>
                <w:t xml:space="preserve"> </w:t>
              </w:r>
              <w:proofErr w:type="spellStart"/>
              <w:r w:rsidR="00C45214">
                <w:rPr>
                  <w:rStyle w:val="Hyperlink"/>
                </w:rPr>
                <w:t>E</w:t>
              </w:r>
              <w:r w:rsidR="00451B58" w:rsidRPr="00AE5B38">
                <w:rPr>
                  <w:rStyle w:val="Hyperlink"/>
                </w:rPr>
                <w:t>J</w:t>
              </w:r>
              <w:r w:rsidR="00A85534">
                <w:rPr>
                  <w:rStyle w:val="Hyperlink"/>
                </w:rPr>
                <w:t>Screen</w:t>
              </w:r>
              <w:proofErr w:type="spellEnd"/>
            </w:hyperlink>
            <w:r w:rsidR="00451B58">
              <w:t xml:space="preserve">, </w:t>
            </w:r>
            <w:hyperlink r:id="rId33" w:history="1">
              <w:r w:rsidR="00451B58" w:rsidRPr="00896D71">
                <w:rPr>
                  <w:rStyle w:val="Hyperlink"/>
                </w:rPr>
                <w:t>C</w:t>
              </w:r>
              <w:r w:rsidR="00B37816">
                <w:rPr>
                  <w:rStyle w:val="Hyperlink"/>
                </w:rPr>
                <w:t>limate and Economic Justice Screening Tool</w:t>
              </w:r>
            </w:hyperlink>
            <w:r w:rsidR="00451B58">
              <w:t xml:space="preserve">, </w:t>
            </w:r>
            <w:hyperlink r:id="rId34" w:history="1">
              <w:proofErr w:type="spellStart"/>
              <w:r w:rsidR="00451B58" w:rsidRPr="00896D71">
                <w:rPr>
                  <w:rStyle w:val="Hyperlink"/>
                </w:rPr>
                <w:t>CalEnviroScreen</w:t>
              </w:r>
              <w:proofErr w:type="spellEnd"/>
            </w:hyperlink>
            <w:r w:rsidR="00451B58">
              <w:t xml:space="preserve">, </w:t>
            </w:r>
            <w:hyperlink r:id="rId35" w:history="1">
              <w:r w:rsidR="00451B58" w:rsidRPr="00896D71">
                <w:rPr>
                  <w:rStyle w:val="Hyperlink"/>
                </w:rPr>
                <w:t>E</w:t>
              </w:r>
              <w:r w:rsidR="004D6E2C">
                <w:rPr>
                  <w:rStyle w:val="Hyperlink"/>
                </w:rPr>
                <w:t>PA E</w:t>
              </w:r>
              <w:r w:rsidR="0073445E">
                <w:rPr>
                  <w:rStyle w:val="Hyperlink"/>
                </w:rPr>
                <w:t>CHO</w:t>
              </w:r>
            </w:hyperlink>
            <w:r w:rsidR="00451B58">
              <w:t xml:space="preserve">, </w:t>
            </w:r>
            <w:hyperlink r:id="rId36" w:history="1">
              <w:r w:rsidR="00451B58" w:rsidRPr="00C51DBB">
                <w:rPr>
                  <w:rStyle w:val="Hyperlink"/>
                </w:rPr>
                <w:t xml:space="preserve">North Carolina </w:t>
              </w:r>
              <w:r w:rsidR="0073445E">
                <w:rPr>
                  <w:rStyle w:val="Hyperlink"/>
                </w:rPr>
                <w:t xml:space="preserve">DEQ </w:t>
              </w:r>
              <w:r w:rsidR="00451B58" w:rsidRPr="00C51DBB">
                <w:rPr>
                  <w:rStyle w:val="Hyperlink"/>
                </w:rPr>
                <w:t>Community Mapping System</w:t>
              </w:r>
            </w:hyperlink>
            <w:r w:rsidR="009B4CF2" w:rsidRPr="00950F3F">
              <w:rPr>
                <w:rStyle w:val="Hyperlink"/>
                <w:color w:val="auto"/>
              </w:rPr>
              <w:t xml:space="preserve">, </w:t>
            </w:r>
            <w:hyperlink r:id="rId37" w:history="1">
              <w:r w:rsidR="00451B58" w:rsidRPr="0063574E">
                <w:rPr>
                  <w:rStyle w:val="Hyperlink"/>
                </w:rPr>
                <w:t>HHS EJ Index</w:t>
              </w:r>
            </w:hyperlink>
          </w:p>
        </w:tc>
      </w:tr>
      <w:tr w:rsidR="00D35B89" w:rsidRPr="000037B8" w14:paraId="7CB9C2D5" w14:textId="77777777" w:rsidTr="00314305">
        <w:trPr>
          <w:trHeight w:val="288"/>
        </w:trPr>
        <w:tc>
          <w:tcPr>
            <w:tcW w:w="1885" w:type="dxa"/>
            <w:vAlign w:val="center"/>
          </w:tcPr>
          <w:p w14:paraId="3C10E265" w14:textId="52E7348B" w:rsidR="00D35B89" w:rsidRPr="000037B8" w:rsidRDefault="00A0005A" w:rsidP="0009510D">
            <w:pPr>
              <w:spacing w:before="60" w:after="60"/>
            </w:pPr>
            <w:r>
              <w:t>Tues.,</w:t>
            </w:r>
            <w:r w:rsidR="00D35B89" w:rsidRPr="000037B8">
              <w:t xml:space="preserve"> </w:t>
            </w:r>
            <w:r>
              <w:t>Mar. 28</w:t>
            </w:r>
          </w:p>
        </w:tc>
        <w:tc>
          <w:tcPr>
            <w:tcW w:w="3150" w:type="dxa"/>
            <w:vAlign w:val="center"/>
          </w:tcPr>
          <w:p w14:paraId="6ECA11A8" w14:textId="25CAC28E" w:rsidR="00D35B89" w:rsidRPr="000037B8" w:rsidRDefault="000A5801" w:rsidP="0009510D">
            <w:pPr>
              <w:spacing w:before="60" w:after="60"/>
            </w:pPr>
            <w:r>
              <w:t>Environmental Justice in Energy Proceedings</w:t>
            </w:r>
          </w:p>
        </w:tc>
        <w:tc>
          <w:tcPr>
            <w:tcW w:w="4793" w:type="dxa"/>
            <w:vAlign w:val="center"/>
          </w:tcPr>
          <w:p w14:paraId="5914597C" w14:textId="2B645C1F" w:rsidR="00D35B89" w:rsidRPr="000037B8" w:rsidRDefault="00736999" w:rsidP="0009510D">
            <w:pPr>
              <w:tabs>
                <w:tab w:val="left" w:pos="-720"/>
              </w:tabs>
              <w:suppressAutoHyphens/>
              <w:spacing w:before="60" w:after="60"/>
            </w:pPr>
            <w:r>
              <w:t xml:space="preserve">Read </w:t>
            </w:r>
            <w:r w:rsidR="00434E9C" w:rsidRPr="00434E9C">
              <w:rPr>
                <w:i/>
                <w:iCs/>
              </w:rPr>
              <w:t>Energy and Environmental Justice: How States Can Integrate Environmental Justice Into Energy-Related Proceedings</w:t>
            </w:r>
            <w:r w:rsidR="00434E9C">
              <w:t xml:space="preserve">, available at </w:t>
            </w:r>
            <w:r w:rsidR="00C508FE" w:rsidRPr="00C508FE">
              <w:t>https://works.bepress.com/james-vannostrand/3/</w:t>
            </w:r>
          </w:p>
        </w:tc>
      </w:tr>
    </w:tbl>
    <w:p w14:paraId="456F0167" w14:textId="77777777" w:rsidR="00C00E07" w:rsidRDefault="00C00E07">
      <w:r>
        <w:br w:type="page"/>
      </w:r>
    </w:p>
    <w:tbl>
      <w:tblPr>
        <w:tblStyle w:val="TableGrid"/>
        <w:tblpPr w:leftFromText="180" w:rightFromText="180" w:vertAnchor="text" w:horzAnchor="margin" w:tblpY="288"/>
        <w:tblW w:w="9828" w:type="dxa"/>
        <w:tblLayout w:type="fixed"/>
        <w:tblLook w:val="0000" w:firstRow="0" w:lastRow="0" w:firstColumn="0" w:lastColumn="0" w:noHBand="0" w:noVBand="0"/>
      </w:tblPr>
      <w:tblGrid>
        <w:gridCol w:w="1885"/>
        <w:gridCol w:w="3150"/>
        <w:gridCol w:w="4793"/>
      </w:tblGrid>
      <w:tr w:rsidR="00D35B89" w:rsidRPr="000037B8" w14:paraId="0AE4A8CE" w14:textId="77777777" w:rsidTr="00314305">
        <w:trPr>
          <w:trHeight w:val="288"/>
        </w:trPr>
        <w:tc>
          <w:tcPr>
            <w:tcW w:w="1885" w:type="dxa"/>
            <w:vAlign w:val="center"/>
          </w:tcPr>
          <w:p w14:paraId="7D746EF2" w14:textId="53D24A08" w:rsidR="00D35B89" w:rsidRPr="000037B8" w:rsidRDefault="00A0005A" w:rsidP="0009510D">
            <w:pPr>
              <w:spacing w:before="60" w:after="60"/>
            </w:pPr>
            <w:r>
              <w:lastRenderedPageBreak/>
              <w:t>Tues., Apr. 4</w:t>
            </w:r>
          </w:p>
        </w:tc>
        <w:tc>
          <w:tcPr>
            <w:tcW w:w="3150" w:type="dxa"/>
            <w:vAlign w:val="center"/>
          </w:tcPr>
          <w:p w14:paraId="76D126A2" w14:textId="5908C199" w:rsidR="00D35B89" w:rsidRPr="000037B8" w:rsidRDefault="008551D7" w:rsidP="0009510D">
            <w:pPr>
              <w:spacing w:before="60" w:after="60"/>
            </w:pPr>
            <w:r w:rsidRPr="008551D7">
              <w:t>Harvard Program on Negotiation - Siting an Asphalt Plant in the City of Madrona</w:t>
            </w:r>
          </w:p>
        </w:tc>
        <w:tc>
          <w:tcPr>
            <w:tcW w:w="4793" w:type="dxa"/>
            <w:vAlign w:val="center"/>
          </w:tcPr>
          <w:p w14:paraId="50C40445" w14:textId="55A2EEC4" w:rsidR="00D35B89" w:rsidRPr="000037B8" w:rsidRDefault="0002292B" w:rsidP="0002292B">
            <w:pPr>
              <w:tabs>
                <w:tab w:val="left" w:pos="-720"/>
              </w:tabs>
              <w:suppressAutoHyphens/>
              <w:spacing w:before="60" w:after="60"/>
            </w:pPr>
            <w:r>
              <w:t>Materials to be provided 3/28/23; prepare for negotiation in advance; come to class ready to negotiate; debrief</w:t>
            </w:r>
          </w:p>
        </w:tc>
      </w:tr>
      <w:tr w:rsidR="00D35B89" w:rsidRPr="000037B8" w14:paraId="59B192C7" w14:textId="77777777" w:rsidTr="00314305">
        <w:trPr>
          <w:trHeight w:val="288"/>
        </w:trPr>
        <w:tc>
          <w:tcPr>
            <w:tcW w:w="1885" w:type="dxa"/>
            <w:vAlign w:val="center"/>
          </w:tcPr>
          <w:p w14:paraId="73606ECF" w14:textId="6B719F35" w:rsidR="00D35B89" w:rsidRPr="000037B8" w:rsidRDefault="00A0005A" w:rsidP="0009510D">
            <w:pPr>
              <w:spacing w:before="60" w:after="60"/>
            </w:pPr>
            <w:r>
              <w:t>Tues</w:t>
            </w:r>
            <w:r w:rsidR="00D35B89" w:rsidRPr="000037B8">
              <w:t>., April 1</w:t>
            </w:r>
            <w:r>
              <w:t>1</w:t>
            </w:r>
          </w:p>
        </w:tc>
        <w:tc>
          <w:tcPr>
            <w:tcW w:w="3150" w:type="dxa"/>
            <w:vAlign w:val="center"/>
          </w:tcPr>
          <w:p w14:paraId="5587F508" w14:textId="0242F41D" w:rsidR="00D35B89" w:rsidRPr="000037B8" w:rsidRDefault="006F10D2" w:rsidP="0009510D">
            <w:pPr>
              <w:spacing w:before="60" w:after="60"/>
            </w:pPr>
            <w:r w:rsidRPr="006F10D2">
              <w:t>Deeper Dives: Energy Justice and the ESG Movement</w:t>
            </w:r>
          </w:p>
        </w:tc>
        <w:tc>
          <w:tcPr>
            <w:tcW w:w="4793" w:type="dxa"/>
            <w:vAlign w:val="center"/>
          </w:tcPr>
          <w:p w14:paraId="5BD01B3B" w14:textId="51C16A00" w:rsidR="00D35B89" w:rsidRPr="000037B8" w:rsidRDefault="008B1CEA" w:rsidP="00F224B6">
            <w:pPr>
              <w:autoSpaceDE w:val="0"/>
              <w:autoSpaceDN w:val="0"/>
              <w:adjustRightInd w:val="0"/>
            </w:pPr>
            <w:r>
              <w:t xml:space="preserve">Council for Inclusive Capitalism, </w:t>
            </w:r>
            <w:hyperlink r:id="rId38" w:history="1">
              <w:r w:rsidR="00EB4BF8" w:rsidRPr="00A85504">
                <w:rPr>
                  <w:rStyle w:val="Hyperlink"/>
                </w:rPr>
                <w:t>Achieving a Just Energy Transition: A Framework for Company Action</w:t>
              </w:r>
            </w:hyperlink>
            <w:r w:rsidR="00F224B6">
              <w:t xml:space="preserve">; </w:t>
            </w:r>
            <w:r w:rsidR="00EB4BF8">
              <w:t xml:space="preserve">Harvard Law School Forum on Social Governance, </w:t>
            </w:r>
            <w:hyperlink r:id="rId39" w:history="1">
              <w:r w:rsidR="00EB4BF8" w:rsidRPr="00AE5B38">
                <w:rPr>
                  <w:rStyle w:val="Hyperlink"/>
                </w:rPr>
                <w:t>ESG: 2021 Trends and Expectation for 2022</w:t>
              </w:r>
            </w:hyperlink>
            <w:r w:rsidR="00EB4BF8">
              <w:t xml:space="preserve">; </w:t>
            </w:r>
            <w:hyperlink r:id="rId40" w:history="1">
              <w:r w:rsidR="003E7E76">
                <w:rPr>
                  <w:rStyle w:val="Hyperlink"/>
                </w:rPr>
                <w:t xml:space="preserve">Reuters Article on ESG </w:t>
              </w:r>
              <w:r w:rsidR="00EB4BF8" w:rsidRPr="00896D71">
                <w:rPr>
                  <w:rStyle w:val="Hyperlink"/>
                </w:rPr>
                <w:t>Trends</w:t>
              </w:r>
            </w:hyperlink>
          </w:p>
        </w:tc>
      </w:tr>
      <w:tr w:rsidR="00D35B89" w:rsidRPr="000037B8" w14:paraId="65C9FDFC" w14:textId="77777777" w:rsidTr="00314305">
        <w:trPr>
          <w:trHeight w:val="288"/>
        </w:trPr>
        <w:tc>
          <w:tcPr>
            <w:tcW w:w="1885" w:type="dxa"/>
            <w:vAlign w:val="center"/>
          </w:tcPr>
          <w:p w14:paraId="0C58CF29" w14:textId="58D122D7" w:rsidR="00D35B89" w:rsidRPr="000037B8" w:rsidRDefault="00A0005A" w:rsidP="0009510D">
            <w:pPr>
              <w:spacing w:before="60" w:after="60"/>
            </w:pPr>
            <w:r>
              <w:t>Tues</w:t>
            </w:r>
            <w:r w:rsidR="00D35B89" w:rsidRPr="000037B8">
              <w:t>., April 1</w:t>
            </w:r>
            <w:r>
              <w:t>8</w:t>
            </w:r>
          </w:p>
        </w:tc>
        <w:tc>
          <w:tcPr>
            <w:tcW w:w="3150" w:type="dxa"/>
            <w:vAlign w:val="center"/>
          </w:tcPr>
          <w:p w14:paraId="46101CD4" w14:textId="6253A549" w:rsidR="00D35B89" w:rsidRPr="000037B8" w:rsidRDefault="00256666" w:rsidP="0009510D">
            <w:pPr>
              <w:spacing w:before="60" w:after="60"/>
            </w:pPr>
            <w:r>
              <w:t>T</w:t>
            </w:r>
            <w:r w:rsidR="00634A75">
              <w:t>OPIC TO BE DETERMNIED</w:t>
            </w:r>
          </w:p>
        </w:tc>
        <w:tc>
          <w:tcPr>
            <w:tcW w:w="4793" w:type="dxa"/>
            <w:vAlign w:val="center"/>
          </w:tcPr>
          <w:p w14:paraId="732ECF0C" w14:textId="613ECA6D" w:rsidR="00D35B89" w:rsidRPr="000037B8" w:rsidRDefault="00D35B89" w:rsidP="0009510D">
            <w:pPr>
              <w:tabs>
                <w:tab w:val="left" w:pos="-720"/>
              </w:tabs>
              <w:suppressAutoHyphens/>
              <w:spacing w:before="60" w:after="60"/>
            </w:pPr>
          </w:p>
        </w:tc>
      </w:tr>
    </w:tbl>
    <w:p w14:paraId="4770DBC4" w14:textId="14DF2D37" w:rsidR="00810488" w:rsidRPr="000037B8" w:rsidRDefault="00810488">
      <w:pPr>
        <w:spacing w:after="160" w:line="259" w:lineRule="auto"/>
        <w:rPr>
          <w:b/>
          <w:highlight w:val="cyan"/>
          <w:u w:val="single"/>
        </w:rPr>
      </w:pPr>
    </w:p>
    <w:sectPr w:rsidR="00810488" w:rsidRPr="000037B8">
      <w:headerReference w:type="even" r:id="rId41"/>
      <w:headerReference w:type="default" r:id="rId42"/>
      <w:footerReference w:type="even" r:id="rId43"/>
      <w:headerReference w:type="first" r:id="rId44"/>
      <w:footerReference w:type="first" r:id="rId45"/>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EB32" w14:textId="77777777" w:rsidR="006D55CB" w:rsidRDefault="006D55CB">
      <w:r>
        <w:separator/>
      </w:r>
    </w:p>
  </w:endnote>
  <w:endnote w:type="continuationSeparator" w:id="0">
    <w:p w14:paraId="505E31BE" w14:textId="77777777" w:rsidR="006D55CB" w:rsidRDefault="006D55CB">
      <w:r>
        <w:continuationSeparator/>
      </w:r>
    </w:p>
  </w:endnote>
  <w:endnote w:type="continuationNotice" w:id="1">
    <w:p w14:paraId="4DFFB8A6" w14:textId="77777777" w:rsidR="006D55CB" w:rsidRDefault="006D5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004E" w14:textId="77777777" w:rsidR="006D55CB" w:rsidRDefault="006D55CB">
      <w:r>
        <w:separator/>
      </w:r>
    </w:p>
  </w:footnote>
  <w:footnote w:type="continuationSeparator" w:id="0">
    <w:p w14:paraId="2FDEE6BB" w14:textId="77777777" w:rsidR="006D55CB" w:rsidRDefault="006D55CB">
      <w:r>
        <w:continuationSeparator/>
      </w:r>
    </w:p>
  </w:footnote>
  <w:footnote w:type="continuationNotice" w:id="1">
    <w:p w14:paraId="49A359F7" w14:textId="77777777" w:rsidR="006D55CB" w:rsidRDefault="006D55CB"/>
  </w:footnote>
  <w:footnote w:id="2">
    <w:p w14:paraId="6108C8BD" w14:textId="6AB829FE" w:rsidR="005653FC" w:rsidRDefault="005653FC">
      <w:pPr>
        <w:pStyle w:val="FootnoteText"/>
      </w:pPr>
      <w:r>
        <w:rPr>
          <w:rStyle w:val="FootnoteReference"/>
        </w:rPr>
        <w:footnoteRef/>
      </w:r>
      <w:r>
        <w:t xml:space="preserve"> </w:t>
      </w:r>
      <w:r w:rsidR="00402E35">
        <w:t>Submitting a rough draft is optional, but strongly encouraged. If you submit a rough draft, I will provide you with my comments and suggested revisions</w:t>
      </w:r>
      <w:r w:rsidR="007B757C">
        <w:t xml:space="preserve"> </w:t>
      </w:r>
      <w:r w:rsidR="0017478F">
        <w:t xml:space="preserve">on the draft </w:t>
      </w:r>
      <w:r w:rsidR="009A1039">
        <w:t xml:space="preserve">within </w:t>
      </w:r>
      <w:r w:rsidR="007B757C">
        <w:t xml:space="preserve">one week, which would give you </w:t>
      </w:r>
      <w:r w:rsidR="009A1039">
        <w:t xml:space="preserve">the opportunity </w:t>
      </w:r>
      <w:r w:rsidR="007B757C">
        <w:t>to incorporate the suggestions</w:t>
      </w:r>
      <w:r w:rsidR="0017478F">
        <w:t>, as you wish,</w:t>
      </w:r>
      <w:r w:rsidR="009A1039">
        <w:t xml:space="preserve"> in the final draft.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47A1427B" w:rsidR="009667C7" w:rsidRDefault="00CD38A5">
    <w:pPr>
      <w:tabs>
        <w:tab w:val="center" w:pos="1440"/>
        <w:tab w:val="center" w:pos="2160"/>
        <w:tab w:val="center" w:pos="4342"/>
        <w:tab w:val="center" w:pos="6480"/>
        <w:tab w:val="center" w:pos="7932"/>
      </w:tabs>
      <w:spacing w:line="259" w:lineRule="auto"/>
    </w:pPr>
    <w:r>
      <w:t>Environmental Justice Seminar</w:t>
    </w:r>
  </w:p>
  <w:p w14:paraId="3C76BB65" w14:textId="6FFC7F43" w:rsidR="004A7B43" w:rsidRDefault="004A7B43">
    <w:pPr>
      <w:tabs>
        <w:tab w:val="center" w:pos="1440"/>
        <w:tab w:val="center" w:pos="2160"/>
        <w:tab w:val="center" w:pos="4342"/>
        <w:tab w:val="center" w:pos="6480"/>
        <w:tab w:val="center" w:pos="7932"/>
      </w:tabs>
      <w:spacing w:line="259" w:lineRule="auto"/>
    </w:pPr>
    <w:r>
      <w:t>Spring 2023</w:t>
    </w:r>
  </w:p>
  <w:p w14:paraId="719DF1AD" w14:textId="530C5497" w:rsidR="004A7B43" w:rsidRDefault="004A7B43">
    <w:pPr>
      <w:tabs>
        <w:tab w:val="center" w:pos="1440"/>
        <w:tab w:val="center" w:pos="2160"/>
        <w:tab w:val="center" w:pos="4342"/>
        <w:tab w:val="center" w:pos="6480"/>
        <w:tab w:val="center" w:pos="7932"/>
      </w:tabs>
      <w:spacing w:line="259" w:lineRule="auto"/>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5E1194B5" w14:textId="77777777" w:rsidR="004A7B43" w:rsidRDefault="004A7B43">
    <w:pPr>
      <w:tabs>
        <w:tab w:val="center" w:pos="1440"/>
        <w:tab w:val="center" w:pos="2160"/>
        <w:tab w:val="center" w:pos="4342"/>
        <w:tab w:val="center" w:pos="6480"/>
        <w:tab w:val="center" w:pos="7932"/>
      </w:tabs>
      <w:spacing w:line="259" w:lineRule="auto"/>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534CF"/>
    <w:multiLevelType w:val="multilevel"/>
    <w:tmpl w:val="51B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42"/>
  </w:num>
  <w:num w:numId="2">
    <w:abstractNumId w:val="21"/>
  </w:num>
  <w:num w:numId="3">
    <w:abstractNumId w:val="23"/>
  </w:num>
  <w:num w:numId="4">
    <w:abstractNumId w:val="34"/>
  </w:num>
  <w:num w:numId="5">
    <w:abstractNumId w:val="37"/>
  </w:num>
  <w:num w:numId="6">
    <w:abstractNumId w:val="9"/>
  </w:num>
  <w:num w:numId="7">
    <w:abstractNumId w:val="32"/>
  </w:num>
  <w:num w:numId="8">
    <w:abstractNumId w:val="40"/>
  </w:num>
  <w:num w:numId="9">
    <w:abstractNumId w:val="18"/>
  </w:num>
  <w:num w:numId="10">
    <w:abstractNumId w:val="31"/>
  </w:num>
  <w:num w:numId="11">
    <w:abstractNumId w:val="13"/>
  </w:num>
  <w:num w:numId="12">
    <w:abstractNumId w:val="12"/>
  </w:num>
  <w:num w:numId="13">
    <w:abstractNumId w:val="28"/>
  </w:num>
  <w:num w:numId="14">
    <w:abstractNumId w:val="26"/>
  </w:num>
  <w:num w:numId="15">
    <w:abstractNumId w:val="24"/>
  </w:num>
  <w:num w:numId="16">
    <w:abstractNumId w:val="35"/>
  </w:num>
  <w:num w:numId="17">
    <w:abstractNumId w:val="0"/>
  </w:num>
  <w:num w:numId="18">
    <w:abstractNumId w:val="22"/>
  </w:num>
  <w:num w:numId="19">
    <w:abstractNumId w:val="19"/>
  </w:num>
  <w:num w:numId="20">
    <w:abstractNumId w:val="3"/>
  </w:num>
  <w:num w:numId="21">
    <w:abstractNumId w:val="39"/>
  </w:num>
  <w:num w:numId="22">
    <w:abstractNumId w:val="20"/>
  </w:num>
  <w:num w:numId="23">
    <w:abstractNumId w:val="38"/>
  </w:num>
  <w:num w:numId="24">
    <w:abstractNumId w:val="14"/>
  </w:num>
  <w:num w:numId="25">
    <w:abstractNumId w:val="36"/>
  </w:num>
  <w:num w:numId="26">
    <w:abstractNumId w:val="29"/>
  </w:num>
  <w:num w:numId="27">
    <w:abstractNumId w:val="5"/>
  </w:num>
  <w:num w:numId="28">
    <w:abstractNumId w:val="7"/>
  </w:num>
  <w:num w:numId="29">
    <w:abstractNumId w:val="10"/>
  </w:num>
  <w:num w:numId="30">
    <w:abstractNumId w:val="27"/>
  </w:num>
  <w:num w:numId="31">
    <w:abstractNumId w:val="16"/>
  </w:num>
  <w:num w:numId="32">
    <w:abstractNumId w:val="6"/>
  </w:num>
  <w:num w:numId="33">
    <w:abstractNumId w:val="17"/>
  </w:num>
  <w:num w:numId="34">
    <w:abstractNumId w:val="1"/>
  </w:num>
  <w:num w:numId="35">
    <w:abstractNumId w:val="33"/>
  </w:num>
  <w:num w:numId="36">
    <w:abstractNumId w:val="8"/>
  </w:num>
  <w:num w:numId="37">
    <w:abstractNumId w:val="30"/>
  </w:num>
  <w:num w:numId="38">
    <w:abstractNumId w:val="25"/>
  </w:num>
  <w:num w:numId="39">
    <w:abstractNumId w:val="11"/>
  </w:num>
  <w:num w:numId="40">
    <w:abstractNumId w:val="4"/>
  </w:num>
  <w:num w:numId="41">
    <w:abstractNumId w:val="15"/>
  </w:num>
  <w:num w:numId="42">
    <w:abstractNumId w:val="2"/>
  </w:num>
  <w:num w:numId="43">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37B8"/>
    <w:rsid w:val="00005C73"/>
    <w:rsid w:val="000065D4"/>
    <w:rsid w:val="00007C76"/>
    <w:rsid w:val="00007CBA"/>
    <w:rsid w:val="00011AF6"/>
    <w:rsid w:val="00012276"/>
    <w:rsid w:val="00012B8B"/>
    <w:rsid w:val="00015FB7"/>
    <w:rsid w:val="0001740E"/>
    <w:rsid w:val="00017585"/>
    <w:rsid w:val="000223B5"/>
    <w:rsid w:val="0002292B"/>
    <w:rsid w:val="000258F9"/>
    <w:rsid w:val="000401D6"/>
    <w:rsid w:val="00040457"/>
    <w:rsid w:val="00040B0A"/>
    <w:rsid w:val="00041708"/>
    <w:rsid w:val="000463EC"/>
    <w:rsid w:val="00050A78"/>
    <w:rsid w:val="00054F25"/>
    <w:rsid w:val="000574DD"/>
    <w:rsid w:val="00061347"/>
    <w:rsid w:val="000613F1"/>
    <w:rsid w:val="00062264"/>
    <w:rsid w:val="0006289B"/>
    <w:rsid w:val="00063D2F"/>
    <w:rsid w:val="00063F9D"/>
    <w:rsid w:val="00065C16"/>
    <w:rsid w:val="00065C59"/>
    <w:rsid w:val="000671F6"/>
    <w:rsid w:val="00071668"/>
    <w:rsid w:val="000729C8"/>
    <w:rsid w:val="00073671"/>
    <w:rsid w:val="00080707"/>
    <w:rsid w:val="000838FA"/>
    <w:rsid w:val="000859CF"/>
    <w:rsid w:val="000935FE"/>
    <w:rsid w:val="0009510D"/>
    <w:rsid w:val="00095F63"/>
    <w:rsid w:val="00097473"/>
    <w:rsid w:val="00097608"/>
    <w:rsid w:val="00097FB2"/>
    <w:rsid w:val="000A037C"/>
    <w:rsid w:val="000A1199"/>
    <w:rsid w:val="000A323B"/>
    <w:rsid w:val="000A37DB"/>
    <w:rsid w:val="000A3A41"/>
    <w:rsid w:val="000A3CF0"/>
    <w:rsid w:val="000A56C0"/>
    <w:rsid w:val="000A5801"/>
    <w:rsid w:val="000A6F11"/>
    <w:rsid w:val="000B01DC"/>
    <w:rsid w:val="000B1E3C"/>
    <w:rsid w:val="000B2830"/>
    <w:rsid w:val="000B3436"/>
    <w:rsid w:val="000B5934"/>
    <w:rsid w:val="000B74B0"/>
    <w:rsid w:val="000B768D"/>
    <w:rsid w:val="000C1986"/>
    <w:rsid w:val="000C2723"/>
    <w:rsid w:val="000C2E14"/>
    <w:rsid w:val="000C45FC"/>
    <w:rsid w:val="000C7571"/>
    <w:rsid w:val="000D1562"/>
    <w:rsid w:val="000D58D9"/>
    <w:rsid w:val="000D6AE5"/>
    <w:rsid w:val="000E014F"/>
    <w:rsid w:val="000E03D1"/>
    <w:rsid w:val="000E2193"/>
    <w:rsid w:val="000E2CC0"/>
    <w:rsid w:val="000F38EF"/>
    <w:rsid w:val="000F3B96"/>
    <w:rsid w:val="000F6D98"/>
    <w:rsid w:val="001003BA"/>
    <w:rsid w:val="00104CEB"/>
    <w:rsid w:val="00107AED"/>
    <w:rsid w:val="00111AC4"/>
    <w:rsid w:val="00112E9E"/>
    <w:rsid w:val="00116056"/>
    <w:rsid w:val="00117C31"/>
    <w:rsid w:val="0012227E"/>
    <w:rsid w:val="0012350D"/>
    <w:rsid w:val="00123771"/>
    <w:rsid w:val="001238B2"/>
    <w:rsid w:val="00132774"/>
    <w:rsid w:val="00133B43"/>
    <w:rsid w:val="0013463C"/>
    <w:rsid w:val="0013473A"/>
    <w:rsid w:val="00135759"/>
    <w:rsid w:val="001369EC"/>
    <w:rsid w:val="00136EAE"/>
    <w:rsid w:val="0014224E"/>
    <w:rsid w:val="001431FA"/>
    <w:rsid w:val="00143E24"/>
    <w:rsid w:val="00153606"/>
    <w:rsid w:val="00155A54"/>
    <w:rsid w:val="00156083"/>
    <w:rsid w:val="00157B4B"/>
    <w:rsid w:val="0016211E"/>
    <w:rsid w:val="00162522"/>
    <w:rsid w:val="00165EC7"/>
    <w:rsid w:val="001704DC"/>
    <w:rsid w:val="00170E1A"/>
    <w:rsid w:val="00171284"/>
    <w:rsid w:val="00173C23"/>
    <w:rsid w:val="00174281"/>
    <w:rsid w:val="00174784"/>
    <w:rsid w:val="0017478F"/>
    <w:rsid w:val="001772F6"/>
    <w:rsid w:val="00181C1F"/>
    <w:rsid w:val="0018240B"/>
    <w:rsid w:val="0018459A"/>
    <w:rsid w:val="00185A47"/>
    <w:rsid w:val="001866DE"/>
    <w:rsid w:val="001925EA"/>
    <w:rsid w:val="0019279A"/>
    <w:rsid w:val="0019375B"/>
    <w:rsid w:val="00195EED"/>
    <w:rsid w:val="001A7349"/>
    <w:rsid w:val="001B2905"/>
    <w:rsid w:val="001B379B"/>
    <w:rsid w:val="001B3BEE"/>
    <w:rsid w:val="001B4333"/>
    <w:rsid w:val="001B4B51"/>
    <w:rsid w:val="001B5E91"/>
    <w:rsid w:val="001C09A5"/>
    <w:rsid w:val="001C0EA6"/>
    <w:rsid w:val="001C196B"/>
    <w:rsid w:val="001C52AB"/>
    <w:rsid w:val="001C643B"/>
    <w:rsid w:val="001C69C6"/>
    <w:rsid w:val="001D21F8"/>
    <w:rsid w:val="001D2EF6"/>
    <w:rsid w:val="001E2603"/>
    <w:rsid w:val="001E2FD6"/>
    <w:rsid w:val="001E49AA"/>
    <w:rsid w:val="001E75AB"/>
    <w:rsid w:val="00200C3F"/>
    <w:rsid w:val="002059F0"/>
    <w:rsid w:val="002115D7"/>
    <w:rsid w:val="00211B13"/>
    <w:rsid w:val="00216A19"/>
    <w:rsid w:val="0022242D"/>
    <w:rsid w:val="00222E49"/>
    <w:rsid w:val="00226117"/>
    <w:rsid w:val="00231294"/>
    <w:rsid w:val="0023414E"/>
    <w:rsid w:val="00237589"/>
    <w:rsid w:val="00241107"/>
    <w:rsid w:val="00242088"/>
    <w:rsid w:val="00245B76"/>
    <w:rsid w:val="002466BE"/>
    <w:rsid w:val="002505AA"/>
    <w:rsid w:val="00250940"/>
    <w:rsid w:val="00256666"/>
    <w:rsid w:val="00261F5E"/>
    <w:rsid w:val="00272347"/>
    <w:rsid w:val="002750B3"/>
    <w:rsid w:val="0027516D"/>
    <w:rsid w:val="00276AFF"/>
    <w:rsid w:val="002813DA"/>
    <w:rsid w:val="002816C3"/>
    <w:rsid w:val="00282D94"/>
    <w:rsid w:val="002838C0"/>
    <w:rsid w:val="00285408"/>
    <w:rsid w:val="00292AAA"/>
    <w:rsid w:val="00292B18"/>
    <w:rsid w:val="00297456"/>
    <w:rsid w:val="002A0D6B"/>
    <w:rsid w:val="002A2451"/>
    <w:rsid w:val="002A2D89"/>
    <w:rsid w:val="002A69F5"/>
    <w:rsid w:val="002A6E77"/>
    <w:rsid w:val="002A6EA4"/>
    <w:rsid w:val="002B2DBD"/>
    <w:rsid w:val="002B3D1C"/>
    <w:rsid w:val="002B4FA7"/>
    <w:rsid w:val="002C0562"/>
    <w:rsid w:val="002C09E9"/>
    <w:rsid w:val="002C17A4"/>
    <w:rsid w:val="002C3412"/>
    <w:rsid w:val="002C5934"/>
    <w:rsid w:val="002C7486"/>
    <w:rsid w:val="002D2176"/>
    <w:rsid w:val="002D625C"/>
    <w:rsid w:val="002E1E93"/>
    <w:rsid w:val="002E26F8"/>
    <w:rsid w:val="002E3905"/>
    <w:rsid w:val="002F408B"/>
    <w:rsid w:val="002F4921"/>
    <w:rsid w:val="002F568D"/>
    <w:rsid w:val="0030265F"/>
    <w:rsid w:val="0030769D"/>
    <w:rsid w:val="00314305"/>
    <w:rsid w:val="0031469E"/>
    <w:rsid w:val="00316431"/>
    <w:rsid w:val="00317E71"/>
    <w:rsid w:val="00321826"/>
    <w:rsid w:val="003239E9"/>
    <w:rsid w:val="003260CE"/>
    <w:rsid w:val="003263DA"/>
    <w:rsid w:val="00326B0E"/>
    <w:rsid w:val="00327217"/>
    <w:rsid w:val="0033440D"/>
    <w:rsid w:val="00341465"/>
    <w:rsid w:val="00341FB2"/>
    <w:rsid w:val="0034371F"/>
    <w:rsid w:val="00343725"/>
    <w:rsid w:val="00345FCA"/>
    <w:rsid w:val="0035048D"/>
    <w:rsid w:val="003506BE"/>
    <w:rsid w:val="003527BA"/>
    <w:rsid w:val="00352A42"/>
    <w:rsid w:val="00355CB1"/>
    <w:rsid w:val="003562D0"/>
    <w:rsid w:val="003569D3"/>
    <w:rsid w:val="00363A5A"/>
    <w:rsid w:val="00366A13"/>
    <w:rsid w:val="00366C4C"/>
    <w:rsid w:val="00371C2D"/>
    <w:rsid w:val="00372483"/>
    <w:rsid w:val="0037499B"/>
    <w:rsid w:val="00375FFD"/>
    <w:rsid w:val="003801B6"/>
    <w:rsid w:val="00381BED"/>
    <w:rsid w:val="00382C95"/>
    <w:rsid w:val="00394311"/>
    <w:rsid w:val="003956F1"/>
    <w:rsid w:val="00395F77"/>
    <w:rsid w:val="00396A08"/>
    <w:rsid w:val="003A07C8"/>
    <w:rsid w:val="003A214B"/>
    <w:rsid w:val="003A2549"/>
    <w:rsid w:val="003A4F3A"/>
    <w:rsid w:val="003A6625"/>
    <w:rsid w:val="003B1B94"/>
    <w:rsid w:val="003B4842"/>
    <w:rsid w:val="003B67C5"/>
    <w:rsid w:val="003B72A8"/>
    <w:rsid w:val="003C0560"/>
    <w:rsid w:val="003D03BA"/>
    <w:rsid w:val="003D08CA"/>
    <w:rsid w:val="003D10DF"/>
    <w:rsid w:val="003D2F9C"/>
    <w:rsid w:val="003D6B2F"/>
    <w:rsid w:val="003E518C"/>
    <w:rsid w:val="003E6F92"/>
    <w:rsid w:val="003E752A"/>
    <w:rsid w:val="003E7E76"/>
    <w:rsid w:val="003F1D05"/>
    <w:rsid w:val="003F24FA"/>
    <w:rsid w:val="003F5250"/>
    <w:rsid w:val="003F59C1"/>
    <w:rsid w:val="003F5E61"/>
    <w:rsid w:val="00402E35"/>
    <w:rsid w:val="004033F2"/>
    <w:rsid w:val="00403FFD"/>
    <w:rsid w:val="00405559"/>
    <w:rsid w:val="00406487"/>
    <w:rsid w:val="0040771A"/>
    <w:rsid w:val="00414D6D"/>
    <w:rsid w:val="00415418"/>
    <w:rsid w:val="00417215"/>
    <w:rsid w:val="004213D5"/>
    <w:rsid w:val="004221C7"/>
    <w:rsid w:val="00430BF2"/>
    <w:rsid w:val="00430E8A"/>
    <w:rsid w:val="00434E9C"/>
    <w:rsid w:val="00437684"/>
    <w:rsid w:val="00444249"/>
    <w:rsid w:val="00444D51"/>
    <w:rsid w:val="0044543F"/>
    <w:rsid w:val="00450F03"/>
    <w:rsid w:val="00451B58"/>
    <w:rsid w:val="004632E7"/>
    <w:rsid w:val="00470AB8"/>
    <w:rsid w:val="00474096"/>
    <w:rsid w:val="00474714"/>
    <w:rsid w:val="00475233"/>
    <w:rsid w:val="00475E03"/>
    <w:rsid w:val="004832D8"/>
    <w:rsid w:val="004850FF"/>
    <w:rsid w:val="004855E4"/>
    <w:rsid w:val="00486D86"/>
    <w:rsid w:val="004876D5"/>
    <w:rsid w:val="00490395"/>
    <w:rsid w:val="00492042"/>
    <w:rsid w:val="0049332B"/>
    <w:rsid w:val="004A0380"/>
    <w:rsid w:val="004A16D7"/>
    <w:rsid w:val="004A1C88"/>
    <w:rsid w:val="004A4C6F"/>
    <w:rsid w:val="004A54E4"/>
    <w:rsid w:val="004A6C08"/>
    <w:rsid w:val="004A7B43"/>
    <w:rsid w:val="004B192B"/>
    <w:rsid w:val="004B7A87"/>
    <w:rsid w:val="004C207E"/>
    <w:rsid w:val="004C284F"/>
    <w:rsid w:val="004C303A"/>
    <w:rsid w:val="004D0324"/>
    <w:rsid w:val="004D0796"/>
    <w:rsid w:val="004D1E71"/>
    <w:rsid w:val="004D2F19"/>
    <w:rsid w:val="004D33D4"/>
    <w:rsid w:val="004D36AF"/>
    <w:rsid w:val="004D6E2C"/>
    <w:rsid w:val="004D6FAF"/>
    <w:rsid w:val="004E0D1E"/>
    <w:rsid w:val="004E13DA"/>
    <w:rsid w:val="004F0085"/>
    <w:rsid w:val="004F1E85"/>
    <w:rsid w:val="004F3898"/>
    <w:rsid w:val="004F4319"/>
    <w:rsid w:val="005000D5"/>
    <w:rsid w:val="0050584B"/>
    <w:rsid w:val="00506DD8"/>
    <w:rsid w:val="00511B22"/>
    <w:rsid w:val="005125FE"/>
    <w:rsid w:val="00512912"/>
    <w:rsid w:val="005129F5"/>
    <w:rsid w:val="00512A60"/>
    <w:rsid w:val="005149B9"/>
    <w:rsid w:val="0051544C"/>
    <w:rsid w:val="00515C5C"/>
    <w:rsid w:val="00515D10"/>
    <w:rsid w:val="00516E82"/>
    <w:rsid w:val="0052043A"/>
    <w:rsid w:val="00523E74"/>
    <w:rsid w:val="00524428"/>
    <w:rsid w:val="00525F6F"/>
    <w:rsid w:val="005365A8"/>
    <w:rsid w:val="00542B95"/>
    <w:rsid w:val="005435FC"/>
    <w:rsid w:val="00543714"/>
    <w:rsid w:val="00546231"/>
    <w:rsid w:val="00546B6D"/>
    <w:rsid w:val="00551C95"/>
    <w:rsid w:val="00552454"/>
    <w:rsid w:val="00554674"/>
    <w:rsid w:val="00554F4B"/>
    <w:rsid w:val="00557CE8"/>
    <w:rsid w:val="00561552"/>
    <w:rsid w:val="00561911"/>
    <w:rsid w:val="00562151"/>
    <w:rsid w:val="00564AC6"/>
    <w:rsid w:val="00564E25"/>
    <w:rsid w:val="005653FC"/>
    <w:rsid w:val="00570808"/>
    <w:rsid w:val="00571440"/>
    <w:rsid w:val="00572717"/>
    <w:rsid w:val="0057605D"/>
    <w:rsid w:val="00576FD6"/>
    <w:rsid w:val="00580982"/>
    <w:rsid w:val="00584BE3"/>
    <w:rsid w:val="00584C4C"/>
    <w:rsid w:val="00586C29"/>
    <w:rsid w:val="005961A5"/>
    <w:rsid w:val="005A5B7E"/>
    <w:rsid w:val="005A60C8"/>
    <w:rsid w:val="005B40C3"/>
    <w:rsid w:val="005B79B1"/>
    <w:rsid w:val="005C0E37"/>
    <w:rsid w:val="005C273F"/>
    <w:rsid w:val="005C33D5"/>
    <w:rsid w:val="005D4229"/>
    <w:rsid w:val="005D5C30"/>
    <w:rsid w:val="005E067E"/>
    <w:rsid w:val="005E1F1F"/>
    <w:rsid w:val="005E21A6"/>
    <w:rsid w:val="005E27F2"/>
    <w:rsid w:val="005E2F90"/>
    <w:rsid w:val="005F1E86"/>
    <w:rsid w:val="005F5C66"/>
    <w:rsid w:val="00603815"/>
    <w:rsid w:val="006076D5"/>
    <w:rsid w:val="00607D68"/>
    <w:rsid w:val="0061239E"/>
    <w:rsid w:val="00615540"/>
    <w:rsid w:val="006174E6"/>
    <w:rsid w:val="00622DD3"/>
    <w:rsid w:val="00627E46"/>
    <w:rsid w:val="006314BA"/>
    <w:rsid w:val="00634A75"/>
    <w:rsid w:val="00634C31"/>
    <w:rsid w:val="006355D6"/>
    <w:rsid w:val="00636677"/>
    <w:rsid w:val="006372C4"/>
    <w:rsid w:val="006468B2"/>
    <w:rsid w:val="00650253"/>
    <w:rsid w:val="006555BF"/>
    <w:rsid w:val="006575B5"/>
    <w:rsid w:val="0066150A"/>
    <w:rsid w:val="00662DFC"/>
    <w:rsid w:val="0066608C"/>
    <w:rsid w:val="00673388"/>
    <w:rsid w:val="006874BA"/>
    <w:rsid w:val="00691143"/>
    <w:rsid w:val="0069293F"/>
    <w:rsid w:val="0069536D"/>
    <w:rsid w:val="006959B5"/>
    <w:rsid w:val="006968CD"/>
    <w:rsid w:val="00697839"/>
    <w:rsid w:val="006A1C8B"/>
    <w:rsid w:val="006A5D34"/>
    <w:rsid w:val="006B0C34"/>
    <w:rsid w:val="006B1F57"/>
    <w:rsid w:val="006B21B3"/>
    <w:rsid w:val="006B4A37"/>
    <w:rsid w:val="006B4C61"/>
    <w:rsid w:val="006B54DC"/>
    <w:rsid w:val="006B55DB"/>
    <w:rsid w:val="006C03AC"/>
    <w:rsid w:val="006C6533"/>
    <w:rsid w:val="006C73FD"/>
    <w:rsid w:val="006C78A2"/>
    <w:rsid w:val="006C7C6E"/>
    <w:rsid w:val="006D231E"/>
    <w:rsid w:val="006D34D9"/>
    <w:rsid w:val="006D45DB"/>
    <w:rsid w:val="006D55CB"/>
    <w:rsid w:val="006E076C"/>
    <w:rsid w:val="006E0CDC"/>
    <w:rsid w:val="006F10D2"/>
    <w:rsid w:val="006F1828"/>
    <w:rsid w:val="006F3655"/>
    <w:rsid w:val="006F3E5A"/>
    <w:rsid w:val="006F5998"/>
    <w:rsid w:val="007013B9"/>
    <w:rsid w:val="00706E33"/>
    <w:rsid w:val="00707F7B"/>
    <w:rsid w:val="007120E1"/>
    <w:rsid w:val="007121F2"/>
    <w:rsid w:val="0071282E"/>
    <w:rsid w:val="00713481"/>
    <w:rsid w:val="00722FC0"/>
    <w:rsid w:val="00723E92"/>
    <w:rsid w:val="007241F2"/>
    <w:rsid w:val="00731DF1"/>
    <w:rsid w:val="00733459"/>
    <w:rsid w:val="00734427"/>
    <w:rsid w:val="0073445E"/>
    <w:rsid w:val="00736999"/>
    <w:rsid w:val="00736A7C"/>
    <w:rsid w:val="007379D0"/>
    <w:rsid w:val="00741F36"/>
    <w:rsid w:val="00744A55"/>
    <w:rsid w:val="00751A08"/>
    <w:rsid w:val="0075212D"/>
    <w:rsid w:val="00752713"/>
    <w:rsid w:val="00754B8A"/>
    <w:rsid w:val="007565D2"/>
    <w:rsid w:val="0076196C"/>
    <w:rsid w:val="0076367E"/>
    <w:rsid w:val="0076385D"/>
    <w:rsid w:val="0076632A"/>
    <w:rsid w:val="007669BA"/>
    <w:rsid w:val="00771401"/>
    <w:rsid w:val="00775D24"/>
    <w:rsid w:val="007801F4"/>
    <w:rsid w:val="007846EC"/>
    <w:rsid w:val="00785CA8"/>
    <w:rsid w:val="00786049"/>
    <w:rsid w:val="00786A20"/>
    <w:rsid w:val="007903A0"/>
    <w:rsid w:val="00790557"/>
    <w:rsid w:val="007905DF"/>
    <w:rsid w:val="00793717"/>
    <w:rsid w:val="0079526E"/>
    <w:rsid w:val="007A0317"/>
    <w:rsid w:val="007A1643"/>
    <w:rsid w:val="007A4A67"/>
    <w:rsid w:val="007A6ADD"/>
    <w:rsid w:val="007A70AC"/>
    <w:rsid w:val="007B2390"/>
    <w:rsid w:val="007B5C81"/>
    <w:rsid w:val="007B5ECF"/>
    <w:rsid w:val="007B65AF"/>
    <w:rsid w:val="007B70C9"/>
    <w:rsid w:val="007B757C"/>
    <w:rsid w:val="007C44CD"/>
    <w:rsid w:val="007D0374"/>
    <w:rsid w:val="007D4585"/>
    <w:rsid w:val="007D5ADF"/>
    <w:rsid w:val="007D5E74"/>
    <w:rsid w:val="007D62C4"/>
    <w:rsid w:val="007D6940"/>
    <w:rsid w:val="007E25A9"/>
    <w:rsid w:val="007E4ECC"/>
    <w:rsid w:val="007E7CBA"/>
    <w:rsid w:val="007F2EC3"/>
    <w:rsid w:val="007F3BD4"/>
    <w:rsid w:val="007F3E78"/>
    <w:rsid w:val="007F41FE"/>
    <w:rsid w:val="007FC820"/>
    <w:rsid w:val="00803581"/>
    <w:rsid w:val="008057C9"/>
    <w:rsid w:val="00810488"/>
    <w:rsid w:val="00821C9C"/>
    <w:rsid w:val="0082525E"/>
    <w:rsid w:val="00825D2B"/>
    <w:rsid w:val="008318AE"/>
    <w:rsid w:val="0083266E"/>
    <w:rsid w:val="00832D06"/>
    <w:rsid w:val="00832E00"/>
    <w:rsid w:val="00833273"/>
    <w:rsid w:val="0083607B"/>
    <w:rsid w:val="00837EE5"/>
    <w:rsid w:val="00841F16"/>
    <w:rsid w:val="00844CF4"/>
    <w:rsid w:val="008470B0"/>
    <w:rsid w:val="00851B4A"/>
    <w:rsid w:val="00853E30"/>
    <w:rsid w:val="008551D7"/>
    <w:rsid w:val="008567FD"/>
    <w:rsid w:val="008605EC"/>
    <w:rsid w:val="008611F8"/>
    <w:rsid w:val="00862206"/>
    <w:rsid w:val="0086640E"/>
    <w:rsid w:val="0087051E"/>
    <w:rsid w:val="00871DA4"/>
    <w:rsid w:val="008727B8"/>
    <w:rsid w:val="0087295E"/>
    <w:rsid w:val="00872F96"/>
    <w:rsid w:val="00876D4F"/>
    <w:rsid w:val="00881220"/>
    <w:rsid w:val="00882DF6"/>
    <w:rsid w:val="00885694"/>
    <w:rsid w:val="008863A8"/>
    <w:rsid w:val="008864BB"/>
    <w:rsid w:val="00890B2C"/>
    <w:rsid w:val="0089424B"/>
    <w:rsid w:val="008954A6"/>
    <w:rsid w:val="0089699E"/>
    <w:rsid w:val="008A3EBC"/>
    <w:rsid w:val="008A6CFC"/>
    <w:rsid w:val="008A6D94"/>
    <w:rsid w:val="008B1CEA"/>
    <w:rsid w:val="008B2603"/>
    <w:rsid w:val="008B2625"/>
    <w:rsid w:val="008B4053"/>
    <w:rsid w:val="008B5EA8"/>
    <w:rsid w:val="008C073E"/>
    <w:rsid w:val="008C6D77"/>
    <w:rsid w:val="008D37D0"/>
    <w:rsid w:val="008D77A5"/>
    <w:rsid w:val="008E2FEE"/>
    <w:rsid w:val="008E3B19"/>
    <w:rsid w:val="008E5F7A"/>
    <w:rsid w:val="008E6DB7"/>
    <w:rsid w:val="008E766E"/>
    <w:rsid w:val="008F01F5"/>
    <w:rsid w:val="008F32E4"/>
    <w:rsid w:val="008F387F"/>
    <w:rsid w:val="008F3FBC"/>
    <w:rsid w:val="009007B6"/>
    <w:rsid w:val="00903AF8"/>
    <w:rsid w:val="009067CE"/>
    <w:rsid w:val="00913EBF"/>
    <w:rsid w:val="00914122"/>
    <w:rsid w:val="00915234"/>
    <w:rsid w:val="00920696"/>
    <w:rsid w:val="0092217C"/>
    <w:rsid w:val="00922B34"/>
    <w:rsid w:val="009264ED"/>
    <w:rsid w:val="0092659B"/>
    <w:rsid w:val="009310DE"/>
    <w:rsid w:val="009315DF"/>
    <w:rsid w:val="00934CE6"/>
    <w:rsid w:val="00935201"/>
    <w:rsid w:val="009360C3"/>
    <w:rsid w:val="00937444"/>
    <w:rsid w:val="00943AF4"/>
    <w:rsid w:val="0094573D"/>
    <w:rsid w:val="00950F3F"/>
    <w:rsid w:val="009513E3"/>
    <w:rsid w:val="00955A6B"/>
    <w:rsid w:val="00956C98"/>
    <w:rsid w:val="009571E9"/>
    <w:rsid w:val="00957454"/>
    <w:rsid w:val="00963992"/>
    <w:rsid w:val="0096538B"/>
    <w:rsid w:val="009655EA"/>
    <w:rsid w:val="009667C7"/>
    <w:rsid w:val="00966C72"/>
    <w:rsid w:val="00972486"/>
    <w:rsid w:val="009726D1"/>
    <w:rsid w:val="009750D4"/>
    <w:rsid w:val="009809DB"/>
    <w:rsid w:val="009815DA"/>
    <w:rsid w:val="00982BFF"/>
    <w:rsid w:val="00983532"/>
    <w:rsid w:val="0098498E"/>
    <w:rsid w:val="00985813"/>
    <w:rsid w:val="00993A07"/>
    <w:rsid w:val="00995453"/>
    <w:rsid w:val="0099720E"/>
    <w:rsid w:val="009A1039"/>
    <w:rsid w:val="009A4269"/>
    <w:rsid w:val="009B0AB1"/>
    <w:rsid w:val="009B1615"/>
    <w:rsid w:val="009B1C27"/>
    <w:rsid w:val="009B4CF2"/>
    <w:rsid w:val="009B52BB"/>
    <w:rsid w:val="009B757B"/>
    <w:rsid w:val="009B79C1"/>
    <w:rsid w:val="009C0765"/>
    <w:rsid w:val="009C19E5"/>
    <w:rsid w:val="009C40C0"/>
    <w:rsid w:val="009C4E1E"/>
    <w:rsid w:val="009C770F"/>
    <w:rsid w:val="009D40F0"/>
    <w:rsid w:val="009E1C23"/>
    <w:rsid w:val="009E5757"/>
    <w:rsid w:val="009E59E8"/>
    <w:rsid w:val="009E5C62"/>
    <w:rsid w:val="009E5E5A"/>
    <w:rsid w:val="009F0BE8"/>
    <w:rsid w:val="009F173B"/>
    <w:rsid w:val="009F4DAE"/>
    <w:rsid w:val="00A0005A"/>
    <w:rsid w:val="00A001B5"/>
    <w:rsid w:val="00A007B9"/>
    <w:rsid w:val="00A023FB"/>
    <w:rsid w:val="00A02F3C"/>
    <w:rsid w:val="00A03486"/>
    <w:rsid w:val="00A04636"/>
    <w:rsid w:val="00A05D21"/>
    <w:rsid w:val="00A07169"/>
    <w:rsid w:val="00A111F6"/>
    <w:rsid w:val="00A153A4"/>
    <w:rsid w:val="00A16B1D"/>
    <w:rsid w:val="00A17F0F"/>
    <w:rsid w:val="00A21A47"/>
    <w:rsid w:val="00A250AF"/>
    <w:rsid w:val="00A33C45"/>
    <w:rsid w:val="00A3431C"/>
    <w:rsid w:val="00A4321C"/>
    <w:rsid w:val="00A43FCB"/>
    <w:rsid w:val="00A454A5"/>
    <w:rsid w:val="00A46359"/>
    <w:rsid w:val="00A470FA"/>
    <w:rsid w:val="00A47F11"/>
    <w:rsid w:val="00A56727"/>
    <w:rsid w:val="00A62D04"/>
    <w:rsid w:val="00A64ECE"/>
    <w:rsid w:val="00A760CE"/>
    <w:rsid w:val="00A85271"/>
    <w:rsid w:val="00A85534"/>
    <w:rsid w:val="00A86FA4"/>
    <w:rsid w:val="00A9588F"/>
    <w:rsid w:val="00AA1813"/>
    <w:rsid w:val="00AA2DEF"/>
    <w:rsid w:val="00AA3CF7"/>
    <w:rsid w:val="00AA5067"/>
    <w:rsid w:val="00AA797F"/>
    <w:rsid w:val="00AB6A2B"/>
    <w:rsid w:val="00AC0C22"/>
    <w:rsid w:val="00AC6F64"/>
    <w:rsid w:val="00AD01E4"/>
    <w:rsid w:val="00AD397E"/>
    <w:rsid w:val="00AD420D"/>
    <w:rsid w:val="00AD451C"/>
    <w:rsid w:val="00AD7289"/>
    <w:rsid w:val="00AE3D09"/>
    <w:rsid w:val="00AF03C7"/>
    <w:rsid w:val="00AF0E29"/>
    <w:rsid w:val="00AF4056"/>
    <w:rsid w:val="00AF4D53"/>
    <w:rsid w:val="00AF67E3"/>
    <w:rsid w:val="00AF6E1A"/>
    <w:rsid w:val="00AF72CF"/>
    <w:rsid w:val="00B01D25"/>
    <w:rsid w:val="00B075D9"/>
    <w:rsid w:val="00B1507D"/>
    <w:rsid w:val="00B215F8"/>
    <w:rsid w:val="00B2338F"/>
    <w:rsid w:val="00B252B4"/>
    <w:rsid w:val="00B27A05"/>
    <w:rsid w:val="00B35FED"/>
    <w:rsid w:val="00B37816"/>
    <w:rsid w:val="00B40DA1"/>
    <w:rsid w:val="00B41DB7"/>
    <w:rsid w:val="00B41F0D"/>
    <w:rsid w:val="00B47272"/>
    <w:rsid w:val="00B51B75"/>
    <w:rsid w:val="00B54101"/>
    <w:rsid w:val="00B559EA"/>
    <w:rsid w:val="00B55C01"/>
    <w:rsid w:val="00B5638B"/>
    <w:rsid w:val="00B5690B"/>
    <w:rsid w:val="00B62345"/>
    <w:rsid w:val="00B62B54"/>
    <w:rsid w:val="00B71F9B"/>
    <w:rsid w:val="00B76357"/>
    <w:rsid w:val="00B768C7"/>
    <w:rsid w:val="00B76E4F"/>
    <w:rsid w:val="00B85C61"/>
    <w:rsid w:val="00B9234F"/>
    <w:rsid w:val="00B942A3"/>
    <w:rsid w:val="00B94D06"/>
    <w:rsid w:val="00B94D56"/>
    <w:rsid w:val="00B956C6"/>
    <w:rsid w:val="00BA26DA"/>
    <w:rsid w:val="00BA3979"/>
    <w:rsid w:val="00BA60EC"/>
    <w:rsid w:val="00BA6742"/>
    <w:rsid w:val="00BA6894"/>
    <w:rsid w:val="00BA7DA3"/>
    <w:rsid w:val="00BB12FC"/>
    <w:rsid w:val="00BB42FA"/>
    <w:rsid w:val="00BB76AD"/>
    <w:rsid w:val="00BC014F"/>
    <w:rsid w:val="00BC07A9"/>
    <w:rsid w:val="00BC1389"/>
    <w:rsid w:val="00BC3100"/>
    <w:rsid w:val="00BC6DCA"/>
    <w:rsid w:val="00BC775F"/>
    <w:rsid w:val="00BD042A"/>
    <w:rsid w:val="00BD5838"/>
    <w:rsid w:val="00BD7AD4"/>
    <w:rsid w:val="00BE01BB"/>
    <w:rsid w:val="00BE11E3"/>
    <w:rsid w:val="00BE374B"/>
    <w:rsid w:val="00BE4321"/>
    <w:rsid w:val="00BE4BBB"/>
    <w:rsid w:val="00BE4D51"/>
    <w:rsid w:val="00BE58A2"/>
    <w:rsid w:val="00C00E07"/>
    <w:rsid w:val="00C01AB8"/>
    <w:rsid w:val="00C031B8"/>
    <w:rsid w:val="00C059AC"/>
    <w:rsid w:val="00C05ACC"/>
    <w:rsid w:val="00C12C9B"/>
    <w:rsid w:val="00C140AB"/>
    <w:rsid w:val="00C15068"/>
    <w:rsid w:val="00C2238A"/>
    <w:rsid w:val="00C24F37"/>
    <w:rsid w:val="00C2715A"/>
    <w:rsid w:val="00C27F37"/>
    <w:rsid w:val="00C33DB2"/>
    <w:rsid w:val="00C43D4F"/>
    <w:rsid w:val="00C44A12"/>
    <w:rsid w:val="00C45214"/>
    <w:rsid w:val="00C45B55"/>
    <w:rsid w:val="00C47DEC"/>
    <w:rsid w:val="00C508FE"/>
    <w:rsid w:val="00C50C4B"/>
    <w:rsid w:val="00C50E02"/>
    <w:rsid w:val="00C64C03"/>
    <w:rsid w:val="00C668F7"/>
    <w:rsid w:val="00C66A9B"/>
    <w:rsid w:val="00C713F2"/>
    <w:rsid w:val="00C74D29"/>
    <w:rsid w:val="00C75A59"/>
    <w:rsid w:val="00C8265B"/>
    <w:rsid w:val="00C82F21"/>
    <w:rsid w:val="00C830FF"/>
    <w:rsid w:val="00C867D8"/>
    <w:rsid w:val="00C9001B"/>
    <w:rsid w:val="00C926AE"/>
    <w:rsid w:val="00C929A5"/>
    <w:rsid w:val="00C93291"/>
    <w:rsid w:val="00C9409F"/>
    <w:rsid w:val="00C9509E"/>
    <w:rsid w:val="00C96A14"/>
    <w:rsid w:val="00CA2753"/>
    <w:rsid w:val="00CA449E"/>
    <w:rsid w:val="00CA6EC6"/>
    <w:rsid w:val="00CB023B"/>
    <w:rsid w:val="00CB3AC7"/>
    <w:rsid w:val="00CB3F33"/>
    <w:rsid w:val="00CB741F"/>
    <w:rsid w:val="00CB7B52"/>
    <w:rsid w:val="00CC23E7"/>
    <w:rsid w:val="00CC6399"/>
    <w:rsid w:val="00CC7045"/>
    <w:rsid w:val="00CD0D47"/>
    <w:rsid w:val="00CD3588"/>
    <w:rsid w:val="00CD38A5"/>
    <w:rsid w:val="00CE1242"/>
    <w:rsid w:val="00CE1B31"/>
    <w:rsid w:val="00CE2B8B"/>
    <w:rsid w:val="00CE3149"/>
    <w:rsid w:val="00CE693B"/>
    <w:rsid w:val="00CF0498"/>
    <w:rsid w:val="00CF04AD"/>
    <w:rsid w:val="00CF06A3"/>
    <w:rsid w:val="00CF2748"/>
    <w:rsid w:val="00CF2C3D"/>
    <w:rsid w:val="00CF3B55"/>
    <w:rsid w:val="00CF5CDB"/>
    <w:rsid w:val="00CF72B7"/>
    <w:rsid w:val="00D03289"/>
    <w:rsid w:val="00D04C6D"/>
    <w:rsid w:val="00D05FA3"/>
    <w:rsid w:val="00D05FD8"/>
    <w:rsid w:val="00D06996"/>
    <w:rsid w:val="00D1196A"/>
    <w:rsid w:val="00D11D0A"/>
    <w:rsid w:val="00D130BC"/>
    <w:rsid w:val="00D161CD"/>
    <w:rsid w:val="00D165D4"/>
    <w:rsid w:val="00D20593"/>
    <w:rsid w:val="00D23852"/>
    <w:rsid w:val="00D255AF"/>
    <w:rsid w:val="00D27A20"/>
    <w:rsid w:val="00D342A9"/>
    <w:rsid w:val="00D3566F"/>
    <w:rsid w:val="00D35B89"/>
    <w:rsid w:val="00D36015"/>
    <w:rsid w:val="00D366F4"/>
    <w:rsid w:val="00D4380A"/>
    <w:rsid w:val="00D467B2"/>
    <w:rsid w:val="00D47EC4"/>
    <w:rsid w:val="00D53C60"/>
    <w:rsid w:val="00D563FC"/>
    <w:rsid w:val="00D56BE2"/>
    <w:rsid w:val="00D63750"/>
    <w:rsid w:val="00D64074"/>
    <w:rsid w:val="00D65805"/>
    <w:rsid w:val="00D704B3"/>
    <w:rsid w:val="00D74ABD"/>
    <w:rsid w:val="00D8222E"/>
    <w:rsid w:val="00D9003D"/>
    <w:rsid w:val="00DA0E64"/>
    <w:rsid w:val="00DA68FE"/>
    <w:rsid w:val="00DA7C50"/>
    <w:rsid w:val="00DB041C"/>
    <w:rsid w:val="00DB178C"/>
    <w:rsid w:val="00DB18D3"/>
    <w:rsid w:val="00DB2253"/>
    <w:rsid w:val="00DB7EDC"/>
    <w:rsid w:val="00DC0713"/>
    <w:rsid w:val="00DC0D81"/>
    <w:rsid w:val="00DC23B1"/>
    <w:rsid w:val="00DC571D"/>
    <w:rsid w:val="00DC69A1"/>
    <w:rsid w:val="00DD17B0"/>
    <w:rsid w:val="00DD3161"/>
    <w:rsid w:val="00DD4427"/>
    <w:rsid w:val="00DE06D2"/>
    <w:rsid w:val="00DE382A"/>
    <w:rsid w:val="00DE478D"/>
    <w:rsid w:val="00DF3D4D"/>
    <w:rsid w:val="00DF4F5B"/>
    <w:rsid w:val="00DF777F"/>
    <w:rsid w:val="00E047EC"/>
    <w:rsid w:val="00E0654D"/>
    <w:rsid w:val="00E06E76"/>
    <w:rsid w:val="00E07CEA"/>
    <w:rsid w:val="00E15A20"/>
    <w:rsid w:val="00E23E53"/>
    <w:rsid w:val="00E242C2"/>
    <w:rsid w:val="00E27AD6"/>
    <w:rsid w:val="00E33341"/>
    <w:rsid w:val="00E35213"/>
    <w:rsid w:val="00E36BDD"/>
    <w:rsid w:val="00E420E5"/>
    <w:rsid w:val="00E43653"/>
    <w:rsid w:val="00E44896"/>
    <w:rsid w:val="00E455FF"/>
    <w:rsid w:val="00E51398"/>
    <w:rsid w:val="00E533DD"/>
    <w:rsid w:val="00E53C64"/>
    <w:rsid w:val="00E5426A"/>
    <w:rsid w:val="00E65554"/>
    <w:rsid w:val="00E7112A"/>
    <w:rsid w:val="00E73F13"/>
    <w:rsid w:val="00E75A3D"/>
    <w:rsid w:val="00E77E91"/>
    <w:rsid w:val="00E83044"/>
    <w:rsid w:val="00E83693"/>
    <w:rsid w:val="00E8402E"/>
    <w:rsid w:val="00E90C75"/>
    <w:rsid w:val="00E92E80"/>
    <w:rsid w:val="00EA15FD"/>
    <w:rsid w:val="00EB44BB"/>
    <w:rsid w:val="00EB4BF8"/>
    <w:rsid w:val="00EB4D73"/>
    <w:rsid w:val="00EC1A31"/>
    <w:rsid w:val="00EC1D7A"/>
    <w:rsid w:val="00EC230A"/>
    <w:rsid w:val="00EC428F"/>
    <w:rsid w:val="00EC4BA9"/>
    <w:rsid w:val="00EC73C6"/>
    <w:rsid w:val="00ED0FE8"/>
    <w:rsid w:val="00ED3C56"/>
    <w:rsid w:val="00ED5A2B"/>
    <w:rsid w:val="00EE6B7E"/>
    <w:rsid w:val="00EF3EE1"/>
    <w:rsid w:val="00EF5824"/>
    <w:rsid w:val="00F01119"/>
    <w:rsid w:val="00F0159C"/>
    <w:rsid w:val="00F03F41"/>
    <w:rsid w:val="00F11A7C"/>
    <w:rsid w:val="00F13643"/>
    <w:rsid w:val="00F15DAF"/>
    <w:rsid w:val="00F1627B"/>
    <w:rsid w:val="00F224B6"/>
    <w:rsid w:val="00F26E54"/>
    <w:rsid w:val="00F306A4"/>
    <w:rsid w:val="00F30EE1"/>
    <w:rsid w:val="00F312DA"/>
    <w:rsid w:val="00F335E2"/>
    <w:rsid w:val="00F421D5"/>
    <w:rsid w:val="00F44D39"/>
    <w:rsid w:val="00F47941"/>
    <w:rsid w:val="00F50F9F"/>
    <w:rsid w:val="00F6228A"/>
    <w:rsid w:val="00F64A28"/>
    <w:rsid w:val="00F747F2"/>
    <w:rsid w:val="00F83EC9"/>
    <w:rsid w:val="00F84457"/>
    <w:rsid w:val="00F91C4B"/>
    <w:rsid w:val="00F92D91"/>
    <w:rsid w:val="00F94DDE"/>
    <w:rsid w:val="00F96179"/>
    <w:rsid w:val="00F9655C"/>
    <w:rsid w:val="00F96CFA"/>
    <w:rsid w:val="00FA3AEB"/>
    <w:rsid w:val="00FA5086"/>
    <w:rsid w:val="00FB0EA9"/>
    <w:rsid w:val="00FB569D"/>
    <w:rsid w:val="00FC0BBC"/>
    <w:rsid w:val="00FC1A71"/>
    <w:rsid w:val="00FC2736"/>
    <w:rsid w:val="00FC3CBB"/>
    <w:rsid w:val="00FC4C5B"/>
    <w:rsid w:val="00FD060E"/>
    <w:rsid w:val="00FD08F7"/>
    <w:rsid w:val="00FD1AB5"/>
    <w:rsid w:val="00FD335D"/>
    <w:rsid w:val="00FD744C"/>
    <w:rsid w:val="00FE0C9C"/>
    <w:rsid w:val="00FE3873"/>
    <w:rsid w:val="00FE3E89"/>
    <w:rsid w:val="00FE42C8"/>
    <w:rsid w:val="00FE4CA2"/>
    <w:rsid w:val="00FE7CB8"/>
    <w:rsid w:val="00FE7F29"/>
    <w:rsid w:val="00FF447A"/>
    <w:rsid w:val="00FF4D94"/>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420D"/>
    <w:pPr>
      <w:tabs>
        <w:tab w:val="center" w:pos="4680"/>
        <w:tab w:val="right" w:pos="9360"/>
      </w:tabs>
    </w:pPr>
  </w:style>
  <w:style w:type="character" w:customStyle="1" w:styleId="FooterChar">
    <w:name w:val="Footer Char"/>
    <w:basedOn w:val="DefaultParagraphFont"/>
    <w:link w:val="Footer"/>
    <w:uiPriority w:val="99"/>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styleId="BodyText">
    <w:name w:val="Body Text"/>
    <w:basedOn w:val="Normal"/>
    <w:link w:val="BodyTextChar"/>
    <w:rsid w:val="00D35B89"/>
    <w:pPr>
      <w:widowControl w:val="0"/>
      <w:spacing w:after="240"/>
      <w:ind w:firstLine="720"/>
    </w:pPr>
  </w:style>
  <w:style w:type="character" w:customStyle="1" w:styleId="BodyTextChar">
    <w:name w:val="Body Text Char"/>
    <w:basedOn w:val="DefaultParagraphFont"/>
    <w:link w:val="BodyText"/>
    <w:rsid w:val="00D35B89"/>
    <w:rPr>
      <w:rFonts w:ascii="Times New Roman" w:eastAsia="Times New Roman" w:hAnsi="Times New Roman" w:cs="Times New Roman"/>
      <w:sz w:val="24"/>
      <w:szCs w:val="24"/>
    </w:rPr>
  </w:style>
  <w:style w:type="table" w:styleId="TableGrid">
    <w:name w:val="Table Grid"/>
    <w:basedOn w:val="TableNormal"/>
    <w:rsid w:val="00D35B8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427635" TargetMode="External"/><Relationship Id="rId18" Type="http://schemas.openxmlformats.org/officeDocument/2006/relationships/hyperlink" Target="https://www.whitehouse.gov/briefing-room/presidential-actions/2021/01/27/executive-order-on-tackling-the-climate-crisis-at-home-and-abroad/" TargetMode="External"/><Relationship Id="rId26" Type="http://schemas.openxmlformats.org/officeDocument/2006/relationships/hyperlink" Target="https://www.epa.gov/sites/default/files/2020-11/documents/20-11-4_tceq_recipient_resolution_letter_and_informal_resolution_agreement_final.pdf" TargetMode="External"/><Relationship Id="rId39" Type="http://schemas.openxmlformats.org/officeDocument/2006/relationships/hyperlink" Target="https://corpgov.law.harvard.edu/2022/02/25/esg-2021-trends-and-expectations-for-2022/" TargetMode="External"/><Relationship Id="rId21" Type="http://schemas.openxmlformats.org/officeDocument/2006/relationships/hyperlink" Target="https://www.epa.gov/environmentaljustice/national-environmental-justice-advisory-council" TargetMode="External"/><Relationship Id="rId34" Type="http://schemas.openxmlformats.org/officeDocument/2006/relationships/hyperlink" Target="https://oehha.ca.gov/calenviroscreen/report/calenviroscreen-40"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9" Type="http://schemas.openxmlformats.org/officeDocument/2006/relationships/hyperlink" Target="https://www.nj.gov/dep/ej/docs/ej-la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1617/regulations/info/attendance.aspx" TargetMode="External"/><Relationship Id="rId24" Type="http://schemas.openxmlformats.org/officeDocument/2006/relationships/hyperlink" Target="https://www.epa.gov/ogc/external-civil-rights-compliance-office-title-vi" TargetMode="External"/><Relationship Id="rId32" Type="http://schemas.openxmlformats.org/officeDocument/2006/relationships/hyperlink" Target="https://www.epa.gov/ejscreen" TargetMode="External"/><Relationship Id="rId37" Type="http://schemas.openxmlformats.org/officeDocument/2006/relationships/hyperlink" Target="https://www.hhs.gov/climate-change-health-equity-environmental-justice/environmental-justice/index/index.html" TargetMode="External"/><Relationship Id="rId40" Type="http://schemas.openxmlformats.org/officeDocument/2006/relationships/hyperlink" Target="https://www.reuters.com/legal/legalindustry/esg-trends-improving-standardizing-disclosure-2021-10-20/"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yperlink" Target="https://www.epa.gov/pfas/pfas-strategic-roadmap-epas-commitments-action-2021-2024" TargetMode="External"/><Relationship Id="rId28" Type="http://schemas.openxmlformats.org/officeDocument/2006/relationships/hyperlink" Target="https://www.youtube.com/watch?v=kEinQtKEzwc" TargetMode="External"/><Relationship Id="rId36" Type="http://schemas.openxmlformats.org/officeDocument/2006/relationships/hyperlink" Target="https://deq.nc.gov/outreach-education/environmental-justice/deq-north-carolina-community-mapping-system"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www.youtube.com/watch?v=5Opr-uzet7Q" TargetMode="External"/><Relationship Id="rId31" Type="http://schemas.openxmlformats.org/officeDocument/2006/relationships/hyperlink" Target="https://www.reuters.com/legal/legalindustry/big-data-maps-clicks-help-public-advance-environmental-objectives-2022-02-02/"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gatorevals.aa.ufl.edu/students/" TargetMode="External"/><Relationship Id="rId22" Type="http://schemas.openxmlformats.org/officeDocument/2006/relationships/hyperlink" Target="https://www.michigan.gov/-/media/Project/Websites/egle/Documents/Permits/AQD/PTI/Facilities/Letter-2021-11-15-Ajax-Permit-EGLE-to-USEPA.pdf?rev=6d6171e6cd11478181a07f73225abfec" TargetMode="External"/><Relationship Id="rId27" Type="http://schemas.openxmlformats.org/officeDocument/2006/relationships/hyperlink" Target="https://www.youtube.com/watch?v=JejlvcHR3oI" TargetMode="External"/><Relationship Id="rId30" Type="http://schemas.openxmlformats.org/officeDocument/2006/relationships/hyperlink" Target="https://lawfilesext.leg.wa.gov/biennium/2021-22/Pdf/Bills/Senate%20Passed%20Legislature/5141-S2.PL.pdf?q=20220310071221" TargetMode="External"/><Relationship Id="rId35" Type="http://schemas.openxmlformats.org/officeDocument/2006/relationships/hyperlink" Target="https://echo.epa.gov/" TargetMode="External"/><Relationship Id="rId43" Type="http://schemas.openxmlformats.org/officeDocument/2006/relationships/footer" Target="footer1.xml"/><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tyles" Target="styles.xml"/><Relationship Id="rId12" Type="http://schemas.openxmlformats.org/officeDocument/2006/relationships/hyperlink" Target="https://disability.ufl.edu/" TargetMode="External"/><Relationship Id="rId17" Type="http://schemas.openxmlformats.org/officeDocument/2006/relationships/hyperlink" Target="https://www.archives.gov/files/federal-register/executive-orders/pdf/12898.pdf" TargetMode="External"/><Relationship Id="rId25" Type="http://schemas.openxmlformats.org/officeDocument/2006/relationships/hyperlink" Target="https://earthjustice.org/sites/default/files/title_vi_complaint_epa_11-12-2019.pdf" TargetMode="External"/><Relationship Id="rId33" Type="http://schemas.openxmlformats.org/officeDocument/2006/relationships/hyperlink" Target="https://screeningtool.geoplatform.gov/" TargetMode="External"/><Relationship Id="rId38" Type="http://schemas.openxmlformats.org/officeDocument/2006/relationships/hyperlink" Target="https://www.inclusivecapitalism.com/just-energy-transition-company-framework/" TargetMode="External"/><Relationship Id="rId46" Type="http://schemas.openxmlformats.org/officeDocument/2006/relationships/fontTable" Target="fontTable.xml"/><Relationship Id="rId20" Type="http://schemas.openxmlformats.org/officeDocument/2006/relationships/hyperlink" Target="https://www.epa.gov/environmentaljustice/white-house-environmental-justice-advisory-council-charter"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Inman,Rachel</cp:lastModifiedBy>
  <cp:revision>4</cp:revision>
  <cp:lastPrinted>2023-01-09T00:32:00Z</cp:lastPrinted>
  <dcterms:created xsi:type="dcterms:W3CDTF">2023-01-09T19:58:00Z</dcterms:created>
  <dcterms:modified xsi:type="dcterms:W3CDTF">2023-01-12T14:40:00Z</dcterms:modified>
</cp:coreProperties>
</file>