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D0E6" w14:textId="4D02968E" w:rsidR="00C14EBD" w:rsidRDefault="00C14EBD" w:rsidP="00C14EBD">
      <w:pPr>
        <w:pStyle w:val="Title"/>
      </w:pPr>
      <w:r>
        <w:t xml:space="preserve">Law </w:t>
      </w:r>
      <w:r w:rsidR="00CB3A6C">
        <w:t>79</w:t>
      </w:r>
      <w:r w:rsidR="00E708FF">
        <w:t>3</w:t>
      </w:r>
      <w:r w:rsidR="00CB3A6C">
        <w:t>1</w:t>
      </w:r>
      <w:r>
        <w:t xml:space="preserve">: </w:t>
      </w:r>
      <w:r w:rsidR="00CB3A6C">
        <w:t>Taxation of Financial Instruments</w:t>
      </w:r>
    </w:p>
    <w:p w14:paraId="363996C6" w14:textId="56602AFF" w:rsidR="00A477C2" w:rsidRPr="00D67A01" w:rsidRDefault="00A477C2" w:rsidP="00A477C2">
      <w:pPr>
        <w:spacing w:after="120"/>
        <w:ind w:right="-187"/>
        <w:outlineLvl w:val="0"/>
      </w:pPr>
      <w:r>
        <w:rPr>
          <w:u w:val="single"/>
        </w:rPr>
        <w:t>Credit Hours</w:t>
      </w:r>
      <w:r w:rsidR="00CB3A6C">
        <w:t>. 2</w:t>
      </w:r>
    </w:p>
    <w:p w14:paraId="5A5A01D2" w14:textId="454FFB3C" w:rsidR="00A477C2" w:rsidRDefault="00A477C2" w:rsidP="00A477C2">
      <w:pPr>
        <w:spacing w:after="120"/>
        <w:ind w:right="-187"/>
        <w:outlineLvl w:val="0"/>
      </w:pPr>
      <w:r>
        <w:rPr>
          <w:u w:val="single"/>
        </w:rPr>
        <w:t>Course Prerequisites</w:t>
      </w:r>
      <w:r w:rsidR="00CB3A6C">
        <w:t xml:space="preserve">. This course has no prerequisites for LLM students. Other students </w:t>
      </w:r>
      <w:r w:rsidR="0012035B">
        <w:t xml:space="preserve">may enroll with </w:t>
      </w:r>
      <w:r w:rsidR="00CB3A6C">
        <w:t>permission of the instructor.</w:t>
      </w:r>
    </w:p>
    <w:p w14:paraId="01E2C353" w14:textId="77E10F03" w:rsidR="00CB3A6C" w:rsidRDefault="0012035B" w:rsidP="00A477C2">
      <w:pPr>
        <w:spacing w:after="120"/>
        <w:ind w:right="-187"/>
        <w:outlineLvl w:val="0"/>
      </w:pPr>
      <w:r>
        <w:rPr>
          <w:u w:val="single"/>
        </w:rPr>
        <w:t>Course Description</w:t>
      </w:r>
      <w:r>
        <w:t xml:space="preserve">. </w:t>
      </w:r>
      <w:r w:rsidR="00CB3A6C">
        <w:t>From the UF Website</w:t>
      </w:r>
      <w:r>
        <w:t>:</w:t>
      </w:r>
    </w:p>
    <w:p w14:paraId="16B9A260" w14:textId="6EB14727" w:rsidR="00275033" w:rsidRDefault="00360E14" w:rsidP="00CB3A6C">
      <w:pPr>
        <w:spacing w:after="120"/>
        <w:ind w:left="720" w:right="540"/>
        <w:outlineLvl w:val="0"/>
      </w:pPr>
      <w:r w:rsidRPr="00360E14">
        <w:t>This course covers the U.S. taxation of financial instruments. The first part of the course is about debt instruments, beginning with an examination of interest and the time value of money and continuing with the tax consequences of issuing or holding a debt instrument that is issued or purchased at a price differing from the instrument’s face value. Subsequent topics include the tax treatment of options, futures, forwards, swaps and other “derivatives.”</w:t>
      </w:r>
    </w:p>
    <w:p w14:paraId="56DFE281" w14:textId="75E3318B" w:rsidR="00FC352B" w:rsidRDefault="00422E1B" w:rsidP="00FC352B">
      <w:pPr>
        <w:spacing w:after="120"/>
        <w:ind w:right="-187"/>
        <w:outlineLvl w:val="0"/>
      </w:pPr>
      <w:r>
        <w:rPr>
          <w:u w:val="single"/>
        </w:rPr>
        <w:t>Course Objectives/Learning Outcomes</w:t>
      </w:r>
      <w:r>
        <w:t>.</w:t>
      </w:r>
      <w:r>
        <w:br/>
      </w:r>
      <w:r w:rsidR="00FC352B">
        <w:t>Students successfully completing the course will</w:t>
      </w:r>
      <w:r w:rsidR="006A7B1E">
        <w:t xml:space="preserve"> gain an understanding of</w:t>
      </w:r>
      <w:r w:rsidR="00FC352B">
        <w:t>:</w:t>
      </w:r>
    </w:p>
    <w:p w14:paraId="33702E63" w14:textId="40DA6B1A" w:rsidR="00776AC4" w:rsidRDefault="006A7B1E" w:rsidP="00E94CBE">
      <w:pPr>
        <w:numPr>
          <w:ilvl w:val="0"/>
          <w:numId w:val="11"/>
        </w:numPr>
      </w:pPr>
      <w:r>
        <w:t>T</w:t>
      </w:r>
      <w:r w:rsidR="00E94CBE">
        <w:t xml:space="preserve">he </w:t>
      </w:r>
      <w:r>
        <w:t>economics of</w:t>
      </w:r>
      <w:r w:rsidR="0040056C">
        <w:t>,</w:t>
      </w:r>
      <w:r>
        <w:t xml:space="preserve"> and federal income tax rules applicable to</w:t>
      </w:r>
      <w:r w:rsidR="0040056C">
        <w:t>,</w:t>
      </w:r>
      <w:r>
        <w:t xml:space="preserve"> debt instruments</w:t>
      </w:r>
      <w:r w:rsidR="00776AC4">
        <w:t>.</w:t>
      </w:r>
    </w:p>
    <w:p w14:paraId="28495E1E" w14:textId="4521FCF0" w:rsidR="00776AC4" w:rsidRDefault="007C57D3" w:rsidP="007C57D3">
      <w:pPr>
        <w:numPr>
          <w:ilvl w:val="0"/>
          <w:numId w:val="11"/>
        </w:numPr>
      </w:pPr>
      <w:r>
        <w:t xml:space="preserve">The </w:t>
      </w:r>
      <w:r w:rsidR="00483B0D">
        <w:t xml:space="preserve">U.S. federal income </w:t>
      </w:r>
      <w:r>
        <w:t>tax rules applicable to the holding and trading of non-U.S. currencies.</w:t>
      </w:r>
    </w:p>
    <w:p w14:paraId="4C270575" w14:textId="28828962" w:rsidR="007C57D3" w:rsidRDefault="006A7B1E" w:rsidP="007C57D3">
      <w:pPr>
        <w:numPr>
          <w:ilvl w:val="0"/>
          <w:numId w:val="11"/>
        </w:numPr>
      </w:pPr>
      <w:r>
        <w:t xml:space="preserve">The </w:t>
      </w:r>
      <w:r w:rsidR="00483B0D">
        <w:t xml:space="preserve">U.S. federal income </w:t>
      </w:r>
      <w:r>
        <w:t>tax rules applicable to virtual currencies, such as Bitcoin</w:t>
      </w:r>
      <w:r w:rsidR="00E94CBE">
        <w:t>.</w:t>
      </w:r>
    </w:p>
    <w:p w14:paraId="6BC6F2DD" w14:textId="32DD3C9C" w:rsidR="006A7B1E" w:rsidRDefault="006A7B1E" w:rsidP="00CA08D3">
      <w:pPr>
        <w:numPr>
          <w:ilvl w:val="0"/>
          <w:numId w:val="11"/>
        </w:numPr>
      </w:pPr>
      <w:r>
        <w:t xml:space="preserve">The </w:t>
      </w:r>
      <w:r w:rsidR="00483B0D">
        <w:t xml:space="preserve">U.S. federal income </w:t>
      </w:r>
      <w:r>
        <w:t xml:space="preserve">tax rules applicable to many “derivative” transactions, including futures, forwards, </w:t>
      </w:r>
      <w:proofErr w:type="gramStart"/>
      <w:r>
        <w:t>swaps</w:t>
      </w:r>
      <w:proofErr w:type="gramEnd"/>
      <w:r>
        <w:t xml:space="preserve"> and contingent-payment debt instruments.</w:t>
      </w:r>
    </w:p>
    <w:p w14:paraId="1E6F714A" w14:textId="6C6AF580" w:rsidR="00CA08D3" w:rsidRDefault="00CA08D3" w:rsidP="00D86B17">
      <w:pPr>
        <w:numPr>
          <w:ilvl w:val="0"/>
          <w:numId w:val="11"/>
        </w:numPr>
        <w:spacing w:after="120"/>
      </w:pPr>
      <w:r>
        <w:t xml:space="preserve">The </w:t>
      </w:r>
      <w:r w:rsidR="00483B0D">
        <w:t xml:space="preserve">U.S. federal income </w:t>
      </w:r>
      <w:r>
        <w:t xml:space="preserve">tax rules applicable to certain </w:t>
      </w:r>
      <w:r w:rsidR="0040056C">
        <w:t xml:space="preserve">tax </w:t>
      </w:r>
      <w:r>
        <w:t xml:space="preserve">avoidance transactions, including wash sales, </w:t>
      </w:r>
      <w:proofErr w:type="gramStart"/>
      <w:r>
        <w:t>straddles</w:t>
      </w:r>
      <w:proofErr w:type="gramEnd"/>
      <w:r>
        <w:t xml:space="preserve"> and </w:t>
      </w:r>
      <w:r w:rsidR="00DE455F">
        <w:t>hedging transactions</w:t>
      </w:r>
      <w:r w:rsidR="00360E14">
        <w:t>.</w:t>
      </w:r>
    </w:p>
    <w:p w14:paraId="295F510C" w14:textId="54E3CE6B" w:rsidR="006A7B1E" w:rsidRDefault="006A7B1E" w:rsidP="006A7B1E">
      <w:pPr>
        <w:spacing w:after="120"/>
      </w:pPr>
      <w:r>
        <w:t xml:space="preserve">More generally, a principal objective of the course is to understand the financial aspects of these arrangements as well as their </w:t>
      </w:r>
      <w:r w:rsidR="00483B0D">
        <w:t xml:space="preserve">U.S. federal income </w:t>
      </w:r>
      <w:r>
        <w:t>tax aspects.</w:t>
      </w:r>
    </w:p>
    <w:p w14:paraId="3C416DEE" w14:textId="77777777" w:rsidR="0012035B" w:rsidRDefault="0012035B" w:rsidP="00FC352B">
      <w:pPr>
        <w:spacing w:after="120"/>
        <w:ind w:right="-187"/>
        <w:outlineLvl w:val="0"/>
      </w:pPr>
      <w:r>
        <w:rPr>
          <w:u w:val="single"/>
        </w:rPr>
        <w:t>Required Materials</w:t>
      </w:r>
      <w:r w:rsidR="00422E1B">
        <w:t>.</w:t>
      </w:r>
    </w:p>
    <w:p w14:paraId="238B39B6" w14:textId="39C3AD52" w:rsidR="0012035B" w:rsidRDefault="00826365" w:rsidP="0012035B">
      <w:pPr>
        <w:spacing w:after="120"/>
        <w:ind w:left="720" w:right="-187"/>
        <w:outlineLvl w:val="0"/>
      </w:pPr>
      <w:r w:rsidRPr="00826365">
        <w:rPr>
          <w:u w:val="single"/>
        </w:rPr>
        <w:t>IRC and Treasury Regulations</w:t>
      </w:r>
      <w:r>
        <w:t xml:space="preserve">. </w:t>
      </w:r>
      <w:r w:rsidR="00360E14">
        <w:t>These materials are available online.</w:t>
      </w:r>
    </w:p>
    <w:p w14:paraId="36ACD0D3" w14:textId="372D5A21" w:rsidR="00DE455F" w:rsidRDefault="00DE455F" w:rsidP="00DE455F">
      <w:pPr>
        <w:spacing w:after="120"/>
        <w:ind w:left="720" w:right="-187"/>
        <w:outlineLvl w:val="0"/>
      </w:pPr>
      <w:r w:rsidRPr="0012035B">
        <w:rPr>
          <w:u w:val="single"/>
        </w:rPr>
        <w:t>Texts</w:t>
      </w:r>
      <w:r>
        <w:t xml:space="preserve">. There is no required textbook to purchase for this course. Instead, we will read from portions of Bittker and Lokken, </w:t>
      </w:r>
      <w:r>
        <w:rPr>
          <w:u w:val="single"/>
        </w:rPr>
        <w:t>Federal Taxation of Income, Estates &amp; Gifts</w:t>
      </w:r>
      <w:r>
        <w:t xml:space="preserve"> (B&amp;L). It is available on Westlaw. The path on Westlaw is</w:t>
      </w:r>
      <w:r>
        <w:br/>
        <w:t>Home &gt; Secondary Sources &gt; Tax &gt; WG&amp;L &gt; Business Entities Treatises.</w:t>
      </w:r>
    </w:p>
    <w:p w14:paraId="1918E3C6" w14:textId="337BA4A2" w:rsidR="00826365" w:rsidRPr="00826365" w:rsidRDefault="00826365" w:rsidP="00826365">
      <w:pPr>
        <w:spacing w:after="120"/>
        <w:ind w:left="720" w:right="-187"/>
        <w:outlineLvl w:val="0"/>
      </w:pPr>
      <w:r w:rsidRPr="00826365">
        <w:rPr>
          <w:u w:val="single"/>
        </w:rPr>
        <w:t>Slides</w:t>
      </w:r>
      <w:r>
        <w:t xml:space="preserve">. PowerPoint Slides </w:t>
      </w:r>
      <w:r w:rsidR="00EB3EA9">
        <w:t>from</w:t>
      </w:r>
      <w:r>
        <w:t xml:space="preserve"> John </w:t>
      </w:r>
      <w:r w:rsidRPr="00826365">
        <w:t>Hull,</w:t>
      </w:r>
      <w:r>
        <w:t xml:space="preserve"> </w:t>
      </w:r>
      <w:r>
        <w:rPr>
          <w:u w:val="single"/>
        </w:rPr>
        <w:t>Options, Futures and Other Derivatives</w:t>
      </w:r>
      <w:r>
        <w:t xml:space="preserve"> (11</w:t>
      </w:r>
      <w:r w:rsidRPr="00826365">
        <w:rPr>
          <w:vertAlign w:val="superscript"/>
        </w:rPr>
        <w:t>th</w:t>
      </w:r>
      <w:r>
        <w:t xml:space="preserve"> ed.)</w:t>
      </w:r>
      <w:r w:rsidR="00E16A15">
        <w:t xml:space="preserve"> serve as background to some of the material as indicated on the schedule. The slides</w:t>
      </w:r>
      <w:r>
        <w:t xml:space="preserve"> are available</w:t>
      </w:r>
      <w:r w:rsidR="007C57D3">
        <w:t xml:space="preserve"> at no cost</w:t>
      </w:r>
      <w:r>
        <w:t xml:space="preserve"> </w:t>
      </w:r>
      <w:hyperlink r:id="rId7" w:history="1">
        <w:r w:rsidRPr="00826365">
          <w:rPr>
            <w:rStyle w:val="Hyperlink"/>
          </w:rPr>
          <w:t>here</w:t>
        </w:r>
      </w:hyperlink>
      <w:r>
        <w:t>.</w:t>
      </w:r>
    </w:p>
    <w:p w14:paraId="3F5F3795" w14:textId="4E256C76" w:rsidR="006A7B1E" w:rsidRDefault="00826365" w:rsidP="0012035B">
      <w:pPr>
        <w:spacing w:after="120"/>
        <w:ind w:left="720" w:right="-187"/>
        <w:outlineLvl w:val="0"/>
      </w:pPr>
      <w:r w:rsidRPr="00826365">
        <w:rPr>
          <w:u w:val="single"/>
        </w:rPr>
        <w:t>Financial Calculator</w:t>
      </w:r>
      <w:r>
        <w:t xml:space="preserve">. </w:t>
      </w:r>
      <w:r w:rsidR="006A7B1E">
        <w:t xml:space="preserve">You also should have and be able to use a financial calculator or an app, such as Excel, that enables you to calculate present and future values, </w:t>
      </w:r>
      <w:proofErr w:type="gramStart"/>
      <w:r w:rsidR="006A7B1E">
        <w:t>amortization</w:t>
      </w:r>
      <w:proofErr w:type="gramEnd"/>
      <w:r w:rsidR="006A7B1E">
        <w:t xml:space="preserve"> and other financial items.</w:t>
      </w:r>
      <w:r w:rsidR="0069200E">
        <w:t xml:space="preserve"> Websites that offer financial calculators include:</w:t>
      </w:r>
      <w:r w:rsidR="0069200E">
        <w:br/>
      </w:r>
      <w:hyperlink r:id="rId8" w:history="1">
        <w:r w:rsidR="0069200E" w:rsidRPr="00466FCF">
          <w:rPr>
            <w:rStyle w:val="Hyperlink"/>
          </w:rPr>
          <w:t>https://www.mortgagecalculator.org/calcs/bonds.php</w:t>
        </w:r>
      </w:hyperlink>
      <w:r w:rsidR="0069200E">
        <w:br/>
      </w:r>
      <w:hyperlink r:id="rId9" w:history="1">
        <w:r w:rsidR="0069200E" w:rsidRPr="00466FCF">
          <w:rPr>
            <w:rStyle w:val="Hyperlink"/>
          </w:rPr>
          <w:t>https://www.fncalculator.com/financialcalculator?type=bondCalculator</w:t>
        </w:r>
      </w:hyperlink>
    </w:p>
    <w:p w14:paraId="49213E54" w14:textId="77777777" w:rsidR="00AA37C3" w:rsidRDefault="000F3E36" w:rsidP="006A6799">
      <w:pPr>
        <w:keepNext/>
        <w:spacing w:after="120"/>
        <w:ind w:right="-187"/>
        <w:outlineLvl w:val="0"/>
      </w:pPr>
      <w:r>
        <w:rPr>
          <w:u w:val="single"/>
        </w:rPr>
        <w:t>Statement on Workload</w:t>
      </w:r>
      <w:r>
        <w:t>.</w:t>
      </w:r>
    </w:p>
    <w:p w14:paraId="4E70683C" w14:textId="1E7A9D28" w:rsidR="000F3E36" w:rsidRDefault="000F3E36" w:rsidP="00AA37C3">
      <w:pPr>
        <w:spacing w:after="120"/>
        <w:ind w:left="720" w:right="-187"/>
        <w:outlineLvl w:val="0"/>
      </w:pPr>
      <w:r>
        <w:t>Students should expect to spend, on average, at least two full hours preparing for every 5</w:t>
      </w:r>
      <w:r w:rsidR="00201B6E">
        <w:t>5</w:t>
      </w:r>
      <w:r w:rsidR="004D4357">
        <w:t xml:space="preserve"> </w:t>
      </w:r>
      <w:r>
        <w:t>minute</w:t>
      </w:r>
      <w:r w:rsidR="004D4357">
        <w:t>s</w:t>
      </w:r>
      <w:r>
        <w:t xml:space="preserve"> of class, and often more.</w:t>
      </w:r>
    </w:p>
    <w:p w14:paraId="23E0D3E4" w14:textId="77777777" w:rsidR="00A477C2" w:rsidRDefault="00A477C2" w:rsidP="00A477C2">
      <w:pPr>
        <w:keepNext/>
        <w:spacing w:after="120"/>
        <w:ind w:left="720" w:right="-187" w:hanging="720"/>
        <w:outlineLvl w:val="0"/>
      </w:pPr>
      <w:r>
        <w:rPr>
          <w:u w:val="single"/>
        </w:rPr>
        <w:t>Readings</w:t>
      </w:r>
      <w:r>
        <w:t>.</w:t>
      </w:r>
    </w:p>
    <w:p w14:paraId="032D9F4F" w14:textId="06A251B0" w:rsidR="00A477C2" w:rsidRDefault="00A477C2" w:rsidP="00A477C2">
      <w:pPr>
        <w:spacing w:after="120"/>
        <w:ind w:left="720" w:right="-187"/>
      </w:pPr>
      <w:r>
        <w:t xml:space="preserve">The attached schedule lists </w:t>
      </w:r>
      <w:r w:rsidR="00A75CA4">
        <w:t>readings</w:t>
      </w:r>
      <w:r>
        <w:t>. In addition, from time to time you may need to read other Code or Regulations sections to understand the material.</w:t>
      </w:r>
    </w:p>
    <w:p w14:paraId="04717E46" w14:textId="517BE9C8" w:rsidR="00B73596" w:rsidRPr="00B73596" w:rsidRDefault="00B73596" w:rsidP="00B73596">
      <w:pPr>
        <w:spacing w:after="120"/>
        <w:ind w:left="720" w:right="-187" w:hanging="720"/>
      </w:pPr>
      <w:r>
        <w:rPr>
          <w:u w:val="single"/>
        </w:rPr>
        <w:t>Problems</w:t>
      </w:r>
      <w:r>
        <w:t>.</w:t>
      </w:r>
    </w:p>
    <w:p w14:paraId="64A0552D" w14:textId="129B671C" w:rsidR="00A477C2" w:rsidRPr="00B73596" w:rsidRDefault="00B73596" w:rsidP="00A477C2">
      <w:pPr>
        <w:spacing w:after="120"/>
        <w:ind w:left="720" w:right="-187"/>
      </w:pPr>
      <w:r>
        <w:t xml:space="preserve">A set of problems </w:t>
      </w:r>
      <w:r w:rsidR="007C57D3">
        <w:t>is</w:t>
      </w:r>
      <w:r>
        <w:t xml:space="preserve"> </w:t>
      </w:r>
      <w:r w:rsidR="007C57D3">
        <w:t xml:space="preserve">typically </w:t>
      </w:r>
      <w:r>
        <w:t>assigned for class</w:t>
      </w:r>
      <w:r w:rsidR="006E3701">
        <w:t>.</w:t>
      </w:r>
      <w:r>
        <w:t xml:space="preserve"> These problems </w:t>
      </w:r>
      <w:r w:rsidR="007C57D3">
        <w:t>will be</w:t>
      </w:r>
      <w:r>
        <w:t xml:space="preserve"> posted on the course’s Canvas web page under the Assignments tab</w:t>
      </w:r>
      <w:r w:rsidR="007C57D3">
        <w:t xml:space="preserve"> at least one week before the class for which they are due</w:t>
      </w:r>
      <w:r>
        <w:t xml:space="preserve">. </w:t>
      </w:r>
      <w:r>
        <w:rPr>
          <w:u w:val="single"/>
        </w:rPr>
        <w:t>You are required to prepare the problems for class. You are NOT required to turn in your answers.</w:t>
      </w:r>
      <w:r>
        <w:t xml:space="preserve"> We will spend a significant portion of class time doing assigned problems.</w:t>
      </w:r>
    </w:p>
    <w:p w14:paraId="29568EB5" w14:textId="77777777" w:rsidR="00A477C2" w:rsidRDefault="00A477C2" w:rsidP="00A477C2">
      <w:pPr>
        <w:keepNext/>
        <w:spacing w:after="120"/>
        <w:ind w:left="720" w:right="-187" w:hanging="720"/>
        <w:outlineLvl w:val="0"/>
      </w:pPr>
      <w:r>
        <w:rPr>
          <w:u w:val="single"/>
        </w:rPr>
        <w:t>Attendance and Final Exam</w:t>
      </w:r>
      <w:r>
        <w:t>.</w:t>
      </w:r>
    </w:p>
    <w:p w14:paraId="78AD7211" w14:textId="77777777" w:rsidR="00A477C2" w:rsidRDefault="00A477C2" w:rsidP="00A477C2">
      <w:pPr>
        <w:spacing w:after="120"/>
        <w:ind w:left="720" w:right="-187"/>
      </w:pPr>
      <w:r>
        <w:t>You are expected to attend class. It is strongly recommended, but not required, that you take notes by hand.</w:t>
      </w:r>
    </w:p>
    <w:p w14:paraId="30FDFED9" w14:textId="3311D529" w:rsidR="00A477C2" w:rsidRPr="006E3701" w:rsidRDefault="00A477C2" w:rsidP="00A477C2">
      <w:pPr>
        <w:spacing w:after="120"/>
        <w:ind w:left="720" w:right="-187"/>
      </w:pPr>
      <w:r>
        <w:t xml:space="preserve">You are on call every class unless you notify me </w:t>
      </w:r>
      <w:r w:rsidRPr="00A92544">
        <w:rPr>
          <w:u w:val="single"/>
        </w:rPr>
        <w:t>before</w:t>
      </w:r>
      <w:r>
        <w:t xml:space="preserve"> class </w:t>
      </w:r>
      <w:r>
        <w:rPr>
          <w:u w:val="single"/>
        </w:rPr>
        <w:t>by email</w:t>
      </w:r>
      <w:r>
        <w:t xml:space="preserve"> that you would like to pass. Each student may take </w:t>
      </w:r>
      <w:r w:rsidR="00A75CA4">
        <w:rPr>
          <w:u w:val="single"/>
        </w:rPr>
        <w:t>one pass</w:t>
      </w:r>
      <w:r>
        <w:t xml:space="preserve"> </w:t>
      </w:r>
      <w:r w:rsidR="00400030">
        <w:t xml:space="preserve">at no penalty </w:t>
      </w:r>
      <w:r>
        <w:t>during the semester without offering any reason</w:t>
      </w:r>
      <w:r w:rsidR="00D86B17">
        <w:t xml:space="preserve"> (“</w:t>
      </w:r>
      <w:r w:rsidR="00201B6E">
        <w:t>free</w:t>
      </w:r>
      <w:r w:rsidR="00D86B17">
        <w:t xml:space="preserve"> pass”)</w:t>
      </w:r>
      <w:r>
        <w:t xml:space="preserve">. </w:t>
      </w:r>
      <w:r w:rsidR="00D86B17" w:rsidRPr="00835119">
        <w:rPr>
          <w:u w:val="single"/>
        </w:rPr>
        <w:t xml:space="preserve">There is no need to let me know </w:t>
      </w:r>
      <w:r w:rsidR="001179DD">
        <w:rPr>
          <w:u w:val="single"/>
        </w:rPr>
        <w:t>your</w:t>
      </w:r>
      <w:r w:rsidR="00D86B17" w:rsidRPr="00835119">
        <w:rPr>
          <w:u w:val="single"/>
        </w:rPr>
        <w:t xml:space="preserve"> reason for taking </w:t>
      </w:r>
      <w:r w:rsidR="00A75CA4">
        <w:rPr>
          <w:u w:val="single"/>
        </w:rPr>
        <w:t>the</w:t>
      </w:r>
      <w:r w:rsidR="00D86B17" w:rsidRPr="00835119">
        <w:rPr>
          <w:u w:val="single"/>
        </w:rPr>
        <w:t xml:space="preserve"> </w:t>
      </w:r>
      <w:r w:rsidR="00201B6E">
        <w:rPr>
          <w:u w:val="single"/>
        </w:rPr>
        <w:t>free</w:t>
      </w:r>
      <w:r w:rsidR="00D86B17" w:rsidRPr="00835119">
        <w:rPr>
          <w:u w:val="single"/>
        </w:rPr>
        <w:t xml:space="preserve"> pass</w:t>
      </w:r>
      <w:r w:rsidR="00D86B17">
        <w:t xml:space="preserve">. </w:t>
      </w:r>
      <w:r>
        <w:t xml:space="preserve">If you believe that you need to pass more frequently or on an extended basis, please </w:t>
      </w:r>
      <w:r w:rsidR="001179DD">
        <w:t>see</w:t>
      </w:r>
      <w:r>
        <w:t xml:space="preserve"> me outside of class or email me. </w:t>
      </w:r>
      <w:r w:rsidRPr="008C06F0">
        <w:rPr>
          <w:u w:val="single"/>
        </w:rPr>
        <w:t xml:space="preserve">Students who </w:t>
      </w:r>
      <w:r>
        <w:rPr>
          <w:u w:val="single"/>
        </w:rPr>
        <w:t>are</w:t>
      </w:r>
      <w:r w:rsidRPr="008C06F0">
        <w:rPr>
          <w:u w:val="single"/>
        </w:rPr>
        <w:t xml:space="preserve"> excused </w:t>
      </w:r>
      <w:proofErr w:type="gramStart"/>
      <w:r w:rsidR="00D86B17">
        <w:rPr>
          <w:u w:val="single"/>
        </w:rPr>
        <w:t>on the basis of</w:t>
      </w:r>
      <w:proofErr w:type="gramEnd"/>
      <w:r w:rsidR="00D86B17">
        <w:rPr>
          <w:u w:val="single"/>
        </w:rPr>
        <w:t xml:space="preserve"> a </w:t>
      </w:r>
      <w:r w:rsidR="00201B6E">
        <w:rPr>
          <w:u w:val="single"/>
        </w:rPr>
        <w:t>free</w:t>
      </w:r>
      <w:r w:rsidR="00D86B17">
        <w:rPr>
          <w:u w:val="single"/>
        </w:rPr>
        <w:t xml:space="preserve"> pass </w:t>
      </w:r>
      <w:r w:rsidRPr="008C06F0">
        <w:rPr>
          <w:u w:val="single"/>
        </w:rPr>
        <w:t>are effectively present as visitors and may not participate in the discussio</w:t>
      </w:r>
      <w:r>
        <w:rPr>
          <w:u w:val="single"/>
        </w:rPr>
        <w:t>n</w:t>
      </w:r>
      <w:r w:rsidR="006E3701">
        <w:t>.</w:t>
      </w:r>
    </w:p>
    <w:p w14:paraId="1B268A4D" w14:textId="1AC0F9FF" w:rsidR="00A477C2" w:rsidRDefault="00201B6E" w:rsidP="00A477C2">
      <w:pPr>
        <w:spacing w:after="240"/>
        <w:ind w:left="720" w:right="-180"/>
      </w:pPr>
      <w:r>
        <w:t>The final will be a limited open-book, in</w:t>
      </w:r>
      <w:r w:rsidR="00483B0D">
        <w:t>-</w:t>
      </w:r>
      <w:r>
        <w:t xml:space="preserve">class exam of approximately </w:t>
      </w:r>
      <w:r w:rsidR="00483B0D">
        <w:t>two</w:t>
      </w:r>
      <w:r>
        <w:t xml:space="preserve"> hours on a fixed date. The final will consist of </w:t>
      </w:r>
      <w:proofErr w:type="gramStart"/>
      <w:r>
        <w:t>multiple choice</w:t>
      </w:r>
      <w:proofErr w:type="gramEnd"/>
      <w:r>
        <w:t xml:space="preserve"> questions</w:t>
      </w:r>
      <w:r w:rsidR="00483B0D">
        <w:t>,</w:t>
      </w:r>
      <w:r>
        <w:t xml:space="preserve"> possibly one or more</w:t>
      </w:r>
      <w:r w:rsidR="00483B0D">
        <w:t xml:space="preserve"> short</w:t>
      </w:r>
      <w:r>
        <w:t xml:space="preserve"> essay questions</w:t>
      </w:r>
      <w:r w:rsidR="00483B0D">
        <w:t>, or both.</w:t>
      </w:r>
    </w:p>
    <w:p w14:paraId="303ACA81" w14:textId="1816FAD8" w:rsidR="00A41146" w:rsidRDefault="00A41146" w:rsidP="00A41146">
      <w:pPr>
        <w:spacing w:after="240"/>
        <w:ind w:left="720" w:right="-180" w:hanging="720"/>
      </w:pPr>
      <w:r w:rsidRPr="00571335">
        <w:rPr>
          <w:u w:val="single"/>
        </w:rPr>
        <w:t>Exam delays</w:t>
      </w:r>
      <w:r>
        <w:t xml:space="preserve">: </w:t>
      </w:r>
      <w:r w:rsidRPr="00571335">
        <w:t xml:space="preserve">The </w:t>
      </w:r>
      <w:r w:rsidR="005338EB">
        <w:t>L</w:t>
      </w:r>
      <w:r w:rsidRPr="00571335">
        <w:t xml:space="preserve">aw </w:t>
      </w:r>
      <w:r w:rsidR="005338EB">
        <w:t>S</w:t>
      </w:r>
      <w:r w:rsidRPr="00571335">
        <w:t xml:space="preserve">chool policy on exam delays and accommodations can be found </w:t>
      </w:r>
      <w:hyperlink r:id="rId10" w:history="1">
        <w:r w:rsidRPr="00571335">
          <w:rPr>
            <w:rStyle w:val="Hyperlink"/>
          </w:rPr>
          <w:t>here</w:t>
        </w:r>
      </w:hyperlink>
      <w:r w:rsidRPr="00571335">
        <w:t>.</w:t>
      </w:r>
    </w:p>
    <w:p w14:paraId="309459AE" w14:textId="77777777" w:rsidR="00A477C2" w:rsidRDefault="00A477C2" w:rsidP="00EE5264">
      <w:pPr>
        <w:keepNext/>
        <w:spacing w:after="120"/>
        <w:ind w:left="720" w:right="-187" w:hanging="720"/>
        <w:outlineLvl w:val="0"/>
      </w:pPr>
      <w:r>
        <w:rPr>
          <w:u w:val="single"/>
        </w:rPr>
        <w:t>Grading</w:t>
      </w:r>
      <w:r>
        <w:t>.</w:t>
      </w:r>
    </w:p>
    <w:p w14:paraId="438B3999" w14:textId="6B149E21" w:rsidR="00D12185" w:rsidRDefault="00D12185" w:rsidP="00D12185">
      <w:pPr>
        <w:spacing w:after="120"/>
        <w:ind w:left="720" w:right="-187"/>
        <w:outlineLvl w:val="0"/>
      </w:pPr>
      <w:r>
        <w:t xml:space="preserve">Grades will be awarded in accordance with the College of Law’s posted grading policy (available at </w:t>
      </w:r>
      <w:hyperlink r:id="rId11" w:history="1">
        <w:r w:rsidRPr="000E13A7">
          <w:rPr>
            <w:rStyle w:val="Hyperlink"/>
          </w:rPr>
          <w:t>https://www.law.ufl.edu/life-at-uf-law/office-of-student-affairs/current-students/academic-policies</w:t>
        </w:r>
      </w:hyperlink>
      <w:r>
        <w:t xml:space="preserve">). Grades are based primarily on performance on the final exam, but your grade may be adjusted upward or downward </w:t>
      </w:r>
      <w:r w:rsidR="00B73596">
        <w:t xml:space="preserve">up to </w:t>
      </w:r>
      <w:r w:rsidR="00483B0D">
        <w:rPr>
          <w:u w:val="single"/>
        </w:rPr>
        <w:t>two</w:t>
      </w:r>
      <w:r>
        <w:t xml:space="preserve"> step</w:t>
      </w:r>
      <w:r w:rsidR="00483B0D">
        <w:t>s</w:t>
      </w:r>
      <w:r>
        <w:t xml:space="preserve"> (e.g., B</w:t>
      </w:r>
      <w:r w:rsidR="007033F6">
        <w:t>+</w:t>
      </w:r>
      <w:r>
        <w:t xml:space="preserve"> to </w:t>
      </w:r>
      <w:r w:rsidR="00B73596">
        <w:t>A</w:t>
      </w:r>
      <w:r>
        <w:t xml:space="preserve">, or B to </w:t>
      </w:r>
      <w:r w:rsidR="00483B0D">
        <w:t>C+</w:t>
      </w:r>
      <w:r>
        <w:t xml:space="preserve">) based on class participation. In addition, </w:t>
      </w:r>
      <w:r w:rsidR="007033F6">
        <w:t xml:space="preserve">more than two </w:t>
      </w:r>
      <w:r>
        <w:t xml:space="preserve">unexcused absences or excessive passes can result in a reduction in your grade, and unexcused absences </w:t>
      </w:r>
      <w:r w:rsidR="00F01B1F">
        <w:t xml:space="preserve">from more than six hours of class (i.e., three full class meetings) </w:t>
      </w:r>
      <w:r>
        <w:t>will result in your being disallowed from taking the final exam and receiving a grade of E for the course.</w:t>
      </w:r>
    </w:p>
    <w:p w14:paraId="4F6A8B96" w14:textId="77777777" w:rsidR="00A477C2" w:rsidRDefault="00A477C2" w:rsidP="00A477C2">
      <w:pPr>
        <w:spacing w:after="120"/>
        <w:ind w:left="720" w:right="-187"/>
        <w:outlineLvl w:val="0"/>
      </w:pPr>
      <w:r>
        <w:lastRenderedPageBreak/>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2330"/>
        <w:gridCol w:w="2160"/>
      </w:tblGrid>
      <w:tr w:rsidR="00A477C2" w:rsidRPr="003146AB" w14:paraId="1938A6AD" w14:textId="77777777" w:rsidTr="00360DDC">
        <w:trPr>
          <w:cantSplit/>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9D13C" w14:textId="77777777" w:rsidR="00A477C2" w:rsidRPr="003146AB" w:rsidRDefault="00A477C2" w:rsidP="001D5971">
            <w:pPr>
              <w:keepNext/>
              <w:jc w:val="center"/>
            </w:pPr>
            <w:r w:rsidRPr="003146AB">
              <w:rPr>
                <w:b/>
                <w:bCs/>
              </w:rPr>
              <w:t>Letter Grade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CB92B" w14:textId="77777777" w:rsidR="00A477C2" w:rsidRPr="003146AB" w:rsidRDefault="00A477C2" w:rsidP="001D5971">
            <w:pPr>
              <w:keepNext/>
              <w:jc w:val="center"/>
            </w:pPr>
            <w:r w:rsidRPr="003146AB">
              <w:rPr>
                <w:b/>
                <w:bCs/>
              </w:rPr>
              <w:t>Point Equivalent</w:t>
            </w:r>
          </w:p>
        </w:tc>
      </w:tr>
      <w:tr w:rsidR="00A477C2" w:rsidRPr="003146AB" w14:paraId="62341F34"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FEA9" w14:textId="77777777" w:rsidR="00A477C2" w:rsidRPr="003146AB" w:rsidRDefault="00A477C2" w:rsidP="00612693">
            <w:pPr>
              <w:keepNext/>
              <w:rPr>
                <w:sz w:val="22"/>
                <w:szCs w:val="22"/>
              </w:rPr>
            </w:pPr>
            <w:r w:rsidRPr="003146AB">
              <w:rPr>
                <w:sz w:val="22"/>
                <w:szCs w:val="22"/>
              </w:rPr>
              <w:t>A (Excellent)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05C5BA2" w14:textId="77777777" w:rsidR="00A477C2" w:rsidRPr="003146AB" w:rsidRDefault="00A477C2" w:rsidP="00612693">
            <w:pPr>
              <w:keepNext/>
              <w:rPr>
                <w:sz w:val="22"/>
                <w:szCs w:val="22"/>
              </w:rPr>
            </w:pPr>
            <w:r w:rsidRPr="003146AB">
              <w:rPr>
                <w:sz w:val="22"/>
                <w:szCs w:val="22"/>
              </w:rPr>
              <w:t>4.0</w:t>
            </w:r>
          </w:p>
        </w:tc>
      </w:tr>
      <w:tr w:rsidR="00A477C2" w:rsidRPr="003146AB" w14:paraId="4BC285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E076E" w14:textId="77777777" w:rsidR="00A477C2" w:rsidRPr="003146AB" w:rsidRDefault="00A477C2" w:rsidP="00612693">
            <w:pPr>
              <w:keepNext/>
              <w:rPr>
                <w:sz w:val="22"/>
                <w:szCs w:val="22"/>
              </w:rPr>
            </w:pPr>
            <w:r w:rsidRPr="003146AB">
              <w:rPr>
                <w:sz w:val="22"/>
                <w:szCs w:val="22"/>
              </w:rPr>
              <w:t>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D8FABE7" w14:textId="77777777" w:rsidR="00A477C2" w:rsidRPr="003146AB" w:rsidRDefault="00A477C2" w:rsidP="00612693">
            <w:pPr>
              <w:keepNext/>
              <w:rPr>
                <w:sz w:val="22"/>
                <w:szCs w:val="22"/>
              </w:rPr>
            </w:pPr>
            <w:r w:rsidRPr="003146AB">
              <w:rPr>
                <w:sz w:val="22"/>
                <w:szCs w:val="22"/>
              </w:rPr>
              <w:t>3.67</w:t>
            </w:r>
          </w:p>
        </w:tc>
      </w:tr>
      <w:tr w:rsidR="00A477C2" w:rsidRPr="003146AB" w14:paraId="36CB5E8D"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6007"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1E9874" w14:textId="77777777" w:rsidR="00A477C2" w:rsidRPr="003146AB" w:rsidRDefault="00A477C2" w:rsidP="00612693">
            <w:pPr>
              <w:keepNext/>
              <w:rPr>
                <w:sz w:val="22"/>
                <w:szCs w:val="22"/>
              </w:rPr>
            </w:pPr>
            <w:r w:rsidRPr="003146AB">
              <w:rPr>
                <w:sz w:val="22"/>
                <w:szCs w:val="22"/>
              </w:rPr>
              <w:t>3.33</w:t>
            </w:r>
          </w:p>
        </w:tc>
      </w:tr>
      <w:tr w:rsidR="00A477C2" w:rsidRPr="003146AB" w14:paraId="6F7746C8"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264F" w14:textId="4CC22151" w:rsidR="00A477C2" w:rsidRPr="003146AB" w:rsidRDefault="00A477C2" w:rsidP="00612693">
            <w:pPr>
              <w:keepNext/>
              <w:rPr>
                <w:sz w:val="22"/>
                <w:szCs w:val="22"/>
              </w:rPr>
            </w:pPr>
            <w:r w:rsidRPr="003146AB">
              <w:rPr>
                <w:sz w:val="22"/>
                <w:szCs w:val="22"/>
              </w:rPr>
              <w:t>B</w:t>
            </w:r>
            <w:r w:rsidR="00A669D0">
              <w:rPr>
                <w:sz w:val="22"/>
                <w:szCs w:val="22"/>
              </w:rPr>
              <w:t xml:space="preserve"> (Good)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E856B6E" w14:textId="77777777" w:rsidR="00A477C2" w:rsidRPr="003146AB" w:rsidRDefault="00A477C2" w:rsidP="00612693">
            <w:pPr>
              <w:keepNext/>
              <w:rPr>
                <w:sz w:val="22"/>
                <w:szCs w:val="22"/>
              </w:rPr>
            </w:pPr>
            <w:r w:rsidRPr="003146AB">
              <w:rPr>
                <w:sz w:val="22"/>
                <w:szCs w:val="22"/>
              </w:rPr>
              <w:t>3.0</w:t>
            </w:r>
          </w:p>
        </w:tc>
      </w:tr>
      <w:tr w:rsidR="00A477C2" w:rsidRPr="003146AB" w14:paraId="5D495C02"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34F1B"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5EA0BE" w14:textId="77777777" w:rsidR="00A477C2" w:rsidRPr="003146AB" w:rsidRDefault="00A477C2" w:rsidP="00612693">
            <w:pPr>
              <w:keepNext/>
              <w:rPr>
                <w:sz w:val="22"/>
                <w:szCs w:val="22"/>
              </w:rPr>
            </w:pPr>
            <w:r w:rsidRPr="003146AB">
              <w:rPr>
                <w:sz w:val="22"/>
                <w:szCs w:val="22"/>
              </w:rPr>
              <w:t>2.67</w:t>
            </w:r>
          </w:p>
        </w:tc>
      </w:tr>
      <w:tr w:rsidR="00A477C2" w:rsidRPr="003146AB" w14:paraId="2494941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A166"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4BBCBD" w14:textId="77777777" w:rsidR="00A477C2" w:rsidRPr="003146AB" w:rsidRDefault="00A477C2" w:rsidP="00612693">
            <w:pPr>
              <w:keepNext/>
              <w:rPr>
                <w:sz w:val="22"/>
                <w:szCs w:val="22"/>
              </w:rPr>
            </w:pPr>
            <w:r w:rsidRPr="003146AB">
              <w:rPr>
                <w:sz w:val="22"/>
                <w:szCs w:val="22"/>
              </w:rPr>
              <w:t>2.33</w:t>
            </w:r>
          </w:p>
        </w:tc>
      </w:tr>
      <w:tr w:rsidR="00A477C2" w:rsidRPr="003146AB" w14:paraId="08B14AC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168A7" w14:textId="77777777" w:rsidR="00A477C2" w:rsidRPr="003146AB" w:rsidRDefault="00A477C2" w:rsidP="00612693">
            <w:pPr>
              <w:keepNext/>
              <w:rPr>
                <w:sz w:val="22"/>
                <w:szCs w:val="22"/>
              </w:rPr>
            </w:pPr>
            <w:r w:rsidRPr="003146AB">
              <w:rPr>
                <w:sz w:val="22"/>
                <w:szCs w:val="22"/>
              </w:rPr>
              <w:t>C (Satisfactory)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18C103" w14:textId="77777777" w:rsidR="00A477C2" w:rsidRPr="003146AB" w:rsidRDefault="00A477C2" w:rsidP="00612693">
            <w:pPr>
              <w:keepNext/>
              <w:rPr>
                <w:sz w:val="22"/>
                <w:szCs w:val="22"/>
              </w:rPr>
            </w:pPr>
            <w:r w:rsidRPr="003146AB">
              <w:rPr>
                <w:sz w:val="22"/>
                <w:szCs w:val="22"/>
              </w:rPr>
              <w:t>2.0</w:t>
            </w:r>
          </w:p>
        </w:tc>
      </w:tr>
      <w:tr w:rsidR="00A477C2" w:rsidRPr="003146AB" w14:paraId="378DE8E6"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D6EF"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07B5C3A" w14:textId="77777777" w:rsidR="00A477C2" w:rsidRPr="003146AB" w:rsidRDefault="00A477C2" w:rsidP="00612693">
            <w:pPr>
              <w:keepNext/>
              <w:rPr>
                <w:sz w:val="22"/>
                <w:szCs w:val="22"/>
              </w:rPr>
            </w:pPr>
            <w:r w:rsidRPr="003146AB">
              <w:rPr>
                <w:sz w:val="22"/>
                <w:szCs w:val="22"/>
              </w:rPr>
              <w:t>1.67</w:t>
            </w:r>
          </w:p>
        </w:tc>
      </w:tr>
      <w:tr w:rsidR="00A477C2" w:rsidRPr="003146AB" w14:paraId="5A25803B"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9280"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FD1542" w14:textId="77777777" w:rsidR="00A477C2" w:rsidRPr="003146AB" w:rsidRDefault="00A477C2" w:rsidP="00612693">
            <w:pPr>
              <w:keepNext/>
              <w:rPr>
                <w:sz w:val="22"/>
                <w:szCs w:val="22"/>
              </w:rPr>
            </w:pPr>
            <w:r w:rsidRPr="003146AB">
              <w:rPr>
                <w:sz w:val="22"/>
                <w:szCs w:val="22"/>
              </w:rPr>
              <w:t>1.33</w:t>
            </w:r>
          </w:p>
        </w:tc>
      </w:tr>
      <w:tr w:rsidR="00A477C2" w:rsidRPr="003146AB" w14:paraId="6A788201"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54FFE" w14:textId="77777777" w:rsidR="00A477C2" w:rsidRPr="003146AB" w:rsidRDefault="00A477C2" w:rsidP="00612693">
            <w:pPr>
              <w:keepNext/>
              <w:rPr>
                <w:sz w:val="22"/>
                <w:szCs w:val="22"/>
              </w:rPr>
            </w:pPr>
            <w:r w:rsidRPr="003146AB">
              <w:rPr>
                <w:sz w:val="22"/>
                <w:szCs w:val="22"/>
              </w:rPr>
              <w:t>D (Poor)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5CAA714" w14:textId="77777777" w:rsidR="00A477C2" w:rsidRPr="003146AB" w:rsidRDefault="00A477C2" w:rsidP="00612693">
            <w:pPr>
              <w:keepNext/>
              <w:rPr>
                <w:sz w:val="22"/>
                <w:szCs w:val="22"/>
              </w:rPr>
            </w:pPr>
            <w:r w:rsidRPr="003146AB">
              <w:rPr>
                <w:sz w:val="22"/>
                <w:szCs w:val="22"/>
              </w:rPr>
              <w:t>1.0</w:t>
            </w:r>
          </w:p>
        </w:tc>
      </w:tr>
      <w:tr w:rsidR="00A477C2" w:rsidRPr="003146AB" w14:paraId="5BA522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551A"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6DA022" w14:textId="77777777" w:rsidR="00A477C2" w:rsidRPr="003146AB" w:rsidRDefault="00A477C2" w:rsidP="00612693">
            <w:pPr>
              <w:keepNext/>
              <w:rPr>
                <w:sz w:val="22"/>
                <w:szCs w:val="22"/>
              </w:rPr>
            </w:pPr>
            <w:r w:rsidRPr="003146AB">
              <w:rPr>
                <w:sz w:val="22"/>
                <w:szCs w:val="22"/>
              </w:rPr>
              <w:t>0.67</w:t>
            </w:r>
          </w:p>
        </w:tc>
      </w:tr>
      <w:tr w:rsidR="00A477C2" w:rsidRPr="003146AB" w14:paraId="2CAFDA8F"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7768" w14:textId="77777777" w:rsidR="00A477C2" w:rsidRPr="003146AB" w:rsidRDefault="00A477C2" w:rsidP="00612693">
            <w:pPr>
              <w:keepNext/>
              <w:rPr>
                <w:sz w:val="22"/>
                <w:szCs w:val="22"/>
              </w:rPr>
            </w:pPr>
            <w:r w:rsidRPr="003146AB">
              <w:rPr>
                <w:sz w:val="22"/>
                <w:szCs w:val="22"/>
              </w:rPr>
              <w:t>E (Failure)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A1CC49F" w14:textId="77777777" w:rsidR="00A477C2" w:rsidRPr="003146AB" w:rsidRDefault="00A477C2" w:rsidP="00612693">
            <w:pPr>
              <w:keepNext/>
              <w:rPr>
                <w:sz w:val="22"/>
                <w:szCs w:val="22"/>
              </w:rPr>
            </w:pPr>
            <w:r w:rsidRPr="003146AB">
              <w:rPr>
                <w:sz w:val="22"/>
                <w:szCs w:val="22"/>
              </w:rPr>
              <w:t>0.0</w:t>
            </w:r>
            <w:r w:rsidRPr="006662F0">
              <w:rPr>
                <w:sz w:val="22"/>
                <w:szCs w:val="22"/>
              </w:rPr>
              <w:t> </w:t>
            </w:r>
          </w:p>
        </w:tc>
      </w:tr>
    </w:tbl>
    <w:p w14:paraId="5A1236F8" w14:textId="77777777" w:rsidR="00B77324" w:rsidRPr="000E5955" w:rsidRDefault="00B77324" w:rsidP="00B77324">
      <w:pPr>
        <w:spacing w:before="120" w:after="120"/>
        <w:ind w:left="720" w:right="-187"/>
        <w:outlineLvl w:val="0"/>
        <w:rPr>
          <w:b/>
        </w:rPr>
      </w:pPr>
      <w:r>
        <w:rPr>
          <w:b/>
        </w:rPr>
        <w:t xml:space="preserve">Note that the mandatory Law School mean does </w:t>
      </w:r>
      <w:r w:rsidRPr="000E5955">
        <w:rPr>
          <w:b/>
          <w:u w:val="single"/>
        </w:rPr>
        <w:t>not</w:t>
      </w:r>
      <w:r>
        <w:rPr>
          <w:b/>
        </w:rPr>
        <w:t xml:space="preserve"> apply to LLM students.</w:t>
      </w:r>
    </w:p>
    <w:p w14:paraId="1B867F11" w14:textId="77777777" w:rsidR="00A477C2" w:rsidRDefault="00A477C2" w:rsidP="00A477C2">
      <w:pPr>
        <w:spacing w:after="120"/>
        <w:ind w:left="720" w:right="-187" w:hanging="720"/>
        <w:outlineLvl w:val="0"/>
      </w:pPr>
      <w:r>
        <w:rPr>
          <w:u w:val="single"/>
        </w:rPr>
        <w:t>Office Hours</w:t>
      </w:r>
      <w:r>
        <w:t>.</w:t>
      </w:r>
    </w:p>
    <w:p w14:paraId="11C580A0" w14:textId="3B908E24" w:rsidR="00A477C2" w:rsidRDefault="00483B0D" w:rsidP="00A477C2">
      <w:pPr>
        <w:spacing w:after="240"/>
        <w:ind w:left="720" w:right="-180"/>
      </w:pPr>
      <w:r>
        <w:t>Thursdays, 1:05 to 2:45</w:t>
      </w:r>
      <w:r w:rsidR="00A477C2">
        <w:t xml:space="preserve">, and by appointment. I strongly encourage you to see me if you have questions about the material. I </w:t>
      </w:r>
      <w:r w:rsidR="00007CF6">
        <w:t xml:space="preserve">am </w:t>
      </w:r>
      <w:r w:rsidR="00A477C2">
        <w:t>also happy to discuss any aspect of tax law or tax practice with you.</w:t>
      </w:r>
    </w:p>
    <w:p w14:paraId="3FEAD62C" w14:textId="77777777" w:rsidR="00E34DFC" w:rsidRDefault="00E34DFC" w:rsidP="00E34DFC">
      <w:pPr>
        <w:keepNext/>
        <w:spacing w:after="120"/>
        <w:ind w:left="720" w:right="-187" w:hanging="720"/>
        <w:outlineLvl w:val="0"/>
      </w:pPr>
      <w:r>
        <w:rPr>
          <w:u w:val="single"/>
        </w:rPr>
        <w:t>Course Policies</w:t>
      </w:r>
      <w:r w:rsidRPr="00C246C4">
        <w:t>.</w:t>
      </w:r>
    </w:p>
    <w:p w14:paraId="2F2722F0" w14:textId="77777777" w:rsidR="00E34DFC" w:rsidRPr="00CD10DE" w:rsidRDefault="00E34DFC" w:rsidP="00E34DFC">
      <w:pPr>
        <w:pStyle w:val="BodyText"/>
        <w:numPr>
          <w:ilvl w:val="0"/>
          <w:numId w:val="8"/>
        </w:numPr>
        <w:tabs>
          <w:tab w:val="clear" w:pos="720"/>
        </w:tabs>
        <w:spacing w:after="120"/>
      </w:pPr>
      <w:r>
        <w:rPr>
          <w:u w:val="single"/>
        </w:rPr>
        <w:t>Accommodations</w:t>
      </w:r>
      <w:r>
        <w:t xml:space="preserve">. </w:t>
      </w:r>
      <w:r w:rsidRPr="00E27577">
        <w:t xml:space="preserve">Students requesting accommodation for disabilities must first register with the Dean of Students Office </w:t>
      </w:r>
      <w:r w:rsidRPr="0075423B">
        <w:t>(</w:t>
      </w:r>
      <w:hyperlink r:id="rId12" w:history="1">
        <w:r w:rsidRPr="0075423B">
          <w:rPr>
            <w:rStyle w:val="Hyperlink"/>
          </w:rPr>
          <w:t>http</w:t>
        </w:r>
      </w:hyperlink>
      <w:hyperlink r:id="rId13" w:history="1">
        <w:r w:rsidRPr="0075423B">
          <w:rPr>
            <w:rStyle w:val="Hyperlink"/>
          </w:rPr>
          <w:t>://</w:t>
        </w:r>
      </w:hyperlink>
      <w:hyperlink r:id="rId14" w:history="1">
        <w:r w:rsidRPr="0075423B">
          <w:rPr>
            <w:rStyle w:val="Hyperlink"/>
          </w:rPr>
          <w:t>www</w:t>
        </w:r>
      </w:hyperlink>
      <w:hyperlink r:id="rId15" w:history="1">
        <w:r w:rsidRPr="0075423B">
          <w:rPr>
            <w:rStyle w:val="Hyperlink"/>
          </w:rPr>
          <w:t>.</w:t>
        </w:r>
      </w:hyperlink>
      <w:hyperlink r:id="rId16" w:history="1">
        <w:r w:rsidRPr="0075423B">
          <w:rPr>
            <w:rStyle w:val="Hyperlink"/>
          </w:rPr>
          <w:t>ds</w:t>
        </w:r>
      </w:hyperlink>
      <w:hyperlink r:id="rId17" w:history="1">
        <w:r w:rsidRPr="0075423B">
          <w:rPr>
            <w:rStyle w:val="Hyperlink"/>
          </w:rPr>
          <w:t>o</w:t>
        </w:r>
      </w:hyperlink>
      <w:hyperlink r:id="rId18" w:history="1">
        <w:r w:rsidRPr="0075423B">
          <w:rPr>
            <w:rStyle w:val="Hyperlink"/>
          </w:rPr>
          <w:t>.</w:t>
        </w:r>
      </w:hyperlink>
      <w:hyperlink r:id="rId19" w:history="1">
        <w:r w:rsidRPr="0075423B">
          <w:rPr>
            <w:rStyle w:val="Hyperlink"/>
          </w:rPr>
          <w:t>ufl</w:t>
        </w:r>
      </w:hyperlink>
      <w:hyperlink r:id="rId20" w:history="1">
        <w:r w:rsidRPr="0075423B">
          <w:rPr>
            <w:rStyle w:val="Hyperlink"/>
          </w:rPr>
          <w:t>.</w:t>
        </w:r>
      </w:hyperlink>
      <w:hyperlink r:id="rId21" w:history="1">
        <w:r w:rsidRPr="0075423B">
          <w:rPr>
            <w:rStyle w:val="Hyperlink"/>
          </w:rPr>
          <w:t>edu</w:t>
        </w:r>
      </w:hyperlink>
      <w:hyperlink r:id="rId22" w:history="1">
        <w:r w:rsidRPr="0075423B">
          <w:rPr>
            <w:rStyle w:val="Hyperlink"/>
          </w:rPr>
          <w:t>/</w:t>
        </w:r>
      </w:hyperlink>
      <w:hyperlink r:id="rId23" w:history="1">
        <w:r w:rsidRPr="0075423B">
          <w:rPr>
            <w:rStyle w:val="Hyperlink"/>
          </w:rPr>
          <w:t>drc</w:t>
        </w:r>
      </w:hyperlink>
      <w:hyperlink r:id="rId24" w:history="1">
        <w:r w:rsidRPr="0075423B">
          <w:rPr>
            <w:rStyle w:val="Hyperlink"/>
          </w:rPr>
          <w:t>/</w:t>
        </w:r>
      </w:hyperlink>
      <w:r w:rsidRPr="0075423B">
        <w:t>).</w:t>
      </w:r>
      <w:r w:rsidRPr="00E27577">
        <w:t xml:space="preserve"> The Dean of Students Office will </w:t>
      </w:r>
      <w:r w:rsidRPr="00F872D1">
        <w:t>provide</w:t>
      </w:r>
      <w:r w:rsidRPr="00E27577">
        <w:t xml:space="preserve"> documentation to the student</w:t>
      </w:r>
      <w:r>
        <w:t>,</w:t>
      </w:r>
      <w:r w:rsidRPr="00E27577">
        <w:t xml:space="preserve"> who must then pr</w:t>
      </w:r>
      <w:r>
        <w:t xml:space="preserve">ovide this documentation to Student Affairs (Dean Rachel Inman) </w:t>
      </w:r>
      <w:r w:rsidRPr="00E27577">
        <w:t>when requesting accommodation. You must submit this documentation prior to submitting assignments or taking the quizzes or exams. Accom</w:t>
      </w:r>
      <w:r>
        <w:t>modations are not retroactive. T</w:t>
      </w:r>
      <w:r w:rsidRPr="00E27577">
        <w:t>herefore, students should contact the office as soon as possible in the term for which t</w:t>
      </w:r>
      <w:r>
        <w:t>hey are seeking accommodations.</w:t>
      </w:r>
    </w:p>
    <w:p w14:paraId="0B741992" w14:textId="77777777" w:rsidR="00E34DFC" w:rsidRPr="00E27577" w:rsidRDefault="00E34DFC" w:rsidP="00E34DFC">
      <w:pPr>
        <w:pStyle w:val="ListParagraph"/>
        <w:numPr>
          <w:ilvl w:val="0"/>
          <w:numId w:val="8"/>
        </w:numPr>
        <w:tabs>
          <w:tab w:val="clear" w:pos="720"/>
        </w:tabs>
        <w:spacing w:after="120"/>
      </w:pPr>
      <w:r w:rsidRPr="00B473DA">
        <w:rPr>
          <w:rFonts w:eastAsia="Calibri" w:cs="Calibri"/>
          <w:u w:val="single"/>
        </w:rPr>
        <w:t>University Policy on Academic Misconduct</w:t>
      </w:r>
      <w:r w:rsidRPr="00B473DA">
        <w:rPr>
          <w:rFonts w:eastAsia="Calibri" w:cs="Calibri"/>
        </w:rPr>
        <w:t xml:space="preserve">. </w:t>
      </w:r>
      <w:r w:rsidRPr="00B473DA">
        <w:rPr>
          <w:rFonts w:eastAsia="Calibri"/>
        </w:rPr>
        <w:t>A</w:t>
      </w:r>
      <w:r w:rsidRPr="00E27577">
        <w:t xml:space="preserve">cademic honesty and integrity are fundamental values of the University community. Students should be sure that they understand </w:t>
      </w:r>
      <w:r>
        <w:t xml:space="preserve">and comply with </w:t>
      </w:r>
      <w:r w:rsidRPr="00E27577">
        <w:t>the UF Student Honor Code</w:t>
      </w:r>
      <w:r>
        <w:t>, available</w:t>
      </w:r>
      <w:r w:rsidRPr="00E27577">
        <w:t xml:space="preserve"> at</w:t>
      </w:r>
      <w:r>
        <w:t xml:space="preserve">: </w:t>
      </w:r>
      <w:hyperlink r:id="rId25" w:history="1">
        <w:r w:rsidRPr="000E13A7">
          <w:rPr>
            <w:rStyle w:val="Hyperlink"/>
          </w:rPr>
          <w:t>https://www.dso.ufl.edu/%20sccr/process/student-conduct-honor-code</w:t>
        </w:r>
      </w:hyperlink>
      <w:r w:rsidRPr="00E27577">
        <w:t>.</w:t>
      </w:r>
      <w:r>
        <w:t xml:space="preserve"> Failure to comply can result in sanctions, as described in the UF Student Honor Code.</w:t>
      </w:r>
    </w:p>
    <w:p w14:paraId="0005BB5A" w14:textId="77777777" w:rsidR="00E34DFC" w:rsidRDefault="00E34DFC" w:rsidP="00E34DFC">
      <w:pPr>
        <w:pStyle w:val="BodyText"/>
        <w:numPr>
          <w:ilvl w:val="0"/>
          <w:numId w:val="8"/>
        </w:numPr>
        <w:tabs>
          <w:tab w:val="clear" w:pos="720"/>
        </w:tabs>
        <w:spacing w:after="120"/>
      </w:pPr>
      <w:r w:rsidRPr="009C568D">
        <w:rPr>
          <w:rFonts w:eastAsia="Calibri" w:cs="Calibri"/>
          <w:u w:val="single"/>
        </w:rPr>
        <w:t>Netiquette: Common Courtesy</w:t>
      </w:r>
      <w:r w:rsidRPr="009C568D">
        <w:rPr>
          <w:rFonts w:eastAsia="Calibri" w:cs="Calibri"/>
        </w:rPr>
        <w:t xml:space="preserve">. </w:t>
      </w:r>
      <w:r w:rsidRPr="00E27577">
        <w:t xml:space="preserve">All members of the class are expected to follow rules of common courtesy in all email messages, threaded </w:t>
      </w:r>
      <w:proofErr w:type="gramStart"/>
      <w:r w:rsidRPr="00E27577">
        <w:t>discussions</w:t>
      </w:r>
      <w:proofErr w:type="gramEnd"/>
      <w:r w:rsidRPr="00E27577">
        <w:t xml:space="preserve"> and chats. </w:t>
      </w:r>
      <w:r>
        <w:t xml:space="preserve">They also are advised to adhere to the guidelines and rules set forth in the University’s policy, available at </w:t>
      </w:r>
      <w:hyperlink r:id="rId26" w:history="1">
        <w:r w:rsidRPr="000E13A7">
          <w:rPr>
            <w:rStyle w:val="Hyperlink"/>
          </w:rPr>
          <w:t>http://teach.ufl.edu/wp-content/uploads/2012/08/NetiquetteGuideforOnlineCourses.pdf</w:t>
        </w:r>
      </w:hyperlink>
      <w:r>
        <w:t>. Students who consistently or intentionally fail to follow these rules may be subject to discipline, including but not limited to grade reduction and referral to the Law School or University for further disciplinary action.</w:t>
      </w:r>
    </w:p>
    <w:p w14:paraId="76F11FD8" w14:textId="77777777" w:rsidR="00E34DFC" w:rsidRPr="0012583F" w:rsidRDefault="00E34DFC" w:rsidP="00E34DFC">
      <w:pPr>
        <w:pStyle w:val="BodyText"/>
        <w:numPr>
          <w:ilvl w:val="0"/>
          <w:numId w:val="8"/>
        </w:numPr>
        <w:tabs>
          <w:tab w:val="clear" w:pos="720"/>
        </w:tabs>
        <w:spacing w:after="120"/>
      </w:pPr>
      <w:r w:rsidRPr="0012583F">
        <w:rPr>
          <w:bCs/>
          <w:szCs w:val="22"/>
          <w:u w:val="single"/>
        </w:rPr>
        <w:lastRenderedPageBreak/>
        <w:t>Recordings of Class</w:t>
      </w:r>
      <w:r w:rsidRPr="0012583F">
        <w:rPr>
          <w:rFonts w:eastAsia="Baskerville Old Face"/>
          <w:bCs/>
          <w:color w:val="323130"/>
          <w:szCs w:val="22"/>
        </w:rPr>
        <w:t xml:space="preserve">. All classes will be recorded via </w:t>
      </w:r>
      <w:proofErr w:type="spellStart"/>
      <w:r w:rsidRPr="0012583F">
        <w:rPr>
          <w:rFonts w:eastAsia="Baskerville Old Face"/>
          <w:bCs/>
          <w:color w:val="323130"/>
          <w:szCs w:val="22"/>
        </w:rPr>
        <w:t>Mediasite</w:t>
      </w:r>
      <w:proofErr w:type="spellEnd"/>
      <w:r w:rsidRPr="0012583F">
        <w:rPr>
          <w:rFonts w:eastAsia="Baskerville Old Face"/>
          <w:bCs/>
          <w:color w:val="323130"/>
          <w:szCs w:val="22"/>
        </w:rPr>
        <w:t xml:space="preserve"> in case students</w:t>
      </w:r>
      <w:r w:rsidRPr="003D554C">
        <w:rPr>
          <w:rFonts w:eastAsia="Baskerville Old Face"/>
          <w:color w:val="323130"/>
          <w:szCs w:val="22"/>
        </w:rPr>
        <w:t xml:space="preserve"> must miss class for health reasons. The Office of Student Affairs will work with faculty to determine when students may have access to these recordings, and the recordings will be password protected. </w:t>
      </w:r>
      <w:r w:rsidRPr="003D554C">
        <w:rPr>
          <w:color w:val="201F1E"/>
          <w:szCs w:val="22"/>
        </w:rPr>
        <w:t>It is the student’s responsibility to contact the Office of Student Affairs as soon as possible after an absence.</w:t>
      </w:r>
    </w:p>
    <w:p w14:paraId="1B5F8B7F" w14:textId="77777777" w:rsidR="00E34DFC" w:rsidRPr="0012583F" w:rsidRDefault="00E34DFC" w:rsidP="00E34DFC">
      <w:pPr>
        <w:pStyle w:val="BodyText"/>
        <w:numPr>
          <w:ilvl w:val="0"/>
          <w:numId w:val="8"/>
        </w:numPr>
        <w:tabs>
          <w:tab w:val="clear" w:pos="720"/>
        </w:tabs>
        <w:spacing w:after="120"/>
      </w:pPr>
      <w:r w:rsidRPr="0012583F">
        <w:rPr>
          <w:u w:val="single"/>
        </w:rPr>
        <w:t>Online Course Evaluation</w:t>
      </w:r>
      <w:r w:rsidRPr="0012583F">
        <w:t xml:space="preserve">. Students are expected to provide feedback on the quality of instruction in this course by completing online evaluations at </w:t>
      </w:r>
      <w:hyperlink r:id="rId27" w:history="1">
        <w:r w:rsidRPr="0012583F">
          <w:rPr>
            <w:rStyle w:val="Hyperlink"/>
          </w:rPr>
          <w:t>https://evaluations.ufl.edu</w:t>
        </w:r>
      </w:hyperlink>
      <w:r w:rsidRPr="0012583F">
        <w:t xml:space="preserve">. Evaluations are typically open during the last two or three weeks of the semester, but students will be given specific times when they are open. Summary results of these assessments are available to students at </w:t>
      </w:r>
      <w:hyperlink r:id="rId28" w:history="1">
        <w:r w:rsidRPr="0012583F">
          <w:rPr>
            <w:rStyle w:val="Hyperlink"/>
          </w:rPr>
          <w:t>https://evaluations.ufl.edu/results/</w:t>
        </w:r>
      </w:hyperlink>
      <w:r w:rsidRPr="0012583F">
        <w:t>.</w:t>
      </w:r>
    </w:p>
    <w:p w14:paraId="3B77494D" w14:textId="77777777" w:rsidR="00E34DFC" w:rsidRPr="0012583F" w:rsidRDefault="00E34DFC" w:rsidP="00E34DFC">
      <w:pPr>
        <w:pStyle w:val="ListParagraph"/>
        <w:numPr>
          <w:ilvl w:val="0"/>
          <w:numId w:val="8"/>
        </w:numPr>
        <w:tabs>
          <w:tab w:val="clear" w:pos="720"/>
        </w:tabs>
        <w:rPr>
          <w:szCs w:val="22"/>
        </w:rPr>
      </w:pPr>
      <w:r w:rsidRPr="0012583F">
        <w:rPr>
          <w:szCs w:val="22"/>
          <w:u w:val="single"/>
        </w:rPr>
        <w:t xml:space="preserve">UF Law respects students’ </w:t>
      </w:r>
      <w:hyperlink r:id="rId29" w:history="1">
        <w:r w:rsidRPr="0012583F">
          <w:rPr>
            <w:rStyle w:val="Hyperlink"/>
            <w:szCs w:val="22"/>
          </w:rPr>
          <w:t>observance of religious holidays</w:t>
        </w:r>
      </w:hyperlink>
      <w:r w:rsidRPr="0012583F">
        <w:rPr>
          <w:rStyle w:val="Hyperlink"/>
          <w:szCs w:val="22"/>
        </w:rPr>
        <w:t xml:space="preserve">. </w:t>
      </w:r>
      <w:r w:rsidRPr="0012583F">
        <w:rPr>
          <w:szCs w:val="22"/>
        </w:rPr>
        <w:t>Students, upon prior notification to their instructors, shall be excused from class or other scheduled academic activity to observe a religious holy day of their faith.</w:t>
      </w:r>
    </w:p>
    <w:p w14:paraId="6A43D15B" w14:textId="77777777" w:rsidR="00E34DFC" w:rsidRPr="0012583F" w:rsidRDefault="00E34DFC" w:rsidP="00E34DFC">
      <w:pPr>
        <w:pStyle w:val="ListParagraph"/>
        <w:numPr>
          <w:ilvl w:val="0"/>
          <w:numId w:val="8"/>
        </w:numPr>
        <w:tabs>
          <w:tab w:val="clear" w:pos="720"/>
        </w:tabs>
        <w:rPr>
          <w:szCs w:val="22"/>
        </w:rPr>
      </w:pPr>
      <w:r w:rsidRPr="0012583F">
        <w:rPr>
          <w:szCs w:val="22"/>
        </w:rPr>
        <w:t>Students shall be permitted a reasonable amount of time to make up the material or activities covered in their absence.</w:t>
      </w:r>
    </w:p>
    <w:p w14:paraId="5FDFBE9A" w14:textId="2F689AE3" w:rsidR="00103623" w:rsidRDefault="00E34DFC" w:rsidP="00E34DFC">
      <w:pPr>
        <w:pStyle w:val="BodyText"/>
        <w:numPr>
          <w:ilvl w:val="0"/>
          <w:numId w:val="8"/>
        </w:numPr>
        <w:tabs>
          <w:tab w:val="clear" w:pos="720"/>
        </w:tabs>
        <w:spacing w:after="120"/>
      </w:pPr>
      <w:r w:rsidRPr="0012583F">
        <w:rPr>
          <w:szCs w:val="22"/>
        </w:rPr>
        <w:t>Students shall not be penalized due to absence from class or other scheduled academic activity because of religious observances</w:t>
      </w:r>
      <w:r w:rsidR="001E69C1">
        <w:t>.</w:t>
      </w:r>
    </w:p>
    <w:p w14:paraId="38847EB2" w14:textId="77777777" w:rsidR="00C14EBD" w:rsidRDefault="00C14EBD">
      <w:pPr>
        <w:spacing w:after="240"/>
        <w:ind w:left="720" w:right="-180" w:hanging="720"/>
        <w:jc w:val="center"/>
        <w:sectPr w:rsidR="00C14EBD">
          <w:headerReference w:type="default" r:id="rId30"/>
          <w:footerReference w:type="even" r:id="rId31"/>
          <w:footerReference w:type="default" r:id="rId32"/>
          <w:headerReference w:type="first" r:id="rId33"/>
          <w:footerReference w:type="first" r:id="rId34"/>
          <w:pgSz w:w="12240" w:h="15840"/>
          <w:pgMar w:top="1440" w:right="1800" w:bottom="1440" w:left="1800" w:header="1080" w:footer="1170" w:gutter="0"/>
          <w:cols w:space="720"/>
          <w:titlePg/>
          <w:docGrid w:linePitch="360"/>
        </w:sect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3"/>
        <w:gridCol w:w="1587"/>
        <w:gridCol w:w="2520"/>
        <w:gridCol w:w="4680"/>
      </w:tblGrid>
      <w:tr w:rsidR="00351AD5" w:rsidRPr="000F1768" w14:paraId="59E1F020" w14:textId="4F1D528E" w:rsidTr="002163F7">
        <w:trPr>
          <w:cantSplit/>
          <w:tblHeader/>
        </w:trPr>
        <w:tc>
          <w:tcPr>
            <w:tcW w:w="1023" w:type="dxa"/>
          </w:tcPr>
          <w:p w14:paraId="4DFD465C" w14:textId="254A9107" w:rsidR="00351AD5" w:rsidRPr="000F1768" w:rsidRDefault="00351AD5" w:rsidP="00C14EBD">
            <w:pPr>
              <w:jc w:val="center"/>
              <w:rPr>
                <w:b/>
              </w:rPr>
            </w:pPr>
            <w:r>
              <w:rPr>
                <w:b/>
              </w:rPr>
              <w:lastRenderedPageBreak/>
              <w:t>Date</w:t>
            </w:r>
          </w:p>
        </w:tc>
        <w:tc>
          <w:tcPr>
            <w:tcW w:w="1587" w:type="dxa"/>
          </w:tcPr>
          <w:p w14:paraId="741D2AC4" w14:textId="6D710E9D" w:rsidR="00351AD5" w:rsidRDefault="00351AD5" w:rsidP="00A07ED4">
            <w:pPr>
              <w:ind w:left="151" w:hanging="151"/>
              <w:jc w:val="center"/>
              <w:rPr>
                <w:b/>
              </w:rPr>
            </w:pPr>
            <w:r>
              <w:rPr>
                <w:b/>
              </w:rPr>
              <w:t>Unit</w:t>
            </w:r>
          </w:p>
        </w:tc>
        <w:tc>
          <w:tcPr>
            <w:tcW w:w="2520" w:type="dxa"/>
          </w:tcPr>
          <w:p w14:paraId="08810D25" w14:textId="6A9F3D62" w:rsidR="00351AD5" w:rsidRPr="000F1768" w:rsidRDefault="00351AD5" w:rsidP="00DD3FD0">
            <w:pPr>
              <w:jc w:val="center"/>
              <w:rPr>
                <w:b/>
              </w:rPr>
            </w:pPr>
            <w:r>
              <w:rPr>
                <w:b/>
              </w:rPr>
              <w:t>Topics</w:t>
            </w:r>
          </w:p>
        </w:tc>
        <w:tc>
          <w:tcPr>
            <w:tcW w:w="4680" w:type="dxa"/>
          </w:tcPr>
          <w:p w14:paraId="32F4E163" w14:textId="5B7AD00B" w:rsidR="00351AD5" w:rsidRDefault="00351AD5" w:rsidP="00DD3FD0">
            <w:pPr>
              <w:jc w:val="center"/>
              <w:rPr>
                <w:b/>
              </w:rPr>
            </w:pPr>
            <w:r>
              <w:rPr>
                <w:b/>
              </w:rPr>
              <w:t>Assignment</w:t>
            </w:r>
          </w:p>
        </w:tc>
      </w:tr>
      <w:tr w:rsidR="00351AD5" w14:paraId="24F7161B" w14:textId="77775799" w:rsidTr="002163F7">
        <w:trPr>
          <w:cantSplit/>
          <w:trHeight w:val="317"/>
          <w:tblHeader/>
        </w:trPr>
        <w:tc>
          <w:tcPr>
            <w:tcW w:w="1023" w:type="dxa"/>
          </w:tcPr>
          <w:p w14:paraId="4BC5D17E" w14:textId="36914778" w:rsidR="00351AD5" w:rsidRDefault="0074485A" w:rsidP="0032288E">
            <w:pPr>
              <w:tabs>
                <w:tab w:val="left" w:pos="316"/>
              </w:tabs>
            </w:pPr>
            <w:r>
              <w:t>Week 1</w:t>
            </w:r>
            <w:r w:rsidR="006172AE">
              <w:t xml:space="preserve"> (first day of class)</w:t>
            </w:r>
          </w:p>
        </w:tc>
        <w:tc>
          <w:tcPr>
            <w:tcW w:w="1587" w:type="dxa"/>
          </w:tcPr>
          <w:p w14:paraId="3FBCF4BB" w14:textId="13EAC1EA" w:rsidR="00351AD5" w:rsidRDefault="00351AD5" w:rsidP="00A07ED4">
            <w:pPr>
              <w:ind w:left="151" w:hanging="151"/>
            </w:pPr>
            <w:r>
              <w:t>I</w:t>
            </w:r>
          </w:p>
          <w:p w14:paraId="496C6804" w14:textId="40CB1E48" w:rsidR="00351AD5" w:rsidRDefault="00351AD5" w:rsidP="00A07ED4">
            <w:pPr>
              <w:ind w:left="151" w:hanging="151"/>
            </w:pPr>
            <w:r>
              <w:t>II.A</w:t>
            </w:r>
          </w:p>
        </w:tc>
        <w:tc>
          <w:tcPr>
            <w:tcW w:w="2520" w:type="dxa"/>
          </w:tcPr>
          <w:p w14:paraId="033B0A50" w14:textId="543A16FE" w:rsidR="00351AD5" w:rsidRDefault="00351AD5" w:rsidP="005008E4">
            <w:r>
              <w:t>Introduction: debt and derivatives</w:t>
            </w:r>
            <w:r w:rsidR="005141D4">
              <w:br/>
            </w:r>
          </w:p>
          <w:p w14:paraId="7F02AEC1" w14:textId="453A0397" w:rsidR="00351AD5" w:rsidRDefault="00D23DA2" w:rsidP="005008E4">
            <w:r>
              <w:t xml:space="preserve">Interest, </w:t>
            </w:r>
            <w:r w:rsidR="00351AD5">
              <w:t>OID, dispositions of debt instruments</w:t>
            </w:r>
          </w:p>
        </w:tc>
        <w:tc>
          <w:tcPr>
            <w:tcW w:w="4680" w:type="dxa"/>
          </w:tcPr>
          <w:p w14:paraId="19C8B9D1" w14:textId="2EB6A7E7" w:rsidR="009D6AF8" w:rsidRDefault="00C83169" w:rsidP="005008E4">
            <w:r>
              <w:t xml:space="preserve">Unit I: </w:t>
            </w:r>
            <w:r w:rsidR="00434A89">
              <w:t>B&amp;L ¶¶53.1, 53.2, 57.1;</w:t>
            </w:r>
            <w:r w:rsidR="0060647E">
              <w:br/>
            </w:r>
            <w:r w:rsidR="00434A89">
              <w:t>Hull slides: Chapters 1, 4</w:t>
            </w:r>
            <w:r w:rsidR="005C5A84">
              <w:t xml:space="preserve"> (slides 1-1</w:t>
            </w:r>
            <w:r w:rsidR="00E13148">
              <w:t>7</w:t>
            </w:r>
            <w:r w:rsidR="005C5A84">
              <w:t xml:space="preserve"> only)</w:t>
            </w:r>
          </w:p>
          <w:p w14:paraId="3868711C" w14:textId="1A9F1CE5" w:rsidR="00434A89" w:rsidRDefault="00D32AF2" w:rsidP="005008E4">
            <w:r>
              <w:t>Unit I: all problems</w:t>
            </w:r>
            <w:r>
              <w:br/>
            </w:r>
            <w:r>
              <w:br/>
            </w:r>
            <w:r w:rsidR="00C83169">
              <w:t xml:space="preserve">Unit II: </w:t>
            </w:r>
            <w:r w:rsidR="009D6AF8">
              <w:t>§§</w:t>
            </w:r>
            <w:r w:rsidR="00C639AB">
              <w:t xml:space="preserve">1272, </w:t>
            </w:r>
            <w:r w:rsidR="009D6AF8">
              <w:t>1273(a), (b), 1275(c), 6041</w:t>
            </w:r>
            <w:r w:rsidR="007F5151">
              <w:t>(a), (c), (d)</w:t>
            </w:r>
            <w:r w:rsidR="009D6AF8">
              <w:br/>
              <w:t>Reg. §§</w:t>
            </w:r>
            <w:r w:rsidR="00C639AB">
              <w:t>1.1272-1(a), (b)(1)</w:t>
            </w:r>
            <w:r w:rsidR="007F5151">
              <w:t xml:space="preserve">, (j) </w:t>
            </w:r>
            <w:r w:rsidR="007F5151">
              <w:rPr>
                <w:i/>
                <w:iCs/>
              </w:rPr>
              <w:t>Examples 1 &amp; 2</w:t>
            </w:r>
            <w:r w:rsidR="00C639AB">
              <w:t xml:space="preserve">, </w:t>
            </w:r>
            <w:r w:rsidR="009D6AF8">
              <w:t>1.1273-1(b)</w:t>
            </w:r>
            <w:r w:rsidR="00C639AB">
              <w:t>, (c)(1)(i),</w:t>
            </w:r>
            <w:r w:rsidR="00316B33">
              <w:t xml:space="preserve"> </w:t>
            </w:r>
            <w:r w:rsidR="00C639AB">
              <w:t>1273-2(a)</w:t>
            </w:r>
            <w:r w:rsidR="00C83169">
              <w:br/>
            </w:r>
            <w:proofErr w:type="spellStart"/>
            <w:r w:rsidR="00C83169">
              <w:t>B&amp;L</w:t>
            </w:r>
            <w:proofErr w:type="spellEnd"/>
            <w:r w:rsidR="00C83169">
              <w:t xml:space="preserve"> </w:t>
            </w:r>
            <w:r w:rsidR="009D6AF8">
              <w:t>¶¶</w:t>
            </w:r>
            <w:r w:rsidR="00C83169">
              <w:t>53.3</w:t>
            </w:r>
            <w:r w:rsidR="009D6AF8">
              <w:t>—53.6</w:t>
            </w:r>
            <w:r w:rsidR="0012109B">
              <w:br/>
              <w:t xml:space="preserve">Unit </w:t>
            </w:r>
            <w:proofErr w:type="spellStart"/>
            <w:r w:rsidR="0012109B">
              <w:t>II.A</w:t>
            </w:r>
            <w:proofErr w:type="spellEnd"/>
            <w:r w:rsidR="0012109B">
              <w:t>: Problems 1</w:t>
            </w:r>
            <w:r w:rsidR="000C6119">
              <w:t xml:space="preserve"> and 2</w:t>
            </w:r>
          </w:p>
        </w:tc>
      </w:tr>
    </w:tbl>
    <w:p w14:paraId="39651F6C" w14:textId="77777777" w:rsidR="00C14EBD" w:rsidRDefault="00C14EBD" w:rsidP="001F79E5"/>
    <w:p w14:paraId="13E6FF04" w14:textId="77777777" w:rsidR="006E5FA4" w:rsidRDefault="006E5FA4" w:rsidP="001F79E5"/>
    <w:p w14:paraId="56A5EFD6" w14:textId="112D7331" w:rsidR="006E5FA4" w:rsidRDefault="006E5FA4" w:rsidP="001F79E5">
      <w:r>
        <w:t>See below for 2 separate problem sets.</w:t>
      </w:r>
    </w:p>
    <w:p w14:paraId="4474E9FF" w14:textId="77777777" w:rsidR="006E5FA4" w:rsidRDefault="006E5FA4" w:rsidP="001F79E5"/>
    <w:p w14:paraId="78C1D0A5" w14:textId="77777777" w:rsidR="006E5FA4" w:rsidRDefault="006E5FA4" w:rsidP="001F79E5"/>
    <w:p w14:paraId="009DE15C" w14:textId="77777777" w:rsidR="006E5FA4" w:rsidRDefault="006E5FA4" w:rsidP="006E5FA4">
      <w:pPr>
        <w:spacing w:before="100" w:beforeAutospacing="1" w:after="100" w:afterAutospacing="1"/>
        <w:jc w:val="center"/>
        <w:rPr>
          <w:rFonts w:ascii="TimesNewRomanPSMT" w:hAnsi="TimesNewRomanPSMT"/>
        </w:rPr>
      </w:pPr>
      <w:r>
        <w:rPr>
          <w:rFonts w:ascii="TimesNewRomanPSMT" w:hAnsi="TimesNewRomanPSMT"/>
        </w:rPr>
        <w:t>Problems: Unit I</w:t>
      </w:r>
      <w:r>
        <w:rPr>
          <w:rStyle w:val="FootnoteReference"/>
          <w:rFonts w:ascii="TimesNewRomanPSMT" w:hAnsi="TimesNewRomanPSMT"/>
        </w:rPr>
        <w:footnoteReference w:id="1"/>
      </w:r>
    </w:p>
    <w:p w14:paraId="43DB3DB8" w14:textId="77777777" w:rsidR="006E5FA4" w:rsidRPr="00257CBC" w:rsidRDefault="006E5FA4" w:rsidP="006E5FA4">
      <w:pPr>
        <w:spacing w:before="100" w:beforeAutospacing="1" w:after="100" w:afterAutospacing="1"/>
      </w:pPr>
      <w:r w:rsidRPr="00257CBC">
        <w:rPr>
          <w:rFonts w:ascii="TimesNewRomanPSMT" w:hAnsi="TimesNewRomanPSMT"/>
        </w:rPr>
        <w:t xml:space="preserve">1. Ed deposits $1,000 in a bank account bearing interest at an annual rate of 5 percent. What is the balance in Ed’s account after three years if Ed makes no withdrawals from the account and, alternatively, </w:t>
      </w:r>
    </w:p>
    <w:p w14:paraId="4CDB97A2" w14:textId="77777777" w:rsidR="006E5FA4" w:rsidRPr="00D5343A" w:rsidRDefault="006E5FA4" w:rsidP="006E5FA4">
      <w:pPr>
        <w:pStyle w:val="ListParagraph"/>
        <w:numPr>
          <w:ilvl w:val="0"/>
          <w:numId w:val="13"/>
        </w:numPr>
        <w:spacing w:before="100" w:beforeAutospacing="1" w:after="100" w:afterAutospacing="1"/>
      </w:pPr>
      <w:r w:rsidRPr="00D5343A">
        <w:rPr>
          <w:rFonts w:ascii="TimesNewRomanPSMT" w:hAnsi="TimesNewRomanPSMT"/>
        </w:rPr>
        <w:t xml:space="preserve">Interest compounds annually? </w:t>
      </w:r>
    </w:p>
    <w:p w14:paraId="1F54F45A" w14:textId="77777777" w:rsidR="006E5FA4" w:rsidRPr="00D5343A" w:rsidRDefault="006E5FA4" w:rsidP="006E5FA4">
      <w:pPr>
        <w:pStyle w:val="ListParagraph"/>
        <w:numPr>
          <w:ilvl w:val="0"/>
          <w:numId w:val="13"/>
        </w:numPr>
        <w:spacing w:before="100" w:beforeAutospacing="1" w:after="100" w:afterAutospacing="1"/>
      </w:pPr>
      <w:r w:rsidRPr="00D5343A">
        <w:rPr>
          <w:rFonts w:ascii="TimesNewRomanPSMT" w:hAnsi="TimesNewRomanPSMT"/>
        </w:rPr>
        <w:t xml:space="preserve">Interest compounds semiannually? </w:t>
      </w:r>
    </w:p>
    <w:p w14:paraId="192ED3A6" w14:textId="77777777" w:rsidR="006E5FA4" w:rsidRPr="00D5343A" w:rsidRDefault="006E5FA4" w:rsidP="006E5FA4">
      <w:pPr>
        <w:pStyle w:val="ListParagraph"/>
        <w:numPr>
          <w:ilvl w:val="0"/>
          <w:numId w:val="13"/>
        </w:numPr>
        <w:spacing w:before="100" w:beforeAutospacing="1" w:after="100" w:afterAutospacing="1"/>
      </w:pPr>
      <w:r w:rsidRPr="00D5343A">
        <w:rPr>
          <w:rFonts w:ascii="TimesNewRomanPSMT" w:hAnsi="TimesNewRomanPSMT"/>
        </w:rPr>
        <w:t>Interest compounds continuously?</w:t>
      </w:r>
    </w:p>
    <w:p w14:paraId="347A4E90" w14:textId="77777777" w:rsidR="006E5FA4" w:rsidRPr="00257CBC" w:rsidRDefault="006E5FA4" w:rsidP="006E5FA4">
      <w:pPr>
        <w:spacing w:before="100" w:beforeAutospacing="1" w:after="100" w:afterAutospacing="1"/>
      </w:pPr>
      <w:r w:rsidRPr="00D5343A">
        <w:rPr>
          <w:rFonts w:ascii="TimesNewRomanPSMT" w:hAnsi="TimesNewRomanPSMT"/>
        </w:rPr>
        <w:t xml:space="preserve">The formula for continuous </w:t>
      </w:r>
      <w:r w:rsidRPr="00257CBC">
        <w:rPr>
          <w:rFonts w:ascii="TimesNewRomanPSMT" w:hAnsi="TimesNewRomanPSMT"/>
        </w:rPr>
        <w:t>compounding is</w:t>
      </w:r>
      <w:r>
        <w:rPr>
          <w:rFonts w:ascii="TimesNewRomanPSMT" w:hAnsi="TimesNewRomanPSMT"/>
        </w:rPr>
        <w:t>:</w:t>
      </w:r>
    </w:p>
    <w:p w14:paraId="5324BA2F" w14:textId="77777777" w:rsidR="006E5FA4" w:rsidRPr="00257CBC" w:rsidRDefault="006E5FA4" w:rsidP="006E5FA4">
      <w:pPr>
        <w:spacing w:before="100" w:beforeAutospacing="1" w:after="100" w:afterAutospacing="1"/>
      </w:pPr>
      <w:r w:rsidRPr="00257CBC">
        <w:rPr>
          <w:rFonts w:ascii="TimesNewRomanPSMT" w:hAnsi="TimesNewRomanPSMT"/>
          <w:i/>
          <w:iCs/>
        </w:rPr>
        <w:t>A</w:t>
      </w:r>
      <w:r w:rsidRPr="00257CBC">
        <w:rPr>
          <w:rFonts w:ascii="TimesNewRomanPSMT,Italic" w:hAnsi="TimesNewRomanPSMT,Italic"/>
          <w:i/>
          <w:iCs/>
        </w:rPr>
        <w:t>e</w:t>
      </w:r>
      <w:r w:rsidRPr="00257CBC">
        <w:rPr>
          <w:rFonts w:ascii="TimesNewRomanPSMT" w:hAnsi="TimesNewRomanPSMT"/>
          <w:i/>
          <w:iCs/>
          <w:position w:val="10"/>
          <w:sz w:val="14"/>
          <w:szCs w:val="14"/>
        </w:rPr>
        <w:t>Rn</w:t>
      </w:r>
      <w:r w:rsidRPr="00257CBC">
        <w:rPr>
          <w:rFonts w:ascii="TimesNewRomanPSMT" w:hAnsi="TimesNewRomanPSMT"/>
          <w:position w:val="10"/>
          <w:sz w:val="14"/>
          <w:szCs w:val="14"/>
        </w:rPr>
        <w:t xml:space="preserve"> </w:t>
      </w:r>
      <w:r w:rsidRPr="00257CBC">
        <w:rPr>
          <w:rFonts w:ascii="TimesNewRomanPSMT" w:hAnsi="TimesNewRomanPSMT"/>
        </w:rPr>
        <w:t xml:space="preserve">= future value </w:t>
      </w:r>
    </w:p>
    <w:p w14:paraId="43078F0A" w14:textId="77777777" w:rsidR="006E5FA4" w:rsidRPr="00257CBC" w:rsidRDefault="006E5FA4" w:rsidP="006E5FA4">
      <w:pPr>
        <w:spacing w:before="100" w:beforeAutospacing="1" w:after="100" w:afterAutospacing="1"/>
      </w:pPr>
      <w:r w:rsidRPr="00257CBC">
        <w:rPr>
          <w:rFonts w:ascii="TimesNewRomanPSMT" w:hAnsi="TimesNewRomanPSMT"/>
        </w:rPr>
        <w:t>where</w:t>
      </w:r>
      <w:r w:rsidRPr="00257CBC">
        <w:rPr>
          <w:rFonts w:ascii="TimesNewRomanPSMT" w:hAnsi="TimesNewRomanPSMT"/>
        </w:rPr>
        <w:br/>
      </w:r>
      <w:r w:rsidRPr="00257CBC">
        <w:rPr>
          <w:rFonts w:ascii="TimesNewRomanPSMT" w:hAnsi="TimesNewRomanPSMT"/>
          <w:i/>
          <w:iCs/>
        </w:rPr>
        <w:t>A</w:t>
      </w:r>
      <w:r w:rsidRPr="00257CBC">
        <w:rPr>
          <w:rFonts w:ascii="TimesNewRomanPSMT" w:hAnsi="TimesNewRomanPSMT"/>
        </w:rPr>
        <w:t xml:space="preserve"> is the principal sum (present value)</w:t>
      </w:r>
      <w:r>
        <w:rPr>
          <w:rFonts w:ascii="TimesNewRomanPSMT" w:hAnsi="TimesNewRomanPSMT"/>
        </w:rPr>
        <w:br/>
      </w:r>
      <w:r w:rsidRPr="00304584">
        <w:rPr>
          <w:rFonts w:ascii="TimesNewRomanPSMT,Italic" w:hAnsi="TimesNewRomanPSMT,Italic"/>
          <w:i/>
          <w:iCs/>
        </w:rPr>
        <w:t>e</w:t>
      </w:r>
      <w:r w:rsidRPr="00257CBC">
        <w:rPr>
          <w:rFonts w:ascii="TimesNewRomanPSMT,Italic" w:hAnsi="TimesNewRomanPSMT,Italic"/>
        </w:rPr>
        <w:t xml:space="preserve"> </w:t>
      </w:r>
      <w:r w:rsidRPr="00257CBC">
        <w:rPr>
          <w:rFonts w:ascii="TimesNewRomanPSMT" w:hAnsi="TimesNewRomanPSMT"/>
        </w:rPr>
        <w:t>is 2.71828</w:t>
      </w:r>
      <w:r w:rsidRPr="00257CBC">
        <w:rPr>
          <w:rFonts w:ascii="TimesNewRomanPSMT" w:hAnsi="TimesNewRomanPSMT"/>
        </w:rPr>
        <w:br/>
      </w:r>
      <w:r w:rsidRPr="00257CBC">
        <w:rPr>
          <w:rFonts w:ascii="TimesNewRomanPSMT" w:hAnsi="TimesNewRomanPSMT"/>
          <w:i/>
          <w:iCs/>
        </w:rPr>
        <w:lastRenderedPageBreak/>
        <w:t>R</w:t>
      </w:r>
      <w:r w:rsidRPr="00257CBC">
        <w:rPr>
          <w:rFonts w:ascii="TimesNewRomanPSMT" w:hAnsi="TimesNewRomanPSMT"/>
        </w:rPr>
        <w:t xml:space="preserve"> is the annual interest rate</w:t>
      </w:r>
      <w:r w:rsidRPr="00257CBC">
        <w:rPr>
          <w:rFonts w:ascii="TimesNewRomanPSMT" w:hAnsi="TimesNewRomanPSMT"/>
        </w:rPr>
        <w:br/>
      </w:r>
      <w:r w:rsidRPr="00257CBC">
        <w:rPr>
          <w:rFonts w:ascii="TimesNewRomanPSMT" w:hAnsi="TimesNewRomanPSMT"/>
          <w:i/>
          <w:iCs/>
        </w:rPr>
        <w:t>n</w:t>
      </w:r>
      <w:r w:rsidRPr="00257CBC">
        <w:rPr>
          <w:rFonts w:ascii="TimesNewRomanPSMT" w:hAnsi="TimesNewRomanPSMT"/>
        </w:rPr>
        <w:t xml:space="preserve"> is the number of years </w:t>
      </w:r>
    </w:p>
    <w:p w14:paraId="1407570A" w14:textId="77777777" w:rsidR="006E5FA4" w:rsidRPr="00D5343A" w:rsidRDefault="006E5FA4" w:rsidP="006E5FA4">
      <w:pPr>
        <w:pStyle w:val="ListParagraph"/>
        <w:numPr>
          <w:ilvl w:val="0"/>
          <w:numId w:val="13"/>
        </w:numPr>
        <w:spacing w:before="100" w:beforeAutospacing="1" w:after="100" w:afterAutospacing="1"/>
      </w:pPr>
      <w:r w:rsidRPr="00D5343A">
        <w:rPr>
          <w:rFonts w:ascii="TimesNewRomanPSMT" w:hAnsi="TimesNewRomanPSMT"/>
        </w:rPr>
        <w:t>At an interest rate of 5 percent compounded semiannually, what is the present value of $1,160</w:t>
      </w:r>
      <w:r>
        <w:rPr>
          <w:rFonts w:ascii="TimesNewRomanPSMT" w:hAnsi="TimesNewRomanPSMT"/>
        </w:rPr>
        <w:t xml:space="preserve"> in three years</w:t>
      </w:r>
      <w:r w:rsidRPr="00D5343A">
        <w:rPr>
          <w:rFonts w:ascii="TimesNewRomanPSMT" w:hAnsi="TimesNewRomanPSMT"/>
        </w:rPr>
        <w:t>?</w:t>
      </w:r>
      <w:r>
        <w:rPr>
          <w:rFonts w:ascii="TimesNewRomanPSMT" w:hAnsi="TimesNewRomanPSMT"/>
        </w:rPr>
        <w:t xml:space="preserve"> (That is, what is the present value of a right to receive $1,160 in three years?)</w:t>
      </w:r>
    </w:p>
    <w:p w14:paraId="78A2DD64" w14:textId="77777777" w:rsidR="006E5FA4" w:rsidRPr="00257CBC" w:rsidRDefault="006E5FA4" w:rsidP="006E5FA4">
      <w:pPr>
        <w:spacing w:before="100" w:beforeAutospacing="1" w:after="100" w:afterAutospacing="1"/>
      </w:pPr>
      <w:r w:rsidRPr="00257CBC">
        <w:rPr>
          <w:rFonts w:ascii="TimesNewRomanPSMT" w:hAnsi="TimesNewRomanPSMT"/>
        </w:rPr>
        <w:t xml:space="preserve">2. </w:t>
      </w:r>
      <w:r w:rsidRPr="00257CBC">
        <w:rPr>
          <w:rFonts w:ascii="TimesNewRomanPSMT,Italic" w:hAnsi="TimesNewRomanPSMT,Italic"/>
        </w:rPr>
        <w:t xml:space="preserve">X </w:t>
      </w:r>
      <w:r w:rsidRPr="00257CBC">
        <w:rPr>
          <w:rFonts w:ascii="TimesNewRomanPSMT" w:hAnsi="TimesNewRomanPSMT"/>
        </w:rPr>
        <w:t xml:space="preserve">Corp. issues a debt instrument for $1,000 that calls for a single payment of $1,160 in three years. </w:t>
      </w:r>
      <w:r>
        <w:rPr>
          <w:rFonts w:ascii="TimesNewRomanPSMT" w:hAnsi="TimesNewRomanPSMT"/>
        </w:rPr>
        <w:t>Assume semiannual compounding in answering the following questions.</w:t>
      </w:r>
    </w:p>
    <w:p w14:paraId="1B143F77" w14:textId="77777777" w:rsidR="006E5FA4" w:rsidRPr="00D5343A" w:rsidRDefault="006E5FA4" w:rsidP="006E5FA4">
      <w:pPr>
        <w:pStyle w:val="ListParagraph"/>
        <w:numPr>
          <w:ilvl w:val="0"/>
          <w:numId w:val="14"/>
        </w:numPr>
        <w:spacing w:before="100" w:beforeAutospacing="1" w:after="100" w:afterAutospacing="1"/>
        <w:rPr>
          <w:rFonts w:ascii="TimesNewRomanPSMT" w:hAnsi="TimesNewRomanPSMT"/>
        </w:rPr>
      </w:pPr>
      <w:r w:rsidRPr="00D5343A">
        <w:rPr>
          <w:rFonts w:ascii="TimesNewRomanPSMT" w:hAnsi="TimesNewRomanPSMT"/>
        </w:rPr>
        <w:t>What is the instrument’s yield to maturity?</w:t>
      </w:r>
    </w:p>
    <w:p w14:paraId="72D36EB3" w14:textId="77777777" w:rsidR="006E5FA4" w:rsidRPr="00D5343A" w:rsidRDefault="006E5FA4" w:rsidP="006E5FA4">
      <w:pPr>
        <w:pStyle w:val="ListParagraph"/>
        <w:numPr>
          <w:ilvl w:val="0"/>
          <w:numId w:val="14"/>
        </w:numPr>
        <w:spacing w:before="100" w:beforeAutospacing="1" w:after="100" w:afterAutospacing="1"/>
        <w:rPr>
          <w:rFonts w:ascii="TimesNewRomanPSMT" w:hAnsi="TimesNewRomanPSMT"/>
        </w:rPr>
      </w:pPr>
      <w:r w:rsidRPr="00D5343A">
        <w:rPr>
          <w:rFonts w:ascii="TimesNewRomanPSMT" w:hAnsi="TimesNewRomanPSMT"/>
        </w:rPr>
        <w:t xml:space="preserve">How should </w:t>
      </w:r>
      <w:r w:rsidRPr="00D5343A">
        <w:rPr>
          <w:rFonts w:ascii="TimesNewRomanPSMT,Italic" w:hAnsi="TimesNewRomanPSMT,Italic"/>
        </w:rPr>
        <w:t xml:space="preserve">X </w:t>
      </w:r>
      <w:r w:rsidRPr="00D5343A">
        <w:rPr>
          <w:rFonts w:ascii="TimesNewRomanPSMT" w:hAnsi="TimesNewRomanPSMT"/>
        </w:rPr>
        <w:t>Corp.’s interest expense be computed for each of the years the instrument is outstanding?</w:t>
      </w:r>
    </w:p>
    <w:p w14:paraId="344ACB41" w14:textId="77777777" w:rsidR="006E5FA4" w:rsidRPr="00D5343A" w:rsidRDefault="006E5FA4" w:rsidP="006E5FA4">
      <w:pPr>
        <w:pStyle w:val="ListParagraph"/>
        <w:numPr>
          <w:ilvl w:val="0"/>
          <w:numId w:val="14"/>
        </w:numPr>
        <w:spacing w:before="100" w:beforeAutospacing="1" w:after="100" w:afterAutospacing="1"/>
        <w:rPr>
          <w:rFonts w:ascii="TimesNewRomanPSMT" w:hAnsi="TimesNewRomanPSMT"/>
        </w:rPr>
      </w:pPr>
      <w:r w:rsidRPr="00D5343A">
        <w:rPr>
          <w:rFonts w:ascii="TimesNewRomanPSMT" w:hAnsi="TimesNewRomanPSMT"/>
        </w:rPr>
        <w:t xml:space="preserve">Edie purchases the instrument at original issue and holds it until maturity. How should her interest income be computed for each of the years during which she holds it? </w:t>
      </w:r>
    </w:p>
    <w:p w14:paraId="34644AC4" w14:textId="77777777" w:rsidR="006E5FA4" w:rsidRPr="00257CBC" w:rsidRDefault="006E5FA4" w:rsidP="006E5FA4">
      <w:pPr>
        <w:spacing w:before="100" w:beforeAutospacing="1" w:after="100" w:afterAutospacing="1"/>
      </w:pPr>
      <w:r w:rsidRPr="00257CBC">
        <w:rPr>
          <w:rFonts w:ascii="TimesNewRomanPSMT" w:hAnsi="TimesNewRomanPSMT"/>
        </w:rPr>
        <w:t xml:space="preserve">3. Ron borrows $1,000 from Last National Bank and agrees to repay the bank with five equal annual payments of principal and interest (at 6 percent compounded annually) of $237.40 each. </w:t>
      </w:r>
    </w:p>
    <w:p w14:paraId="069505FE" w14:textId="77777777" w:rsidR="006E5FA4" w:rsidRPr="00257CBC" w:rsidRDefault="006E5FA4" w:rsidP="006E5FA4">
      <w:pPr>
        <w:numPr>
          <w:ilvl w:val="0"/>
          <w:numId w:val="15"/>
        </w:numPr>
        <w:spacing w:before="100" w:beforeAutospacing="1" w:after="100" w:afterAutospacing="1"/>
        <w:ind w:left="810"/>
      </w:pPr>
      <w:r w:rsidRPr="00257CBC">
        <w:rPr>
          <w:rFonts w:ascii="TimesNewRomanPSMT" w:hAnsi="TimesNewRomanPSMT"/>
        </w:rPr>
        <w:t xml:space="preserve">How is interest computed for the first year? The second year? </w:t>
      </w:r>
    </w:p>
    <w:p w14:paraId="1E138B03" w14:textId="77777777" w:rsidR="006E5FA4" w:rsidRPr="00257CBC" w:rsidRDefault="006E5FA4" w:rsidP="006E5FA4">
      <w:pPr>
        <w:numPr>
          <w:ilvl w:val="0"/>
          <w:numId w:val="15"/>
        </w:numPr>
        <w:spacing w:before="100" w:beforeAutospacing="1" w:after="100" w:afterAutospacing="1"/>
        <w:ind w:left="810"/>
      </w:pPr>
      <w:r w:rsidRPr="00257CBC">
        <w:rPr>
          <w:rFonts w:ascii="TimesNewRomanPSMT" w:hAnsi="TimesNewRomanPSMT"/>
        </w:rPr>
        <w:t xml:space="preserve">What is the present value of five equal annual payments of $237.40 each, determined with a discount rate of 6 percent compounded annually? </w:t>
      </w:r>
    </w:p>
    <w:p w14:paraId="6EC8AC3B" w14:textId="77777777" w:rsidR="006E5FA4" w:rsidRPr="00257CBC" w:rsidRDefault="006E5FA4" w:rsidP="006E5FA4">
      <w:pPr>
        <w:numPr>
          <w:ilvl w:val="0"/>
          <w:numId w:val="12"/>
        </w:numPr>
        <w:spacing w:before="100" w:beforeAutospacing="1" w:after="100" w:afterAutospacing="1"/>
        <w:rPr>
          <w:rFonts w:ascii="TimesNewRomanPSMT" w:hAnsi="TimesNewRomanPSMT"/>
        </w:rPr>
      </w:pPr>
      <w:r w:rsidRPr="00257CBC">
        <w:rPr>
          <w:rFonts w:ascii="TimesNewRomanPSMT" w:hAnsi="TimesNewRomanPSMT"/>
        </w:rPr>
        <w:t xml:space="preserve">What is each of the following? </w:t>
      </w:r>
    </w:p>
    <w:p w14:paraId="238451D7"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Regulated investment company (RIC). </w:t>
      </w:r>
    </w:p>
    <w:p w14:paraId="26446911"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Hedge fund. </w:t>
      </w:r>
    </w:p>
    <w:p w14:paraId="297F815A"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Real estate investment trust (REIT). </w:t>
      </w:r>
    </w:p>
    <w:p w14:paraId="1B921AD0"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Real estate mortgage investment conduit (</w:t>
      </w:r>
      <w:proofErr w:type="spellStart"/>
      <w:r w:rsidRPr="00257CBC">
        <w:rPr>
          <w:rFonts w:ascii="TimesNewRomanPSMT" w:hAnsi="TimesNewRomanPSMT"/>
        </w:rPr>
        <w:t>REMICs</w:t>
      </w:r>
      <w:proofErr w:type="spellEnd"/>
      <w:r w:rsidRPr="00257CBC">
        <w:rPr>
          <w:rFonts w:ascii="TimesNewRomanPSMT" w:hAnsi="TimesNewRomanPSMT"/>
        </w:rPr>
        <w:t xml:space="preserve">). </w:t>
      </w:r>
    </w:p>
    <w:p w14:paraId="4F1B4B1E"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Collateralized debt obligation (</w:t>
      </w:r>
      <w:proofErr w:type="spellStart"/>
      <w:r w:rsidRPr="00257CBC">
        <w:rPr>
          <w:rFonts w:ascii="TimesNewRomanPSMT" w:hAnsi="TimesNewRomanPSMT"/>
        </w:rPr>
        <w:t>CDO</w:t>
      </w:r>
      <w:proofErr w:type="spellEnd"/>
      <w:r w:rsidRPr="00257CBC">
        <w:rPr>
          <w:rFonts w:ascii="TimesNewRomanPSMT" w:hAnsi="TimesNewRomanPSMT"/>
        </w:rPr>
        <w:t xml:space="preserve">) </w:t>
      </w:r>
    </w:p>
    <w:p w14:paraId="651DA885"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Derivative financial instrument. </w:t>
      </w:r>
    </w:p>
    <w:p w14:paraId="3DD6E25D"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Futures contract. </w:t>
      </w:r>
    </w:p>
    <w:p w14:paraId="77B6E0C6"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Forward contract. </w:t>
      </w:r>
    </w:p>
    <w:p w14:paraId="3DDA07B6"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Option (including calls and puts). </w:t>
      </w:r>
    </w:p>
    <w:p w14:paraId="7066ADA7"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Swap. </w:t>
      </w:r>
    </w:p>
    <w:p w14:paraId="2E20C605"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Short position; long position. </w:t>
      </w:r>
    </w:p>
    <w:p w14:paraId="3A598C74" w14:textId="77777777" w:rsidR="006E5FA4" w:rsidRPr="00257CBC" w:rsidRDefault="006E5FA4" w:rsidP="006E5FA4">
      <w:pPr>
        <w:numPr>
          <w:ilvl w:val="1"/>
          <w:numId w:val="16"/>
        </w:numPr>
        <w:spacing w:before="100" w:beforeAutospacing="1" w:after="100" w:afterAutospacing="1"/>
        <w:rPr>
          <w:rFonts w:ascii="TimesNewRomanPSMT" w:hAnsi="TimesNewRomanPSMT"/>
        </w:rPr>
      </w:pPr>
      <w:r w:rsidRPr="00257CBC">
        <w:rPr>
          <w:rFonts w:ascii="TimesNewRomanPSMT" w:hAnsi="TimesNewRomanPSMT"/>
        </w:rPr>
        <w:t xml:space="preserve">Arbitrage. </w:t>
      </w:r>
    </w:p>
    <w:p w14:paraId="24A42748" w14:textId="4B1218DF" w:rsidR="006E5FA4" w:rsidRDefault="006E5FA4" w:rsidP="006E5FA4">
      <w:pPr>
        <w:rPr>
          <w:rFonts w:ascii="TimesNewRomanPSMT" w:hAnsi="TimesNewRomanPSMT"/>
        </w:rPr>
      </w:pPr>
      <w:r w:rsidRPr="00257CBC">
        <w:rPr>
          <w:rFonts w:ascii="TimesNewRomanPSMT" w:hAnsi="TimesNewRomanPSMT"/>
        </w:rPr>
        <w:lastRenderedPageBreak/>
        <w:t xml:space="preserve">Dianne’s </w:t>
      </w:r>
      <w:proofErr w:type="gramStart"/>
      <w:r w:rsidRPr="00257CBC">
        <w:rPr>
          <w:rFonts w:ascii="TimesNewRomanPSMT" w:hAnsi="TimesNewRomanPSMT"/>
        </w:rPr>
        <w:t>stock broker</w:t>
      </w:r>
      <w:proofErr w:type="gramEnd"/>
      <w:r w:rsidRPr="00257CBC">
        <w:rPr>
          <w:rFonts w:ascii="TimesNewRomanPSMT" w:hAnsi="TimesNewRomanPSMT"/>
        </w:rPr>
        <w:t xml:space="preserve"> told her that options are a wonderful way to leverage investments in stocks. For example, if a stock is trading at $30, Dianne could, by holding a call option on the stock, capture the entire amount by which the price might rise above $30 by investing only a fraction of $30. Do you have any words of caution</w:t>
      </w:r>
      <w:r>
        <w:rPr>
          <w:rFonts w:ascii="TimesNewRomanPSMT" w:hAnsi="TimesNewRomanPSMT"/>
        </w:rPr>
        <w:t>?</w:t>
      </w:r>
    </w:p>
    <w:p w14:paraId="10318FA7" w14:textId="77777777" w:rsidR="006E5FA4" w:rsidRDefault="006E5FA4" w:rsidP="006E5FA4">
      <w:pPr>
        <w:rPr>
          <w:rFonts w:ascii="TimesNewRomanPSMT" w:hAnsi="TimesNewRomanPSMT"/>
        </w:rPr>
      </w:pPr>
    </w:p>
    <w:p w14:paraId="101B9367" w14:textId="77777777" w:rsidR="006E5FA4" w:rsidRDefault="006E5FA4" w:rsidP="006E5FA4">
      <w:pPr>
        <w:rPr>
          <w:rFonts w:ascii="TimesNewRomanPSMT" w:hAnsi="TimesNewRomanPSMT"/>
        </w:rPr>
      </w:pPr>
    </w:p>
    <w:p w14:paraId="673D37A7" w14:textId="77777777" w:rsidR="006E5FA4" w:rsidRPr="00BB32DB" w:rsidRDefault="006E5FA4" w:rsidP="006E5FA4">
      <w:pPr>
        <w:spacing w:before="100" w:beforeAutospacing="1" w:after="100" w:afterAutospacing="1"/>
        <w:jc w:val="center"/>
        <w:rPr>
          <w:sz w:val="22"/>
          <w:szCs w:val="22"/>
        </w:rPr>
      </w:pPr>
      <w:r w:rsidRPr="00BB32DB">
        <w:rPr>
          <w:sz w:val="22"/>
          <w:szCs w:val="22"/>
        </w:rPr>
        <w:t xml:space="preserve">Problems: UNIT </w:t>
      </w:r>
      <w:proofErr w:type="spellStart"/>
      <w:proofErr w:type="gramStart"/>
      <w:r w:rsidRPr="00BB32DB">
        <w:rPr>
          <w:sz w:val="22"/>
          <w:szCs w:val="22"/>
        </w:rPr>
        <w:t>II</w:t>
      </w:r>
      <w:r>
        <w:rPr>
          <w:sz w:val="22"/>
          <w:szCs w:val="22"/>
        </w:rPr>
        <w:t>.A</w:t>
      </w:r>
      <w:proofErr w:type="spellEnd"/>
      <w:proofErr w:type="gramEnd"/>
      <w:r w:rsidRPr="00BB32DB">
        <w:rPr>
          <w:rStyle w:val="FootnoteReference"/>
          <w:sz w:val="22"/>
          <w:szCs w:val="22"/>
        </w:rPr>
        <w:footnoteReference w:id="2"/>
      </w:r>
    </w:p>
    <w:p w14:paraId="328CE94C" w14:textId="77777777" w:rsidR="006E5FA4" w:rsidRDefault="006E5FA4" w:rsidP="006E5FA4">
      <w:pPr>
        <w:spacing w:before="100" w:beforeAutospacing="1" w:after="100" w:afterAutospacing="1"/>
        <w:rPr>
          <w:sz w:val="22"/>
          <w:szCs w:val="22"/>
        </w:rPr>
      </w:pPr>
      <w:r>
        <w:rPr>
          <w:sz w:val="22"/>
          <w:szCs w:val="22"/>
        </w:rPr>
        <w:t>For class of 1/18/24: Problems 1 and 2</w:t>
      </w:r>
      <w:r>
        <w:rPr>
          <w:sz w:val="22"/>
          <w:szCs w:val="22"/>
        </w:rPr>
        <w:br/>
        <w:t>For class of 1/25/23: Problems 3 through 8</w:t>
      </w:r>
      <w:r>
        <w:rPr>
          <w:sz w:val="22"/>
          <w:szCs w:val="22"/>
        </w:rPr>
        <w:br/>
        <w:t>For class of 2/1/24: Problems 9 through 15</w:t>
      </w:r>
    </w:p>
    <w:p w14:paraId="62DEC41A" w14:textId="77777777" w:rsidR="006E5FA4" w:rsidRPr="00BB32DB" w:rsidRDefault="006E5FA4" w:rsidP="006E5FA4">
      <w:pPr>
        <w:spacing w:before="100" w:beforeAutospacing="1" w:after="100" w:afterAutospacing="1"/>
        <w:rPr>
          <w:sz w:val="22"/>
          <w:szCs w:val="22"/>
        </w:rPr>
      </w:pPr>
      <w:r w:rsidRPr="00BB32DB">
        <w:rPr>
          <w:sz w:val="22"/>
          <w:szCs w:val="22"/>
        </w:rPr>
        <w:t>INTEREST AND THE TIME VALUE OF MONEY</w:t>
      </w:r>
    </w:p>
    <w:p w14:paraId="1715FBD4" w14:textId="77777777" w:rsidR="006E5FA4" w:rsidRPr="00BB32DB" w:rsidRDefault="006E5FA4" w:rsidP="006E5FA4">
      <w:pPr>
        <w:spacing w:before="100" w:beforeAutospacing="1" w:after="100" w:afterAutospacing="1"/>
        <w:rPr>
          <w:sz w:val="22"/>
          <w:szCs w:val="22"/>
        </w:rPr>
      </w:pPr>
      <w:r w:rsidRPr="00BB32DB">
        <w:rPr>
          <w:sz w:val="22"/>
          <w:szCs w:val="22"/>
        </w:rPr>
        <w:t xml:space="preserve">A. INTEREST, OID, AND DISPOSITIONS OF DEBT INSTRUMENTS READ: </w:t>
      </w:r>
    </w:p>
    <w:p w14:paraId="416ABA73" w14:textId="77777777" w:rsidR="006E5FA4" w:rsidRPr="00BB32DB" w:rsidRDefault="006E5FA4" w:rsidP="006E5FA4">
      <w:pPr>
        <w:spacing w:before="100" w:beforeAutospacing="1" w:after="100" w:afterAutospacing="1"/>
        <w:rPr>
          <w:sz w:val="22"/>
          <w:szCs w:val="22"/>
        </w:rPr>
      </w:pPr>
      <w:r w:rsidRPr="00BB32DB">
        <w:rPr>
          <w:sz w:val="22"/>
          <w:szCs w:val="22"/>
        </w:rPr>
        <w:t>Code: §§61(a), 163(a), 163(e), 163(f), 1271, 1272, 1273, 1275 Regs: §§1.446-2, 1.1272-1, 1.1273-1</w:t>
      </w:r>
      <w:r w:rsidRPr="00BB32DB">
        <w:rPr>
          <w:sz w:val="22"/>
          <w:szCs w:val="22"/>
        </w:rPr>
        <w:br/>
      </w:r>
      <w:proofErr w:type="spellStart"/>
      <w:r w:rsidRPr="00BB32DB">
        <w:rPr>
          <w:sz w:val="22"/>
          <w:szCs w:val="22"/>
        </w:rPr>
        <w:t>B&amp;L</w:t>
      </w:r>
      <w:proofErr w:type="spellEnd"/>
      <w:r w:rsidRPr="00BB32DB">
        <w:rPr>
          <w:sz w:val="22"/>
          <w:szCs w:val="22"/>
        </w:rPr>
        <w:t xml:space="preserve">: ¶¶52.1.1–52.1.4, 53.3–53.6 </w:t>
      </w:r>
    </w:p>
    <w:p w14:paraId="367F9DBA" w14:textId="77777777" w:rsidR="006E5FA4" w:rsidRPr="00BB32DB" w:rsidRDefault="006E5FA4" w:rsidP="006E5FA4">
      <w:pPr>
        <w:spacing w:before="100" w:beforeAutospacing="1" w:after="100" w:afterAutospacing="1"/>
        <w:rPr>
          <w:sz w:val="22"/>
          <w:szCs w:val="22"/>
        </w:rPr>
      </w:pPr>
      <w:r w:rsidRPr="00BB32DB">
        <w:rPr>
          <w:sz w:val="22"/>
          <w:szCs w:val="22"/>
        </w:rPr>
        <w:t xml:space="preserve">PROBLEMS: </w:t>
      </w:r>
    </w:p>
    <w:p w14:paraId="58D2BB24" w14:textId="77777777" w:rsidR="006E5FA4" w:rsidRPr="00BB32DB" w:rsidRDefault="006E5FA4" w:rsidP="006E5FA4">
      <w:pPr>
        <w:spacing w:before="100" w:beforeAutospacing="1" w:after="100" w:afterAutospacing="1"/>
        <w:rPr>
          <w:sz w:val="22"/>
          <w:szCs w:val="22"/>
        </w:rPr>
      </w:pPr>
      <w:r w:rsidRPr="00BB32DB">
        <w:rPr>
          <w:sz w:val="22"/>
          <w:szCs w:val="22"/>
        </w:rPr>
        <w:t xml:space="preserve">1. X Corp. issues a $1,000 note to Harry, an investor. The note bears no interest and matures in two years. Harry pays $854.80 to X for the note. What are the income tax consequences for X and Harry resulting from the issuance, holding, and payment of the note? Determine the following: </w:t>
      </w:r>
    </w:p>
    <w:p w14:paraId="2762345D"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(a)  The instrument’s “stated redemption price at maturity.” See IRC §1273(a)(2); Reg. §§1.1273-1(b</w:t>
      </w:r>
      <w:proofErr w:type="gramStart"/>
      <w:r w:rsidRPr="00BB32DB">
        <w:rPr>
          <w:sz w:val="22"/>
          <w:szCs w:val="22"/>
        </w:rPr>
        <w:t>),(</w:t>
      </w:r>
      <w:proofErr w:type="gramEnd"/>
      <w:r w:rsidRPr="00BB32DB">
        <w:rPr>
          <w:sz w:val="22"/>
          <w:szCs w:val="22"/>
        </w:rPr>
        <w:t xml:space="preserve">c). </w:t>
      </w:r>
    </w:p>
    <w:p w14:paraId="7D7F96EB"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(b)  The instrument’s “issue price.” See IRC §1273(b). </w:t>
      </w:r>
    </w:p>
    <w:p w14:paraId="22CDABFC"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(c)  The original issue discount (OID) on the instrument. See IRC §§1273(a)(1), (3). </w:t>
      </w:r>
    </w:p>
    <w:p w14:paraId="474BAAB4"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(d)  The accrual </w:t>
      </w:r>
      <w:proofErr w:type="gramStart"/>
      <w:r w:rsidRPr="00BB32DB">
        <w:rPr>
          <w:sz w:val="22"/>
          <w:szCs w:val="22"/>
        </w:rPr>
        <w:t>period</w:t>
      </w:r>
      <w:proofErr w:type="gramEnd"/>
      <w:r w:rsidRPr="00BB32DB">
        <w:rPr>
          <w:sz w:val="22"/>
          <w:szCs w:val="22"/>
        </w:rPr>
        <w:t xml:space="preserve">. See IRC §1272(a)(5); Reg. §1.1272-1(b)(1)(ii). </w:t>
      </w:r>
    </w:p>
    <w:p w14:paraId="3CE09228"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(e)  The instrument’s “adjusted issue price.” See IRC §1272(a)(4). </w:t>
      </w:r>
    </w:p>
    <w:p w14:paraId="0E53EF69"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(f)  The instrument’s “yield to maturity.” See Reg. §1.1272-1(b)(1)(i). </w:t>
      </w:r>
    </w:p>
    <w:p w14:paraId="451451AE"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(g)  The “daily portion” of OID for each day during the two years the instrument is outstanding. See IRC §1272(a)(3); Reg. §1.1272-1(b)(1)(iv). See also IRC §163(e). Assume the instrument is issued on March 1 of year 1, and Harry, whose taxable year is the calendar year, holds the instrument until it matures. </w:t>
      </w:r>
    </w:p>
    <w:p w14:paraId="378E6571"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t xml:space="preserve">(h)  Harry’s adjusted basis for the instrument. See IRC §1272(c)(2). </w:t>
      </w:r>
    </w:p>
    <w:p w14:paraId="6CD662BC" w14:textId="77777777" w:rsidR="006E5FA4" w:rsidRPr="00BB32DB" w:rsidRDefault="006E5FA4" w:rsidP="006E5FA4">
      <w:pPr>
        <w:numPr>
          <w:ilvl w:val="0"/>
          <w:numId w:val="17"/>
        </w:numPr>
        <w:spacing w:before="100" w:beforeAutospacing="1" w:after="100" w:afterAutospacing="1"/>
        <w:rPr>
          <w:sz w:val="22"/>
          <w:szCs w:val="22"/>
        </w:rPr>
      </w:pPr>
      <w:r w:rsidRPr="00BB32DB">
        <w:rPr>
          <w:sz w:val="22"/>
          <w:szCs w:val="22"/>
        </w:rPr>
        <w:lastRenderedPageBreak/>
        <w:t xml:space="preserve">(i)  Does Harry have to use a financial calculator to do his income tax return? See IRC §§1275(c), 6041. </w:t>
      </w:r>
    </w:p>
    <w:p w14:paraId="7796B975" w14:textId="77777777" w:rsidR="006E5FA4" w:rsidRPr="00BB32DB" w:rsidRDefault="006E5FA4" w:rsidP="006E5FA4">
      <w:pPr>
        <w:spacing w:before="100" w:beforeAutospacing="1" w:after="100" w:afterAutospacing="1"/>
        <w:rPr>
          <w:sz w:val="22"/>
          <w:szCs w:val="22"/>
        </w:rPr>
      </w:pPr>
      <w:r w:rsidRPr="00BB32DB">
        <w:rPr>
          <w:sz w:val="22"/>
          <w:szCs w:val="22"/>
        </w:rPr>
        <w:t xml:space="preserve">2. Harry sells the X note to Holly for $900 six months after the issue date. What are the resulting consequences to Harry and Holly? Does Holly have to use a financial calculator to do her income tax return? How would the calculations change if the sale occurred five months after the issue date? </w:t>
      </w:r>
    </w:p>
    <w:p w14:paraId="6C55C4BF" w14:textId="77777777" w:rsidR="006E5FA4" w:rsidRPr="00BB32DB" w:rsidRDefault="006E5FA4" w:rsidP="006E5FA4">
      <w:pPr>
        <w:spacing w:before="100" w:beforeAutospacing="1" w:after="100" w:afterAutospacing="1"/>
        <w:rPr>
          <w:sz w:val="22"/>
          <w:szCs w:val="22"/>
        </w:rPr>
      </w:pPr>
      <w:r w:rsidRPr="00BB32DB">
        <w:rPr>
          <w:sz w:val="22"/>
          <w:szCs w:val="22"/>
        </w:rPr>
        <w:t xml:space="preserve">3. Y Corp. issues a 10-year, $1,000, 6 percent note to Helen. Y is required to pay interest on the note semiannually. The note is issued at the beginning of the fourth month of the taxable year of both Y and Helen, Y uses the accrual method of accounting, and Helen uses the cash method of accounting. What are the income tax consequences for Y and Helen in the following alternative cases? </w:t>
      </w:r>
    </w:p>
    <w:p w14:paraId="3169CE58" w14:textId="77777777" w:rsidR="006E5FA4" w:rsidRPr="00BB32DB" w:rsidRDefault="006E5FA4" w:rsidP="006E5FA4">
      <w:pPr>
        <w:spacing w:before="100" w:beforeAutospacing="1" w:after="100" w:afterAutospacing="1"/>
        <w:ind w:left="360"/>
        <w:rPr>
          <w:sz w:val="22"/>
          <w:szCs w:val="22"/>
        </w:rPr>
      </w:pPr>
      <w:r w:rsidRPr="00BB32DB">
        <w:rPr>
          <w:sz w:val="22"/>
          <w:szCs w:val="22"/>
        </w:rPr>
        <w:t xml:space="preserve">(a)  The issue price is $1,000. </w:t>
      </w:r>
    </w:p>
    <w:p w14:paraId="431DE2A8" w14:textId="77777777" w:rsidR="006E5FA4" w:rsidRPr="00BB32DB" w:rsidRDefault="006E5FA4" w:rsidP="006E5FA4">
      <w:pPr>
        <w:spacing w:before="100" w:beforeAutospacing="1" w:after="100" w:afterAutospacing="1"/>
        <w:ind w:left="360"/>
        <w:rPr>
          <w:sz w:val="22"/>
          <w:szCs w:val="22"/>
        </w:rPr>
      </w:pPr>
      <w:r w:rsidRPr="00BB32DB">
        <w:rPr>
          <w:sz w:val="22"/>
          <w:szCs w:val="22"/>
        </w:rPr>
        <w:t xml:space="preserve">(b)  The issue price is $928.94. </w:t>
      </w:r>
    </w:p>
    <w:p w14:paraId="6C8D14F4" w14:textId="77777777" w:rsidR="006E5FA4" w:rsidRPr="00BB32DB" w:rsidRDefault="006E5FA4" w:rsidP="006E5FA4">
      <w:pPr>
        <w:spacing w:before="100" w:beforeAutospacing="1" w:after="100" w:afterAutospacing="1"/>
        <w:ind w:left="360"/>
        <w:rPr>
          <w:sz w:val="22"/>
          <w:szCs w:val="22"/>
        </w:rPr>
      </w:pPr>
      <w:r w:rsidRPr="00BB32DB">
        <w:rPr>
          <w:sz w:val="22"/>
          <w:szCs w:val="22"/>
        </w:rPr>
        <w:t xml:space="preserve">(c)  The issue price is $985. </w:t>
      </w:r>
    </w:p>
    <w:p w14:paraId="7B69D13E" w14:textId="77777777" w:rsidR="006E5FA4" w:rsidRPr="00BB32DB" w:rsidRDefault="006E5FA4" w:rsidP="006E5FA4">
      <w:pPr>
        <w:spacing w:before="100" w:beforeAutospacing="1" w:after="100" w:afterAutospacing="1"/>
        <w:ind w:left="360"/>
        <w:rPr>
          <w:sz w:val="22"/>
          <w:szCs w:val="22"/>
        </w:rPr>
      </w:pPr>
      <w:r w:rsidRPr="00BB32DB">
        <w:rPr>
          <w:sz w:val="22"/>
          <w:szCs w:val="22"/>
        </w:rPr>
        <w:t xml:space="preserve">(d)  The issue price is $1,077.95. See IRC §171; Reg. §1.163-13. </w:t>
      </w:r>
    </w:p>
    <w:p w14:paraId="258D3A6D" w14:textId="77777777" w:rsidR="006E5FA4" w:rsidRPr="00BB32DB" w:rsidRDefault="006E5FA4" w:rsidP="006E5FA4">
      <w:pPr>
        <w:spacing w:before="100" w:beforeAutospacing="1" w:after="100" w:afterAutospacing="1"/>
        <w:rPr>
          <w:sz w:val="22"/>
          <w:szCs w:val="22"/>
        </w:rPr>
      </w:pPr>
      <w:r w:rsidRPr="00BB32DB">
        <w:rPr>
          <w:sz w:val="22"/>
          <w:szCs w:val="22"/>
        </w:rPr>
        <w:t xml:space="preserve">4. </w:t>
      </w:r>
      <w:proofErr w:type="spellStart"/>
      <w:r w:rsidRPr="00BB32DB">
        <w:rPr>
          <w:sz w:val="22"/>
          <w:szCs w:val="22"/>
        </w:rPr>
        <w:t>BigBank</w:t>
      </w:r>
      <w:proofErr w:type="spellEnd"/>
      <w:r w:rsidRPr="00BB32DB">
        <w:rPr>
          <w:sz w:val="22"/>
          <w:szCs w:val="22"/>
        </w:rPr>
        <w:t xml:space="preserve"> lends $1,000 to Laura under a five-year note bearing interest at 7 percent, which generally requires Laura to pay interest semiannually, but requires her to pay the interest for the first 18 months in advance when the loan is made. When Laura signs the note, the bank credits to her checking account at the bank $895 ($1,000, less prepaid interest of $105). What are the resulting income tax consequences to </w:t>
      </w:r>
      <w:proofErr w:type="spellStart"/>
      <w:r w:rsidRPr="00BB32DB">
        <w:rPr>
          <w:sz w:val="22"/>
          <w:szCs w:val="22"/>
        </w:rPr>
        <w:t>BigBank</w:t>
      </w:r>
      <w:proofErr w:type="spellEnd"/>
      <w:r w:rsidRPr="00BB32DB">
        <w:rPr>
          <w:sz w:val="22"/>
          <w:szCs w:val="22"/>
        </w:rPr>
        <w:t xml:space="preserve"> and Laura? See Reg. §1.1273-2(g)(2)(i). Hint: The yield to maturity is 7.17 percent. </w:t>
      </w:r>
    </w:p>
    <w:p w14:paraId="360727AA" w14:textId="77777777" w:rsidR="006E5FA4" w:rsidRPr="00BB32DB" w:rsidRDefault="006E5FA4" w:rsidP="006E5FA4">
      <w:pPr>
        <w:spacing w:before="100" w:beforeAutospacing="1" w:after="100" w:afterAutospacing="1"/>
        <w:rPr>
          <w:sz w:val="22"/>
          <w:szCs w:val="22"/>
        </w:rPr>
      </w:pPr>
      <w:r w:rsidRPr="00BB32DB">
        <w:rPr>
          <w:sz w:val="22"/>
          <w:szCs w:val="22"/>
        </w:rPr>
        <w:t xml:space="preserve">5. I Corp. issues a $1,000, 6 percent, 10-year bond for $1,000. Interest is normally payable semiannually in cash, but I may, in lieu of making a particular interest payment in cash, issue to each holder a $30 note bearing interest, payable semiannually, at 125 basis points </w:t>
      </w:r>
      <w:proofErr w:type="gramStart"/>
      <w:r w:rsidRPr="00BB32DB">
        <w:rPr>
          <w:sz w:val="22"/>
          <w:szCs w:val="22"/>
        </w:rPr>
        <w:t>in excess of</w:t>
      </w:r>
      <w:proofErr w:type="gramEnd"/>
      <w:r w:rsidRPr="00BB32DB">
        <w:rPr>
          <w:sz w:val="22"/>
          <w:szCs w:val="22"/>
        </w:rPr>
        <w:t xml:space="preserve"> the yield on 10-year U.S. Treasury notes on the date that the interest payment is due. Each of these notes is payable on the maturity date of the bond. What are the tax consequences to I Corp. and holders of the bonds? </w:t>
      </w:r>
    </w:p>
    <w:p w14:paraId="4B8963D9" w14:textId="77777777" w:rsidR="006E5FA4" w:rsidRPr="00BB32DB" w:rsidRDefault="006E5FA4" w:rsidP="006E5FA4">
      <w:pPr>
        <w:spacing w:before="100" w:beforeAutospacing="1" w:after="100" w:afterAutospacing="1"/>
        <w:rPr>
          <w:sz w:val="22"/>
          <w:szCs w:val="22"/>
        </w:rPr>
      </w:pPr>
      <w:r w:rsidRPr="00BB32DB">
        <w:rPr>
          <w:sz w:val="22"/>
          <w:szCs w:val="22"/>
        </w:rPr>
        <w:t xml:space="preserve">6. Ben purchases a condominium apartment for $120,000, paying $20,000 down and financing the remaining $100,000 with a 20-year mortgage loan from Last National Bank. The interest rate on the loan is 6 percent. The bank charges two points. (A “point” is a fee charged by the bank equal to one percent of the principal amount of the loan.) At the closing of the purchase, (1) Ben signs a mortgage </w:t>
      </w:r>
      <w:proofErr w:type="gramStart"/>
      <w:r w:rsidRPr="00BB32DB">
        <w:rPr>
          <w:sz w:val="22"/>
          <w:szCs w:val="22"/>
        </w:rPr>
        <w:t>note</w:t>
      </w:r>
      <w:proofErr w:type="gramEnd"/>
      <w:r w:rsidRPr="00BB32DB">
        <w:rPr>
          <w:sz w:val="22"/>
          <w:szCs w:val="22"/>
        </w:rPr>
        <w:t xml:space="preserve"> for $102,040.82, which he agrees to pay in 240 equal monthly installments of $731.05 each, and (2) the bank disburses $100,000 to the seller of the condominium. The difference between the principal amount of the mortgage </w:t>
      </w:r>
      <w:proofErr w:type="gramStart"/>
      <w:r w:rsidRPr="00BB32DB">
        <w:rPr>
          <w:sz w:val="22"/>
          <w:szCs w:val="22"/>
        </w:rPr>
        <w:t>note</w:t>
      </w:r>
      <w:proofErr w:type="gramEnd"/>
      <w:r w:rsidRPr="00BB32DB">
        <w:rPr>
          <w:sz w:val="22"/>
          <w:szCs w:val="22"/>
        </w:rPr>
        <w:t xml:space="preserve"> and the amount disbursed to the purchaser is the bank’s fee (points). How should Ben and the Bank treat the points for income tax purposes if, alternatively, </w:t>
      </w:r>
    </w:p>
    <w:p w14:paraId="70C8536C" w14:textId="77777777" w:rsidR="006E5FA4" w:rsidRPr="00BB32DB" w:rsidRDefault="006E5FA4" w:rsidP="006E5FA4">
      <w:pPr>
        <w:numPr>
          <w:ilvl w:val="0"/>
          <w:numId w:val="18"/>
        </w:numPr>
        <w:spacing w:before="100" w:beforeAutospacing="1" w:after="100" w:afterAutospacing="1"/>
        <w:rPr>
          <w:sz w:val="22"/>
          <w:szCs w:val="22"/>
        </w:rPr>
      </w:pPr>
      <w:r w:rsidRPr="00BB32DB">
        <w:rPr>
          <w:sz w:val="22"/>
          <w:szCs w:val="22"/>
        </w:rPr>
        <w:lastRenderedPageBreak/>
        <w:t xml:space="preserve">(a)  Ben immediately makes the condominium his principal </w:t>
      </w:r>
      <w:proofErr w:type="gramStart"/>
      <w:r w:rsidRPr="00BB32DB">
        <w:rPr>
          <w:sz w:val="22"/>
          <w:szCs w:val="22"/>
        </w:rPr>
        <w:t>residence?</w:t>
      </w:r>
      <w:proofErr w:type="gramEnd"/>
      <w:r w:rsidRPr="00BB32DB">
        <w:rPr>
          <w:sz w:val="22"/>
          <w:szCs w:val="22"/>
        </w:rPr>
        <w:t xml:space="preserve"> </w:t>
      </w:r>
    </w:p>
    <w:p w14:paraId="50353D09" w14:textId="77777777" w:rsidR="006E5FA4" w:rsidRPr="00BB32DB" w:rsidRDefault="006E5FA4" w:rsidP="006E5FA4">
      <w:pPr>
        <w:numPr>
          <w:ilvl w:val="0"/>
          <w:numId w:val="18"/>
        </w:numPr>
        <w:spacing w:before="100" w:beforeAutospacing="1" w:after="100" w:afterAutospacing="1"/>
        <w:rPr>
          <w:sz w:val="22"/>
          <w:szCs w:val="22"/>
        </w:rPr>
      </w:pPr>
      <w:r w:rsidRPr="00BB32DB">
        <w:rPr>
          <w:sz w:val="22"/>
          <w:szCs w:val="22"/>
        </w:rPr>
        <w:t xml:space="preserve">(b)  Ben uses the condominium, which </w:t>
      </w:r>
      <w:proofErr w:type="gramStart"/>
      <w:r w:rsidRPr="00BB32DB">
        <w:rPr>
          <w:sz w:val="22"/>
          <w:szCs w:val="22"/>
        </w:rPr>
        <w:t>is located in</w:t>
      </w:r>
      <w:proofErr w:type="gramEnd"/>
      <w:r w:rsidRPr="00BB32DB">
        <w:rPr>
          <w:sz w:val="22"/>
          <w:szCs w:val="22"/>
        </w:rPr>
        <w:t xml:space="preserve"> a mountain community in North Carolina, as a vacation home? </w:t>
      </w:r>
    </w:p>
    <w:p w14:paraId="25736434" w14:textId="77777777" w:rsidR="006E5FA4" w:rsidRPr="00BB32DB" w:rsidRDefault="006E5FA4" w:rsidP="006E5FA4">
      <w:pPr>
        <w:spacing w:before="100" w:beforeAutospacing="1" w:after="100" w:afterAutospacing="1"/>
        <w:rPr>
          <w:sz w:val="22"/>
          <w:szCs w:val="22"/>
        </w:rPr>
      </w:pPr>
      <w:r w:rsidRPr="00BB32DB">
        <w:rPr>
          <w:sz w:val="22"/>
          <w:szCs w:val="22"/>
        </w:rPr>
        <w:t xml:space="preserve">See IRC §§163(h), 461(g); Rev. Proc. 94-27, 1994-1 CB 613. </w:t>
      </w:r>
    </w:p>
    <w:p w14:paraId="56D7E1E0" w14:textId="77777777" w:rsidR="006E5FA4" w:rsidRPr="00BB32DB" w:rsidRDefault="006E5FA4" w:rsidP="006E5FA4">
      <w:pPr>
        <w:spacing w:before="100" w:beforeAutospacing="1" w:after="100" w:afterAutospacing="1"/>
        <w:rPr>
          <w:sz w:val="22"/>
          <w:szCs w:val="22"/>
        </w:rPr>
      </w:pPr>
      <w:r w:rsidRPr="00BB32DB">
        <w:rPr>
          <w:sz w:val="22"/>
          <w:szCs w:val="22"/>
        </w:rPr>
        <w:t xml:space="preserve">7. D Corp. issues a 10-year, $1,000 note under which interest is payable semiannually at a rate equal to 75 basis points </w:t>
      </w:r>
      <w:proofErr w:type="gramStart"/>
      <w:r w:rsidRPr="00BB32DB">
        <w:rPr>
          <w:sz w:val="22"/>
          <w:szCs w:val="22"/>
        </w:rPr>
        <w:t>in excess of</w:t>
      </w:r>
      <w:proofErr w:type="gramEnd"/>
      <w:r w:rsidRPr="00BB32DB">
        <w:rPr>
          <w:sz w:val="22"/>
          <w:szCs w:val="22"/>
        </w:rPr>
        <w:t xml:space="preserve"> the six-month </w:t>
      </w:r>
      <w:r>
        <w:rPr>
          <w:sz w:val="22"/>
          <w:szCs w:val="22"/>
        </w:rPr>
        <w:t>Secured Overnight Financing</w:t>
      </w:r>
      <w:r w:rsidRPr="00BB32DB">
        <w:rPr>
          <w:sz w:val="22"/>
          <w:szCs w:val="22"/>
        </w:rPr>
        <w:t xml:space="preserve"> Rate (</w:t>
      </w:r>
      <w:r>
        <w:rPr>
          <w:sz w:val="22"/>
          <w:szCs w:val="22"/>
        </w:rPr>
        <w:t>SOFR</w:t>
      </w:r>
      <w:r w:rsidRPr="00BB32DB">
        <w:rPr>
          <w:sz w:val="22"/>
          <w:szCs w:val="22"/>
        </w:rPr>
        <w:t xml:space="preserve">) in effect on the first day of the particular interest period. The issue price is $1,000. </w:t>
      </w:r>
    </w:p>
    <w:p w14:paraId="3301370D" w14:textId="77777777" w:rsidR="006E5FA4" w:rsidRPr="00BB32DB" w:rsidRDefault="006E5FA4" w:rsidP="006E5FA4">
      <w:pPr>
        <w:numPr>
          <w:ilvl w:val="0"/>
          <w:numId w:val="19"/>
        </w:numPr>
        <w:spacing w:before="100" w:beforeAutospacing="1" w:after="100" w:afterAutospacing="1"/>
        <w:rPr>
          <w:sz w:val="22"/>
          <w:szCs w:val="22"/>
        </w:rPr>
      </w:pPr>
      <w:r w:rsidRPr="00BB32DB">
        <w:rPr>
          <w:sz w:val="22"/>
          <w:szCs w:val="22"/>
        </w:rPr>
        <w:t xml:space="preserve">(a)  If the </w:t>
      </w:r>
      <w:r>
        <w:rPr>
          <w:sz w:val="22"/>
          <w:szCs w:val="22"/>
        </w:rPr>
        <w:t>SOFR</w:t>
      </w:r>
      <w:r w:rsidRPr="00BB32DB">
        <w:rPr>
          <w:sz w:val="22"/>
          <w:szCs w:val="22"/>
        </w:rPr>
        <w:t xml:space="preserve"> is 2.43 percent on a particular determination date, how is interest for the period computed under the note? </w:t>
      </w:r>
    </w:p>
    <w:p w14:paraId="50A9BE0C" w14:textId="77777777" w:rsidR="006E5FA4" w:rsidRPr="00BB32DB" w:rsidRDefault="006E5FA4" w:rsidP="006E5FA4">
      <w:pPr>
        <w:numPr>
          <w:ilvl w:val="0"/>
          <w:numId w:val="19"/>
        </w:numPr>
        <w:spacing w:before="100" w:beforeAutospacing="1" w:after="100" w:afterAutospacing="1"/>
        <w:rPr>
          <w:sz w:val="22"/>
          <w:szCs w:val="22"/>
        </w:rPr>
      </w:pPr>
      <w:r w:rsidRPr="00BB32DB">
        <w:rPr>
          <w:sz w:val="22"/>
          <w:szCs w:val="22"/>
        </w:rPr>
        <w:t xml:space="preserve">(b)  Does the note have OID? </w:t>
      </w:r>
    </w:p>
    <w:p w14:paraId="1AECA169" w14:textId="77777777" w:rsidR="006E5FA4" w:rsidRPr="00BB32DB" w:rsidRDefault="006E5FA4" w:rsidP="006E5FA4">
      <w:pPr>
        <w:spacing w:before="100" w:beforeAutospacing="1" w:after="100" w:afterAutospacing="1"/>
        <w:rPr>
          <w:sz w:val="22"/>
          <w:szCs w:val="22"/>
        </w:rPr>
      </w:pPr>
      <w:r w:rsidRPr="00BB32DB">
        <w:rPr>
          <w:sz w:val="22"/>
          <w:szCs w:val="22"/>
        </w:rPr>
        <w:t xml:space="preserve">See Reg. §1.1275-5(a), (b), (d) </w:t>
      </w:r>
      <w:proofErr w:type="spellStart"/>
      <w:r w:rsidRPr="00BB32DB">
        <w:rPr>
          <w:sz w:val="22"/>
          <w:szCs w:val="22"/>
        </w:rPr>
        <w:t>Exs</w:t>
      </w:r>
      <w:proofErr w:type="spellEnd"/>
      <w:r w:rsidRPr="00BB32DB">
        <w:rPr>
          <w:sz w:val="22"/>
          <w:szCs w:val="22"/>
        </w:rPr>
        <w:t xml:space="preserve">. 1, 2, (e)(2). For the </w:t>
      </w:r>
      <w:r>
        <w:rPr>
          <w:sz w:val="22"/>
          <w:szCs w:val="22"/>
        </w:rPr>
        <w:t>SOFR</w:t>
      </w:r>
      <w:r w:rsidRPr="00BB32DB">
        <w:rPr>
          <w:sz w:val="22"/>
          <w:szCs w:val="22"/>
        </w:rPr>
        <w:t xml:space="preserve">, see Young &amp; Humphreys, Breaking Up With </w:t>
      </w:r>
      <w:r>
        <w:rPr>
          <w:sz w:val="22"/>
          <w:szCs w:val="22"/>
        </w:rPr>
        <w:t>LIBOR</w:t>
      </w:r>
      <w:r w:rsidRPr="00BB32DB">
        <w:rPr>
          <w:sz w:val="22"/>
          <w:szCs w:val="22"/>
        </w:rPr>
        <w:t xml:space="preserve">, 164 Tax Notes Fed. 1719 (Sept. 9, 2019). </w:t>
      </w:r>
    </w:p>
    <w:p w14:paraId="02F904D3" w14:textId="77777777" w:rsidR="006E5FA4" w:rsidRPr="00BB32DB" w:rsidRDefault="006E5FA4" w:rsidP="006E5FA4">
      <w:pPr>
        <w:spacing w:before="100" w:beforeAutospacing="1" w:after="100" w:afterAutospacing="1"/>
        <w:rPr>
          <w:sz w:val="22"/>
          <w:szCs w:val="22"/>
        </w:rPr>
      </w:pPr>
      <w:r w:rsidRPr="00BB32DB">
        <w:rPr>
          <w:sz w:val="22"/>
          <w:szCs w:val="22"/>
        </w:rPr>
        <w:t xml:space="preserve">8. X Corp. issues a 10-year, $25,000 debt note for $25,000. Interest on the note is payable every 28 days. The interest rate for the first 28 days is 5 percent. On the 21st day of each interest period, a bank acting as agent for the issuer holds an auction. Every holder of one of the notes may enter his or her note in the auction. The auction is open to all interested buyers, who bid for </w:t>
      </w:r>
      <w:proofErr w:type="gramStart"/>
      <w:r w:rsidRPr="00BB32DB">
        <w:rPr>
          <w:sz w:val="22"/>
          <w:szCs w:val="22"/>
        </w:rPr>
        <w:t>particular quantities</w:t>
      </w:r>
      <w:proofErr w:type="gramEnd"/>
      <w:r w:rsidRPr="00BB32DB">
        <w:rPr>
          <w:sz w:val="22"/>
          <w:szCs w:val="22"/>
        </w:rPr>
        <w:t xml:space="preserve"> of the notes at particular interest rates. The interest rate for the succeeding period is the lowest yield at which all notes submitted in the auction find buyers for $25,000 each (the “clearing rate”). How is OID determined? See Reg. §1.1275-5(f). </w:t>
      </w:r>
    </w:p>
    <w:p w14:paraId="263AD7AA" w14:textId="77777777" w:rsidR="006E5FA4" w:rsidRPr="00BB32DB" w:rsidRDefault="006E5FA4" w:rsidP="006E5FA4">
      <w:pPr>
        <w:spacing w:before="100" w:beforeAutospacing="1" w:after="100" w:afterAutospacing="1"/>
        <w:rPr>
          <w:sz w:val="22"/>
          <w:szCs w:val="22"/>
        </w:rPr>
      </w:pPr>
      <w:r w:rsidRPr="00BB32DB">
        <w:rPr>
          <w:sz w:val="22"/>
          <w:szCs w:val="22"/>
        </w:rPr>
        <w:t xml:space="preserve">9. Helen owns a $1,000, 6 percent bond that she purchased at original issue for $1,000. Ten days before the due date of a semiannual interest payment, Helen sells the bond to Herman for $1,030. The issuer of the bond pays that interest payment to Herman when due. What are the tax consequences to Helen and Herman? See Reg. §1.61-7(d). </w:t>
      </w:r>
    </w:p>
    <w:p w14:paraId="3A705367" w14:textId="77777777" w:rsidR="006E5FA4" w:rsidRPr="00BB32DB" w:rsidRDefault="006E5FA4" w:rsidP="006E5FA4">
      <w:pPr>
        <w:spacing w:before="100" w:beforeAutospacing="1" w:after="100" w:afterAutospacing="1"/>
        <w:rPr>
          <w:sz w:val="22"/>
          <w:szCs w:val="22"/>
        </w:rPr>
      </w:pPr>
      <w:r w:rsidRPr="00BB32DB">
        <w:rPr>
          <w:sz w:val="22"/>
          <w:szCs w:val="22"/>
        </w:rPr>
        <w:t xml:space="preserve">10. The board of directors of X Corp., on September 1, declares a dividend of $1 per share on the corporation’s common stock, payable on November 1 to shareholders of record on October 15. The stock is traded on NASDAQ. The ex-dividend date is October 13. (A person buying stock on or after the ex-dividend date does not receive the dividend because the purchase is recorded on the shareholder records after the record date.) </w:t>
      </w:r>
    </w:p>
    <w:p w14:paraId="023C5B35" w14:textId="77777777" w:rsidR="006E5FA4" w:rsidRPr="00BB32DB" w:rsidRDefault="006E5FA4" w:rsidP="006E5FA4">
      <w:pPr>
        <w:numPr>
          <w:ilvl w:val="0"/>
          <w:numId w:val="20"/>
        </w:numPr>
        <w:spacing w:before="100" w:beforeAutospacing="1" w:after="100" w:afterAutospacing="1"/>
        <w:rPr>
          <w:sz w:val="22"/>
          <w:szCs w:val="22"/>
        </w:rPr>
      </w:pPr>
      <w:r w:rsidRPr="00BB32DB">
        <w:rPr>
          <w:sz w:val="22"/>
          <w:szCs w:val="22"/>
        </w:rPr>
        <w:t xml:space="preserve">(a)  Harvey, who has owned 100 shares of the stock for several years, sells the stock on October 12. </w:t>
      </w:r>
    </w:p>
    <w:p w14:paraId="6083A9FD" w14:textId="77777777" w:rsidR="006E5FA4" w:rsidRPr="00BB32DB" w:rsidRDefault="006E5FA4" w:rsidP="006E5FA4">
      <w:pPr>
        <w:numPr>
          <w:ilvl w:val="0"/>
          <w:numId w:val="20"/>
        </w:numPr>
        <w:spacing w:before="100" w:beforeAutospacing="1" w:after="100" w:afterAutospacing="1"/>
        <w:rPr>
          <w:sz w:val="22"/>
          <w:szCs w:val="22"/>
        </w:rPr>
      </w:pPr>
      <w:r w:rsidRPr="00BB32DB">
        <w:rPr>
          <w:sz w:val="22"/>
          <w:szCs w:val="22"/>
        </w:rPr>
        <w:t xml:space="preserve">(b)  Harold purchases 100 shares of X stock on October 12. </w:t>
      </w:r>
    </w:p>
    <w:p w14:paraId="361D2F6C" w14:textId="77777777" w:rsidR="006E5FA4" w:rsidRPr="00BB32DB" w:rsidRDefault="006E5FA4" w:rsidP="006E5FA4">
      <w:pPr>
        <w:spacing w:before="100" w:beforeAutospacing="1" w:after="100" w:afterAutospacing="1"/>
        <w:rPr>
          <w:sz w:val="22"/>
          <w:szCs w:val="22"/>
        </w:rPr>
      </w:pPr>
      <w:r w:rsidRPr="00BB32DB">
        <w:rPr>
          <w:sz w:val="22"/>
          <w:szCs w:val="22"/>
        </w:rPr>
        <w:t xml:space="preserve">See Reg. §1.301-1(b). </w:t>
      </w:r>
    </w:p>
    <w:p w14:paraId="18B10AEB" w14:textId="77777777" w:rsidR="006E5FA4" w:rsidRPr="00BB32DB" w:rsidRDefault="006E5FA4" w:rsidP="006E5FA4">
      <w:pPr>
        <w:spacing w:before="100" w:beforeAutospacing="1" w:after="100" w:afterAutospacing="1"/>
        <w:rPr>
          <w:sz w:val="22"/>
          <w:szCs w:val="22"/>
        </w:rPr>
      </w:pPr>
      <w:r w:rsidRPr="00BB32DB">
        <w:rPr>
          <w:sz w:val="22"/>
          <w:szCs w:val="22"/>
        </w:rPr>
        <w:lastRenderedPageBreak/>
        <w:t xml:space="preserve">11. The City of Gainesville issues a 10-year, $1,000 note, which bears no interest. Henry purchases the note at original issue for $672.97 and sells the note three years later. Compute and characterize Henry’s gain or loss on the sale assuming, alternatively, that the selling price </w:t>
      </w:r>
      <w:proofErr w:type="gramStart"/>
      <w:r w:rsidRPr="00BB32DB">
        <w:rPr>
          <w:sz w:val="22"/>
          <w:szCs w:val="22"/>
        </w:rPr>
        <w:t>is</w:t>
      </w:r>
      <w:proofErr w:type="gramEnd"/>
      <w:r w:rsidRPr="00BB32DB">
        <w:rPr>
          <w:sz w:val="22"/>
          <w:szCs w:val="22"/>
        </w:rPr>
        <w:t xml:space="preserve"> </w:t>
      </w:r>
    </w:p>
    <w:p w14:paraId="5AFC9430" w14:textId="77777777" w:rsidR="006E5FA4" w:rsidRPr="00BB32DB" w:rsidRDefault="006E5FA4" w:rsidP="006E5FA4">
      <w:pPr>
        <w:numPr>
          <w:ilvl w:val="0"/>
          <w:numId w:val="21"/>
        </w:numPr>
        <w:spacing w:before="100" w:beforeAutospacing="1" w:after="100" w:afterAutospacing="1"/>
        <w:rPr>
          <w:sz w:val="22"/>
          <w:szCs w:val="22"/>
        </w:rPr>
      </w:pPr>
      <w:r w:rsidRPr="00BB32DB">
        <w:rPr>
          <w:sz w:val="22"/>
          <w:szCs w:val="22"/>
        </w:rPr>
        <w:t xml:space="preserve">(a)  $758. </w:t>
      </w:r>
    </w:p>
    <w:p w14:paraId="26CDE5D5" w14:textId="77777777" w:rsidR="006E5FA4" w:rsidRPr="00BB32DB" w:rsidRDefault="006E5FA4" w:rsidP="006E5FA4">
      <w:pPr>
        <w:numPr>
          <w:ilvl w:val="0"/>
          <w:numId w:val="21"/>
        </w:numPr>
        <w:spacing w:before="100" w:beforeAutospacing="1" w:after="100" w:afterAutospacing="1"/>
        <w:rPr>
          <w:sz w:val="22"/>
          <w:szCs w:val="22"/>
        </w:rPr>
      </w:pPr>
      <w:r w:rsidRPr="00BB32DB">
        <w:rPr>
          <w:sz w:val="22"/>
          <w:szCs w:val="22"/>
        </w:rPr>
        <w:t xml:space="preserve">(b)  $784. </w:t>
      </w:r>
    </w:p>
    <w:p w14:paraId="43F6E18A" w14:textId="77777777" w:rsidR="006E5FA4" w:rsidRPr="00BB32DB" w:rsidRDefault="006E5FA4" w:rsidP="006E5FA4">
      <w:pPr>
        <w:numPr>
          <w:ilvl w:val="0"/>
          <w:numId w:val="21"/>
        </w:numPr>
        <w:spacing w:before="100" w:beforeAutospacing="1" w:after="100" w:afterAutospacing="1"/>
        <w:rPr>
          <w:sz w:val="22"/>
          <w:szCs w:val="22"/>
        </w:rPr>
      </w:pPr>
      <w:r w:rsidRPr="00BB32DB">
        <w:rPr>
          <w:sz w:val="22"/>
          <w:szCs w:val="22"/>
        </w:rPr>
        <w:t xml:space="preserve">(c)  $732. </w:t>
      </w:r>
    </w:p>
    <w:p w14:paraId="713737B5" w14:textId="77777777" w:rsidR="006E5FA4" w:rsidRPr="00BB32DB" w:rsidRDefault="006E5FA4" w:rsidP="006E5FA4">
      <w:pPr>
        <w:spacing w:before="100" w:beforeAutospacing="1" w:after="100" w:afterAutospacing="1"/>
        <w:rPr>
          <w:sz w:val="22"/>
          <w:szCs w:val="22"/>
        </w:rPr>
      </w:pPr>
      <w:r w:rsidRPr="00BB32DB">
        <w:rPr>
          <w:sz w:val="22"/>
          <w:szCs w:val="22"/>
        </w:rPr>
        <w:t xml:space="preserve">In each of these cases, what is the buyer’s yield to maturity? How is the buyer’s basis for the note determined and adjusted? See IRC §§103, 1288. See also IRC §265(a)(2). </w:t>
      </w:r>
    </w:p>
    <w:p w14:paraId="6E610D04" w14:textId="77777777" w:rsidR="006E5FA4" w:rsidRPr="00BB32DB" w:rsidRDefault="006E5FA4" w:rsidP="006E5FA4">
      <w:pPr>
        <w:spacing w:before="100" w:beforeAutospacing="1" w:after="100" w:afterAutospacing="1"/>
        <w:rPr>
          <w:sz w:val="22"/>
          <w:szCs w:val="22"/>
        </w:rPr>
      </w:pPr>
      <w:r w:rsidRPr="00BB32DB">
        <w:rPr>
          <w:sz w:val="22"/>
          <w:szCs w:val="22"/>
        </w:rPr>
        <w:t xml:space="preserve">12. D Corp., a Delaware corporation, issues a $1,000, zero coupon bond, payable in five years, to F Corp., which is organized under the laws of foreign country X. </w:t>
      </w:r>
    </w:p>
    <w:p w14:paraId="1C3D52CF" w14:textId="77777777" w:rsidR="006E5FA4" w:rsidRPr="00BB32DB" w:rsidRDefault="006E5FA4" w:rsidP="006E5FA4">
      <w:pPr>
        <w:spacing w:before="100" w:beforeAutospacing="1" w:after="100" w:afterAutospacing="1"/>
        <w:rPr>
          <w:sz w:val="22"/>
          <w:szCs w:val="22"/>
        </w:rPr>
      </w:pPr>
      <w:r w:rsidRPr="00BB32DB">
        <w:rPr>
          <w:sz w:val="22"/>
          <w:szCs w:val="22"/>
        </w:rPr>
        <w:t xml:space="preserve">The issue price is $744. What is the U.S. tax treatment of OID accruals for D and F if, alternatively, </w:t>
      </w:r>
    </w:p>
    <w:p w14:paraId="779E8884" w14:textId="77777777" w:rsidR="006E5FA4" w:rsidRPr="00BB32DB" w:rsidRDefault="006E5FA4" w:rsidP="006E5FA4">
      <w:pPr>
        <w:numPr>
          <w:ilvl w:val="0"/>
          <w:numId w:val="22"/>
        </w:numPr>
        <w:spacing w:before="100" w:beforeAutospacing="1" w:after="100" w:afterAutospacing="1"/>
        <w:rPr>
          <w:sz w:val="22"/>
          <w:szCs w:val="22"/>
        </w:rPr>
      </w:pPr>
      <w:r w:rsidRPr="00BB32DB">
        <w:rPr>
          <w:sz w:val="22"/>
          <w:szCs w:val="22"/>
        </w:rPr>
        <w:t xml:space="preserve">(a)  F is D’s only shareholder? </w:t>
      </w:r>
    </w:p>
    <w:p w14:paraId="17E82E6F" w14:textId="77777777" w:rsidR="006E5FA4" w:rsidRPr="00BB32DB" w:rsidRDefault="006E5FA4" w:rsidP="006E5FA4">
      <w:pPr>
        <w:numPr>
          <w:ilvl w:val="0"/>
          <w:numId w:val="22"/>
        </w:numPr>
        <w:spacing w:before="100" w:beforeAutospacing="1" w:after="100" w:afterAutospacing="1"/>
        <w:rPr>
          <w:sz w:val="22"/>
          <w:szCs w:val="22"/>
        </w:rPr>
      </w:pPr>
      <w:r w:rsidRPr="00BB32DB">
        <w:rPr>
          <w:sz w:val="22"/>
          <w:szCs w:val="22"/>
        </w:rPr>
        <w:t xml:space="preserve">(b)  D is F’s only shareholder? </w:t>
      </w:r>
    </w:p>
    <w:p w14:paraId="414A232E" w14:textId="77777777" w:rsidR="006E5FA4" w:rsidRPr="00BB32DB" w:rsidRDefault="006E5FA4" w:rsidP="006E5FA4">
      <w:pPr>
        <w:spacing w:before="100" w:beforeAutospacing="1" w:after="100" w:afterAutospacing="1"/>
        <w:rPr>
          <w:sz w:val="22"/>
          <w:szCs w:val="22"/>
        </w:rPr>
      </w:pPr>
      <w:r w:rsidRPr="00BB32DB">
        <w:rPr>
          <w:sz w:val="22"/>
          <w:szCs w:val="22"/>
        </w:rPr>
        <w:t xml:space="preserve">In either case, does the answer depend on whether the United States has an income tax treaty with country X? See IRC §163(e)(3), 881(a)(3). See also IRC §267(a)(3); </w:t>
      </w:r>
      <w:proofErr w:type="spellStart"/>
      <w:r w:rsidRPr="00BB32DB">
        <w:rPr>
          <w:sz w:val="22"/>
          <w:szCs w:val="22"/>
        </w:rPr>
        <w:t>B&amp;L</w:t>
      </w:r>
      <w:proofErr w:type="spellEnd"/>
      <w:r w:rsidRPr="00BB32DB">
        <w:rPr>
          <w:sz w:val="22"/>
          <w:szCs w:val="22"/>
        </w:rPr>
        <w:t xml:space="preserve"> ¶53.5.3. </w:t>
      </w:r>
    </w:p>
    <w:p w14:paraId="543460CB" w14:textId="77777777" w:rsidR="006E5FA4" w:rsidRPr="00BB32DB" w:rsidRDefault="006E5FA4" w:rsidP="006E5FA4">
      <w:pPr>
        <w:spacing w:before="100" w:beforeAutospacing="1" w:after="100" w:afterAutospacing="1"/>
        <w:rPr>
          <w:sz w:val="22"/>
          <w:szCs w:val="22"/>
        </w:rPr>
      </w:pPr>
      <w:r w:rsidRPr="00BB32DB">
        <w:rPr>
          <w:sz w:val="22"/>
          <w:szCs w:val="22"/>
        </w:rPr>
        <w:t xml:space="preserve">13. I Corp., issues a $1,000, zero coupon bond, payable in 10 years to H for $342.73. When the bond is issued, the long-term </w:t>
      </w:r>
      <w:proofErr w:type="spellStart"/>
      <w:r w:rsidRPr="00BB32DB">
        <w:rPr>
          <w:sz w:val="22"/>
          <w:szCs w:val="22"/>
        </w:rPr>
        <w:t>AFR</w:t>
      </w:r>
      <w:proofErr w:type="spellEnd"/>
      <w:r w:rsidRPr="00BB32DB">
        <w:rPr>
          <w:sz w:val="22"/>
          <w:szCs w:val="22"/>
        </w:rPr>
        <w:t xml:space="preserve"> is 5 percent, compounded semiannually. What is the bond’s yield to maturity? What is the U.S. tax treatment of OID accruals on the bond? See IRC §§163(e)(5), 163(i); </w:t>
      </w:r>
      <w:proofErr w:type="spellStart"/>
      <w:r w:rsidRPr="00BB32DB">
        <w:rPr>
          <w:sz w:val="22"/>
          <w:szCs w:val="22"/>
        </w:rPr>
        <w:t>B&amp;L</w:t>
      </w:r>
      <w:proofErr w:type="spellEnd"/>
      <w:r w:rsidRPr="00BB32DB">
        <w:rPr>
          <w:sz w:val="22"/>
          <w:szCs w:val="22"/>
        </w:rPr>
        <w:t xml:space="preserve"> ¶53.5.4. </w:t>
      </w:r>
    </w:p>
    <w:p w14:paraId="787237B7" w14:textId="77777777" w:rsidR="006E5FA4" w:rsidRPr="00BB32DB" w:rsidRDefault="006E5FA4" w:rsidP="006E5FA4">
      <w:pPr>
        <w:spacing w:before="100" w:beforeAutospacing="1" w:after="100" w:afterAutospacing="1"/>
        <w:rPr>
          <w:sz w:val="22"/>
          <w:szCs w:val="22"/>
        </w:rPr>
      </w:pPr>
      <w:r w:rsidRPr="00BB32DB">
        <w:rPr>
          <w:sz w:val="22"/>
          <w:szCs w:val="22"/>
        </w:rPr>
        <w:t xml:space="preserve">14. </w:t>
      </w:r>
      <w:proofErr w:type="spellStart"/>
      <w:r w:rsidRPr="00BB32DB">
        <w:rPr>
          <w:sz w:val="22"/>
          <w:szCs w:val="22"/>
        </w:rPr>
        <w:t>BigBank</w:t>
      </w:r>
      <w:proofErr w:type="spellEnd"/>
      <w:r w:rsidRPr="00BB32DB">
        <w:rPr>
          <w:sz w:val="22"/>
          <w:szCs w:val="22"/>
        </w:rPr>
        <w:t xml:space="preserve"> lends $5 million to X Corp. It thereafter sells the loan to a hedge fund. What is the character of </w:t>
      </w:r>
      <w:proofErr w:type="spellStart"/>
      <w:r w:rsidRPr="00BB32DB">
        <w:rPr>
          <w:sz w:val="22"/>
          <w:szCs w:val="22"/>
        </w:rPr>
        <w:t>BigBank’s</w:t>
      </w:r>
      <w:proofErr w:type="spellEnd"/>
      <w:r w:rsidRPr="00BB32DB">
        <w:rPr>
          <w:sz w:val="22"/>
          <w:szCs w:val="22"/>
        </w:rPr>
        <w:t xml:space="preserve"> gain or loss on the sale? Does the answer depend on how often </w:t>
      </w:r>
      <w:proofErr w:type="spellStart"/>
      <w:r w:rsidRPr="00BB32DB">
        <w:rPr>
          <w:sz w:val="22"/>
          <w:szCs w:val="22"/>
        </w:rPr>
        <w:t>BigBank</w:t>
      </w:r>
      <w:proofErr w:type="spellEnd"/>
      <w:r w:rsidRPr="00BB32DB">
        <w:rPr>
          <w:sz w:val="22"/>
          <w:szCs w:val="22"/>
        </w:rPr>
        <w:t xml:space="preserve"> makes such sales? See IRC §§1221(a)(1), 1221(a)(4); Federal National Mortgage </w:t>
      </w:r>
      <w:proofErr w:type="spellStart"/>
      <w:r w:rsidRPr="00BB32DB">
        <w:rPr>
          <w:sz w:val="22"/>
          <w:szCs w:val="22"/>
        </w:rPr>
        <w:t>Ass’n</w:t>
      </w:r>
      <w:proofErr w:type="spellEnd"/>
      <w:r w:rsidRPr="00BB32DB">
        <w:rPr>
          <w:sz w:val="22"/>
          <w:szCs w:val="22"/>
        </w:rPr>
        <w:t xml:space="preserve"> v. CIR, 100 TC 541 (1993); Burbank Liquidating Corp. v. CIR, 39 TC 999 (1963), modified as to other issues, 335 F2d 125 (9th Cir. 1964); </w:t>
      </w:r>
      <w:proofErr w:type="spellStart"/>
      <w:r w:rsidRPr="00BB32DB">
        <w:rPr>
          <w:sz w:val="22"/>
          <w:szCs w:val="22"/>
        </w:rPr>
        <w:t>B&amp;L</w:t>
      </w:r>
      <w:proofErr w:type="spellEnd"/>
      <w:r w:rsidRPr="00BB32DB">
        <w:rPr>
          <w:sz w:val="22"/>
          <w:szCs w:val="22"/>
        </w:rPr>
        <w:t xml:space="preserve"> ¶47.5. </w:t>
      </w:r>
    </w:p>
    <w:p w14:paraId="50D05DDE" w14:textId="77777777" w:rsidR="006E5FA4" w:rsidRPr="00BB32DB" w:rsidRDefault="006E5FA4" w:rsidP="006E5FA4">
      <w:pPr>
        <w:spacing w:before="100" w:beforeAutospacing="1" w:after="100" w:afterAutospacing="1"/>
        <w:rPr>
          <w:sz w:val="22"/>
          <w:szCs w:val="22"/>
        </w:rPr>
      </w:pPr>
      <w:r w:rsidRPr="00BB32DB">
        <w:rPr>
          <w:sz w:val="22"/>
          <w:szCs w:val="22"/>
        </w:rPr>
        <w:t xml:space="preserve">15. Y Corp. issues $4 million of 10-year, 6 percent $1,000 bonds to a group of investors at par. Interest on the bonds is payable semiannually. Y incurs costs of $50,000 in issuing the bond. How are these costs treated for income tax purposes? See Reg. §§1.263(a)-5(a)(9), 1.263(a)-5(b)(1), 1.446-5; </w:t>
      </w:r>
      <w:proofErr w:type="spellStart"/>
      <w:r w:rsidRPr="00BB32DB">
        <w:rPr>
          <w:sz w:val="22"/>
          <w:szCs w:val="22"/>
        </w:rPr>
        <w:t>B&amp;L</w:t>
      </w:r>
      <w:proofErr w:type="spellEnd"/>
      <w:r w:rsidRPr="00BB32DB">
        <w:rPr>
          <w:sz w:val="22"/>
          <w:szCs w:val="22"/>
        </w:rPr>
        <w:t xml:space="preserve"> ¶52.8.5. </w:t>
      </w:r>
    </w:p>
    <w:p w14:paraId="64ADE730" w14:textId="77777777" w:rsidR="006E5FA4" w:rsidRPr="00BB32DB" w:rsidRDefault="006E5FA4" w:rsidP="006E5FA4">
      <w:pPr>
        <w:rPr>
          <w:sz w:val="22"/>
          <w:szCs w:val="22"/>
        </w:rPr>
      </w:pPr>
    </w:p>
    <w:p w14:paraId="4E171995" w14:textId="77777777" w:rsidR="006E5FA4" w:rsidRDefault="006E5FA4" w:rsidP="006E5FA4"/>
    <w:p w14:paraId="761E823F" w14:textId="77777777" w:rsidR="006E5FA4" w:rsidRDefault="006E5FA4" w:rsidP="001F79E5"/>
    <w:p w14:paraId="06FCF95A" w14:textId="77777777" w:rsidR="006E5FA4" w:rsidRDefault="006E5FA4" w:rsidP="001F79E5"/>
    <w:sectPr w:rsidR="006E5FA4" w:rsidSect="0040056C">
      <w:headerReference w:type="default" r:id="rId35"/>
      <w:footerReference w:type="even" r:id="rId36"/>
      <w:footerReference w:type="default" r:id="rId37"/>
      <w:headerReference w:type="first" r:id="rId38"/>
      <w:pgSz w:w="12240" w:h="15840"/>
      <w:pgMar w:top="1440" w:right="1170" w:bottom="3033"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F4D1" w14:textId="77777777" w:rsidR="00415CF5" w:rsidRDefault="00415CF5">
      <w:r>
        <w:separator/>
      </w:r>
    </w:p>
  </w:endnote>
  <w:endnote w:type="continuationSeparator" w:id="0">
    <w:p w14:paraId="6A163A52" w14:textId="77777777" w:rsidR="00415CF5" w:rsidRDefault="0041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MT,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5E9"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1152C3" w:rsidRDefault="0011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73C" w14:textId="1CA013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9AC">
      <w:rPr>
        <w:rStyle w:val="PageNumber"/>
        <w:noProof/>
      </w:rPr>
      <w:t>3</w:t>
    </w:r>
    <w:r>
      <w:rPr>
        <w:rStyle w:val="PageNumber"/>
      </w:rPr>
      <w:fldChar w:fldCharType="end"/>
    </w:r>
  </w:p>
  <w:p w14:paraId="0FCE6706" w14:textId="77777777" w:rsidR="001152C3" w:rsidRDefault="0011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453" w14:textId="0BCF0846"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9AC">
      <w:rPr>
        <w:rStyle w:val="PageNumber"/>
        <w:noProof/>
      </w:rPr>
      <w:t>5</w:t>
    </w:r>
    <w:r>
      <w:rPr>
        <w:rStyle w:val="PageNumber"/>
      </w:rPr>
      <w:fldChar w:fldCharType="end"/>
    </w:r>
  </w:p>
  <w:p w14:paraId="70181B30" w14:textId="77777777" w:rsidR="001152C3" w:rsidRDefault="00115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FD1D"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1152C3" w:rsidRDefault="00115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0603" w14:textId="77777777" w:rsidR="001152C3" w:rsidRDefault="001152C3">
    <w:pPr>
      <w:pStyle w:val="Footer"/>
      <w:framePr w:wrap="around" w:vAnchor="text" w:hAnchor="margin" w:xAlign="center" w:y="1"/>
      <w:rPr>
        <w:rStyle w:val="PageNumber"/>
      </w:rPr>
    </w:pPr>
  </w:p>
  <w:p w14:paraId="1C129335" w14:textId="7AC9A718" w:rsidR="001152C3" w:rsidRDefault="001152C3" w:rsidP="0040056C">
    <w:pPr>
      <w:pStyle w:val="Footer"/>
      <w:jc w:val="right"/>
    </w:pPr>
    <w:r>
      <w:rPr>
        <w:rStyle w:val="PageNumber"/>
      </w:rPr>
      <w:fldChar w:fldCharType="begin"/>
    </w:r>
    <w:r>
      <w:rPr>
        <w:rStyle w:val="PageNumber"/>
      </w:rPr>
      <w:instrText xml:space="preserve"> PAGE </w:instrText>
    </w:r>
    <w:r>
      <w:rPr>
        <w:rStyle w:val="PageNumber"/>
      </w:rPr>
      <w:fldChar w:fldCharType="separate"/>
    </w:r>
    <w:r w:rsidR="002E79A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C251" w14:textId="77777777" w:rsidR="00415CF5" w:rsidRDefault="00415CF5">
      <w:r>
        <w:separator/>
      </w:r>
    </w:p>
  </w:footnote>
  <w:footnote w:type="continuationSeparator" w:id="0">
    <w:p w14:paraId="771D500D" w14:textId="77777777" w:rsidR="00415CF5" w:rsidRDefault="00415CF5">
      <w:r>
        <w:continuationSeparator/>
      </w:r>
    </w:p>
  </w:footnote>
  <w:footnote w:id="1">
    <w:p w14:paraId="4F3990C8" w14:textId="77777777" w:rsidR="006E5FA4" w:rsidRPr="00257CBC" w:rsidRDefault="006E5FA4" w:rsidP="006E5FA4">
      <w:pPr>
        <w:pStyle w:val="FootnoteText"/>
      </w:pPr>
      <w:r w:rsidRPr="00257CBC">
        <w:rPr>
          <w:rStyle w:val="FootnoteReference"/>
        </w:rPr>
        <w:footnoteRef/>
      </w:r>
      <w:r w:rsidRPr="00257CBC">
        <w:t xml:space="preserve"> </w:t>
      </w:r>
      <w:r>
        <w:t>Most of the problems assigned in this course were designed, and are c</w:t>
      </w:r>
      <w:r w:rsidRPr="00257CBC">
        <w:t>opyright</w:t>
      </w:r>
      <w:r>
        <w:t>ed</w:t>
      </w:r>
      <w:r w:rsidRPr="00257CBC">
        <w:t xml:space="preserve"> © 2019</w:t>
      </w:r>
      <w:r>
        <w:t>,</w:t>
      </w:r>
      <w:r w:rsidRPr="00257CBC">
        <w:t xml:space="preserve"> by Lawrence Lokken.</w:t>
      </w:r>
    </w:p>
  </w:footnote>
  <w:footnote w:id="2">
    <w:p w14:paraId="7E8AF899" w14:textId="77777777" w:rsidR="006E5FA4" w:rsidRPr="00ED11DD" w:rsidRDefault="006E5FA4" w:rsidP="006E5FA4">
      <w:pPr>
        <w:pStyle w:val="FootnoteText"/>
      </w:pPr>
      <w:r w:rsidRPr="00ED11DD">
        <w:rPr>
          <w:rStyle w:val="FootnoteReference"/>
        </w:rPr>
        <w:footnoteRef/>
      </w:r>
      <w:r w:rsidRPr="00ED11DD">
        <w:t xml:space="preserve"> Materials used by permission from Lawrence Lo</w:t>
      </w:r>
      <w:r>
        <w:t>k</w:t>
      </w:r>
      <w:r w:rsidRPr="00ED11DD">
        <w:t>ken. Copyright © 2019 by Lawrence Lokken.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8386" w14:textId="45B98259" w:rsidR="001152C3" w:rsidRDefault="00ED1220">
    <w:pPr>
      <w:pStyle w:val="Header"/>
      <w:spacing w:after="240"/>
    </w:pPr>
    <w:r>
      <w:t xml:space="preserve">LAW </w:t>
    </w:r>
    <w:r w:rsidR="00CB3A6C">
      <w:t>7931: Taxation of Financial Instruments</w:t>
    </w:r>
    <w:r w:rsidR="001152C3">
      <w:tab/>
    </w:r>
    <w:r w:rsidR="00BD0FB8">
      <w:t>Spring 202</w:t>
    </w:r>
    <w:r w:rsidR="007033F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C8CE" w14:textId="4DB13371" w:rsidR="001152C3" w:rsidRDefault="00ED1220">
    <w:pPr>
      <w:pStyle w:val="Header"/>
      <w:tabs>
        <w:tab w:val="left" w:pos="4560"/>
        <w:tab w:val="left" w:pos="5400"/>
      </w:tabs>
      <w:spacing w:after="240"/>
      <w:jc w:val="right"/>
    </w:pPr>
    <w:r>
      <w:t xml:space="preserve">LAW </w:t>
    </w:r>
    <w:r w:rsidR="00CB3A6C">
      <w:t>7931</w:t>
    </w:r>
    <w:r w:rsidR="001152C3">
      <w:tab/>
    </w:r>
    <w:r w:rsidR="001152C3">
      <w:tab/>
    </w:r>
    <w:r w:rsidR="001152C3">
      <w:tab/>
    </w:r>
    <w:r w:rsidR="001152C3">
      <w:tab/>
      <w:t>David Hasen</w:t>
    </w:r>
    <w:r w:rsidR="001152C3">
      <w:br/>
    </w:r>
    <w:r w:rsidR="00BD0FB8">
      <w:t>Spring 202</w:t>
    </w:r>
    <w:r w:rsidR="00360E14">
      <w:t>4</w:t>
    </w:r>
    <w:r w:rsidR="001152C3">
      <w:tab/>
    </w:r>
    <w:r w:rsidR="001152C3">
      <w:tab/>
    </w:r>
    <w:r w:rsidR="001152C3">
      <w:tab/>
    </w:r>
    <w:r w:rsidR="001152C3">
      <w:tab/>
    </w:r>
    <w:r>
      <w:t>303 Holland Hall</w:t>
    </w:r>
    <w:r w:rsidR="001152C3">
      <w:br/>
    </w:r>
    <w:r w:rsidR="001152C3">
      <w:tab/>
    </w:r>
    <w:r w:rsidR="001152C3">
      <w:tab/>
    </w:r>
    <w:r w:rsidR="0040056C">
      <w:t>352-</w:t>
    </w:r>
    <w:r w:rsidR="00A91554">
      <w:t>273-072</w:t>
    </w:r>
    <w:r w:rsidR="00B87E47">
      <w:t>1</w:t>
    </w:r>
    <w:r w:rsidR="001152C3">
      <w:t>; d</w:t>
    </w:r>
    <w:r>
      <w:t>avid.</w:t>
    </w:r>
    <w:r w:rsidR="001152C3">
      <w:t>hasen@</w:t>
    </w:r>
    <w:r>
      <w:t>law.ufl</w:t>
    </w:r>
    <w:r w:rsidR="001152C3">
      <w:t>.edu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F483" w14:textId="25CBE864" w:rsidR="001152C3" w:rsidRDefault="00ED1220" w:rsidP="0040056C">
    <w:pPr>
      <w:pStyle w:val="Header"/>
      <w:tabs>
        <w:tab w:val="clear" w:pos="8640"/>
        <w:tab w:val="right" w:pos="9270"/>
      </w:tabs>
      <w:spacing w:after="240"/>
    </w:pPr>
    <w:r>
      <w:t xml:space="preserve">LAW </w:t>
    </w:r>
    <w:r w:rsidR="00E94CBE">
      <w:t>7</w:t>
    </w:r>
    <w:r w:rsidR="00843AD0">
      <w:t>931</w:t>
    </w:r>
    <w:r w:rsidR="001152C3">
      <w:t xml:space="preserve">: </w:t>
    </w:r>
    <w:r w:rsidR="00843AD0">
      <w:t>Taxation of Financial Instruments</w:t>
    </w:r>
    <w:r w:rsidR="001152C3">
      <w:tab/>
    </w:r>
    <w:r w:rsidR="00BD0FB8">
      <w:t>Spring 202</w:t>
    </w:r>
    <w:r w:rsidR="00316B33">
      <w:t>4</w:t>
    </w:r>
  </w:p>
  <w:p w14:paraId="7B482040" w14:textId="77777777" w:rsidR="001152C3" w:rsidRDefault="001152C3">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90B" w14:textId="72C39195" w:rsidR="00CB3A6C" w:rsidRDefault="00CB3A6C" w:rsidP="0040056C">
    <w:pPr>
      <w:pStyle w:val="Header"/>
      <w:tabs>
        <w:tab w:val="clear" w:pos="8640"/>
        <w:tab w:val="right" w:pos="9270"/>
      </w:tabs>
      <w:spacing w:after="240"/>
    </w:pPr>
    <w:r>
      <w:t>LAW 7931: Taxation of Financial Instruments</w:t>
    </w:r>
    <w:r>
      <w:tab/>
    </w:r>
    <w:r w:rsidR="00BD0FB8">
      <w:t>Spring 202</w:t>
    </w:r>
    <w:r w:rsidR="00316B33">
      <w:t>4</w:t>
    </w:r>
  </w:p>
  <w:p w14:paraId="795313F1" w14:textId="77777777" w:rsidR="001152C3" w:rsidRDefault="001152C3">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6B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3D70"/>
    <w:multiLevelType w:val="multilevel"/>
    <w:tmpl w:val="6022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E150B"/>
    <w:multiLevelType w:val="multilevel"/>
    <w:tmpl w:val="09DE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60783"/>
    <w:multiLevelType w:val="hybridMultilevel"/>
    <w:tmpl w:val="897AAA4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83E3E"/>
    <w:multiLevelType w:val="multilevel"/>
    <w:tmpl w:val="0DEA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81026"/>
    <w:multiLevelType w:val="multilevel"/>
    <w:tmpl w:val="70B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01A62"/>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14E60"/>
    <w:multiLevelType w:val="hybridMultilevel"/>
    <w:tmpl w:val="98F2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1C5DF8"/>
    <w:multiLevelType w:val="hybridMultilevel"/>
    <w:tmpl w:val="94D071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84268"/>
    <w:multiLevelType w:val="hybridMultilevel"/>
    <w:tmpl w:val="87006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967A2"/>
    <w:multiLevelType w:val="multilevel"/>
    <w:tmpl w:val="DBAE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D3DDB"/>
    <w:multiLevelType w:val="multilevel"/>
    <w:tmpl w:val="95CAD1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67DA7"/>
    <w:multiLevelType w:val="multilevel"/>
    <w:tmpl w:val="A482C13A"/>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E76F0"/>
    <w:multiLevelType w:val="hybridMultilevel"/>
    <w:tmpl w:val="470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002B4"/>
    <w:multiLevelType w:val="multilevel"/>
    <w:tmpl w:val="E04E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F51CD"/>
    <w:multiLevelType w:val="multilevel"/>
    <w:tmpl w:val="D9E8465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9428061">
    <w:abstractNumId w:val="13"/>
  </w:num>
  <w:num w:numId="2" w16cid:durableId="1829975994">
    <w:abstractNumId w:val="21"/>
  </w:num>
  <w:num w:numId="3" w16cid:durableId="277489782">
    <w:abstractNumId w:val="12"/>
  </w:num>
  <w:num w:numId="4" w16cid:durableId="395275232">
    <w:abstractNumId w:val="8"/>
  </w:num>
  <w:num w:numId="5" w16cid:durableId="208499818">
    <w:abstractNumId w:val="5"/>
  </w:num>
  <w:num w:numId="6" w16cid:durableId="1061903155">
    <w:abstractNumId w:val="0"/>
  </w:num>
  <w:num w:numId="7" w16cid:durableId="922228310">
    <w:abstractNumId w:val="9"/>
  </w:num>
  <w:num w:numId="8" w16cid:durableId="878399963">
    <w:abstractNumId w:val="10"/>
  </w:num>
  <w:num w:numId="9" w16cid:durableId="870999843">
    <w:abstractNumId w:val="2"/>
  </w:num>
  <w:num w:numId="10" w16cid:durableId="438567318">
    <w:abstractNumId w:val="1"/>
  </w:num>
  <w:num w:numId="11" w16cid:durableId="907231176">
    <w:abstractNumId w:val="18"/>
  </w:num>
  <w:num w:numId="12" w16cid:durableId="2146510479">
    <w:abstractNumId w:val="16"/>
  </w:num>
  <w:num w:numId="13" w16cid:durableId="22634487">
    <w:abstractNumId w:val="11"/>
  </w:num>
  <w:num w:numId="14" w16cid:durableId="1407534149">
    <w:abstractNumId w:val="14"/>
  </w:num>
  <w:num w:numId="15" w16cid:durableId="1545485871">
    <w:abstractNumId w:val="20"/>
  </w:num>
  <w:num w:numId="16" w16cid:durableId="1254164503">
    <w:abstractNumId w:val="17"/>
  </w:num>
  <w:num w:numId="17" w16cid:durableId="1809475423">
    <w:abstractNumId w:val="15"/>
  </w:num>
  <w:num w:numId="18" w16cid:durableId="1865702812">
    <w:abstractNumId w:val="4"/>
  </w:num>
  <w:num w:numId="19" w16cid:durableId="1660426017">
    <w:abstractNumId w:val="6"/>
  </w:num>
  <w:num w:numId="20" w16cid:durableId="56435586">
    <w:abstractNumId w:val="7"/>
  </w:num>
  <w:num w:numId="21" w16cid:durableId="1908032981">
    <w:abstractNumId w:val="3"/>
  </w:num>
  <w:num w:numId="22" w16cid:durableId="10698406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DD"/>
    <w:rsid w:val="000051DA"/>
    <w:rsid w:val="00007CF6"/>
    <w:rsid w:val="0002429E"/>
    <w:rsid w:val="000248C4"/>
    <w:rsid w:val="00031993"/>
    <w:rsid w:val="00032314"/>
    <w:rsid w:val="0003338D"/>
    <w:rsid w:val="00034664"/>
    <w:rsid w:val="00037FB9"/>
    <w:rsid w:val="00040BBD"/>
    <w:rsid w:val="00042A92"/>
    <w:rsid w:val="0004420D"/>
    <w:rsid w:val="0005289A"/>
    <w:rsid w:val="00056DF2"/>
    <w:rsid w:val="000663BE"/>
    <w:rsid w:val="00070180"/>
    <w:rsid w:val="0007157D"/>
    <w:rsid w:val="000723CA"/>
    <w:rsid w:val="00092EB1"/>
    <w:rsid w:val="000972EC"/>
    <w:rsid w:val="00097F5A"/>
    <w:rsid w:val="000B10E5"/>
    <w:rsid w:val="000B41E1"/>
    <w:rsid w:val="000B5306"/>
    <w:rsid w:val="000B7B8B"/>
    <w:rsid w:val="000B7FD7"/>
    <w:rsid w:val="000C0388"/>
    <w:rsid w:val="000C135F"/>
    <w:rsid w:val="000C42A0"/>
    <w:rsid w:val="000C6119"/>
    <w:rsid w:val="000D1E76"/>
    <w:rsid w:val="000E087D"/>
    <w:rsid w:val="000E0AC0"/>
    <w:rsid w:val="000F3E36"/>
    <w:rsid w:val="000F588C"/>
    <w:rsid w:val="00103623"/>
    <w:rsid w:val="0010631C"/>
    <w:rsid w:val="00114595"/>
    <w:rsid w:val="001152C3"/>
    <w:rsid w:val="00116D5C"/>
    <w:rsid w:val="001179DD"/>
    <w:rsid w:val="0012035B"/>
    <w:rsid w:val="0012109B"/>
    <w:rsid w:val="0012117D"/>
    <w:rsid w:val="001275E8"/>
    <w:rsid w:val="00130580"/>
    <w:rsid w:val="001317BF"/>
    <w:rsid w:val="001457D3"/>
    <w:rsid w:val="00146371"/>
    <w:rsid w:val="00152AB4"/>
    <w:rsid w:val="00165156"/>
    <w:rsid w:val="0017079B"/>
    <w:rsid w:val="001709A6"/>
    <w:rsid w:val="00171D80"/>
    <w:rsid w:val="00180065"/>
    <w:rsid w:val="001833B4"/>
    <w:rsid w:val="00194675"/>
    <w:rsid w:val="00194CC7"/>
    <w:rsid w:val="00196609"/>
    <w:rsid w:val="001A4D69"/>
    <w:rsid w:val="001A785B"/>
    <w:rsid w:val="001B13C9"/>
    <w:rsid w:val="001B3F2B"/>
    <w:rsid w:val="001B5418"/>
    <w:rsid w:val="001D5971"/>
    <w:rsid w:val="001D6954"/>
    <w:rsid w:val="001E3F67"/>
    <w:rsid w:val="001E69C1"/>
    <w:rsid w:val="001E748D"/>
    <w:rsid w:val="001F2727"/>
    <w:rsid w:val="001F43EE"/>
    <w:rsid w:val="001F79E5"/>
    <w:rsid w:val="00201B6E"/>
    <w:rsid w:val="00203429"/>
    <w:rsid w:val="002111B6"/>
    <w:rsid w:val="0021435A"/>
    <w:rsid w:val="002163F7"/>
    <w:rsid w:val="00217BF0"/>
    <w:rsid w:val="00223FF9"/>
    <w:rsid w:val="002249E8"/>
    <w:rsid w:val="0022699C"/>
    <w:rsid w:val="00245D04"/>
    <w:rsid w:val="002471C4"/>
    <w:rsid w:val="002605CC"/>
    <w:rsid w:val="00264B24"/>
    <w:rsid w:val="00266465"/>
    <w:rsid w:val="00267464"/>
    <w:rsid w:val="00270D71"/>
    <w:rsid w:val="00274073"/>
    <w:rsid w:val="00275033"/>
    <w:rsid w:val="00290E3D"/>
    <w:rsid w:val="00296890"/>
    <w:rsid w:val="002C05B5"/>
    <w:rsid w:val="002C5451"/>
    <w:rsid w:val="002D0D99"/>
    <w:rsid w:val="002D434A"/>
    <w:rsid w:val="002E1646"/>
    <w:rsid w:val="002E4211"/>
    <w:rsid w:val="002E477E"/>
    <w:rsid w:val="002E79AC"/>
    <w:rsid w:val="002F2B7E"/>
    <w:rsid w:val="002F756D"/>
    <w:rsid w:val="0030106D"/>
    <w:rsid w:val="00306281"/>
    <w:rsid w:val="00310F87"/>
    <w:rsid w:val="003155A8"/>
    <w:rsid w:val="00315897"/>
    <w:rsid w:val="00316B33"/>
    <w:rsid w:val="003176A6"/>
    <w:rsid w:val="003211F3"/>
    <w:rsid w:val="0032288E"/>
    <w:rsid w:val="00324E2B"/>
    <w:rsid w:val="00342F5F"/>
    <w:rsid w:val="0035175F"/>
    <w:rsid w:val="00351AD5"/>
    <w:rsid w:val="003529FF"/>
    <w:rsid w:val="0035323C"/>
    <w:rsid w:val="00354476"/>
    <w:rsid w:val="00360DDC"/>
    <w:rsid w:val="00360E14"/>
    <w:rsid w:val="00363F4F"/>
    <w:rsid w:val="003679C7"/>
    <w:rsid w:val="00372A96"/>
    <w:rsid w:val="00376DDE"/>
    <w:rsid w:val="00381F2B"/>
    <w:rsid w:val="00382C0E"/>
    <w:rsid w:val="00396DE9"/>
    <w:rsid w:val="003A0625"/>
    <w:rsid w:val="003A1BC1"/>
    <w:rsid w:val="003A5CA7"/>
    <w:rsid w:val="003B3CC5"/>
    <w:rsid w:val="003B7ABF"/>
    <w:rsid w:val="003C25E2"/>
    <w:rsid w:val="003C49D6"/>
    <w:rsid w:val="003C50EC"/>
    <w:rsid w:val="003D4337"/>
    <w:rsid w:val="003E21D3"/>
    <w:rsid w:val="003E463E"/>
    <w:rsid w:val="003E57B6"/>
    <w:rsid w:val="003E5FD7"/>
    <w:rsid w:val="003F0C5F"/>
    <w:rsid w:val="003F17ED"/>
    <w:rsid w:val="003F5F7C"/>
    <w:rsid w:val="00400030"/>
    <w:rsid w:val="0040056C"/>
    <w:rsid w:val="0040242B"/>
    <w:rsid w:val="0041486F"/>
    <w:rsid w:val="00415CF5"/>
    <w:rsid w:val="00416081"/>
    <w:rsid w:val="00417E88"/>
    <w:rsid w:val="0042034A"/>
    <w:rsid w:val="00422E1B"/>
    <w:rsid w:val="00426168"/>
    <w:rsid w:val="00426E90"/>
    <w:rsid w:val="00430EF0"/>
    <w:rsid w:val="00434A89"/>
    <w:rsid w:val="00437E89"/>
    <w:rsid w:val="0045692B"/>
    <w:rsid w:val="004572B1"/>
    <w:rsid w:val="00461936"/>
    <w:rsid w:val="00466130"/>
    <w:rsid w:val="00483B0D"/>
    <w:rsid w:val="00486567"/>
    <w:rsid w:val="00490E22"/>
    <w:rsid w:val="00493D6A"/>
    <w:rsid w:val="004B2EBE"/>
    <w:rsid w:val="004B602A"/>
    <w:rsid w:val="004C07DD"/>
    <w:rsid w:val="004C3934"/>
    <w:rsid w:val="004C73D3"/>
    <w:rsid w:val="004D4357"/>
    <w:rsid w:val="004D7492"/>
    <w:rsid w:val="004E218A"/>
    <w:rsid w:val="004E2F9E"/>
    <w:rsid w:val="004E37C4"/>
    <w:rsid w:val="004E5DBA"/>
    <w:rsid w:val="004F3540"/>
    <w:rsid w:val="005008E4"/>
    <w:rsid w:val="0050517D"/>
    <w:rsid w:val="00505972"/>
    <w:rsid w:val="00505D5A"/>
    <w:rsid w:val="005062E0"/>
    <w:rsid w:val="005141D4"/>
    <w:rsid w:val="005338EB"/>
    <w:rsid w:val="0053494E"/>
    <w:rsid w:val="00542CB2"/>
    <w:rsid w:val="005431D7"/>
    <w:rsid w:val="00543E27"/>
    <w:rsid w:val="00545882"/>
    <w:rsid w:val="00567CDA"/>
    <w:rsid w:val="005771EA"/>
    <w:rsid w:val="00581953"/>
    <w:rsid w:val="00581F02"/>
    <w:rsid w:val="005830C9"/>
    <w:rsid w:val="00593765"/>
    <w:rsid w:val="005939BA"/>
    <w:rsid w:val="00595A2B"/>
    <w:rsid w:val="00596C1A"/>
    <w:rsid w:val="005A4F56"/>
    <w:rsid w:val="005B5B73"/>
    <w:rsid w:val="005C3601"/>
    <w:rsid w:val="005C5A84"/>
    <w:rsid w:val="005C6B0D"/>
    <w:rsid w:val="005D43C0"/>
    <w:rsid w:val="005D4B06"/>
    <w:rsid w:val="005D63A5"/>
    <w:rsid w:val="005D6527"/>
    <w:rsid w:val="005E064F"/>
    <w:rsid w:val="005E11FC"/>
    <w:rsid w:val="005E2D52"/>
    <w:rsid w:val="005E3EF8"/>
    <w:rsid w:val="005E7AA0"/>
    <w:rsid w:val="005F294E"/>
    <w:rsid w:val="00603D45"/>
    <w:rsid w:val="0060647E"/>
    <w:rsid w:val="00610D7B"/>
    <w:rsid w:val="00612693"/>
    <w:rsid w:val="00615AAD"/>
    <w:rsid w:val="006172AE"/>
    <w:rsid w:val="0062461E"/>
    <w:rsid w:val="006260C9"/>
    <w:rsid w:val="0062687D"/>
    <w:rsid w:val="006306B6"/>
    <w:rsid w:val="006311AE"/>
    <w:rsid w:val="00631A29"/>
    <w:rsid w:val="00631EE1"/>
    <w:rsid w:val="00642923"/>
    <w:rsid w:val="00656352"/>
    <w:rsid w:val="0067559D"/>
    <w:rsid w:val="006804B5"/>
    <w:rsid w:val="00683D2E"/>
    <w:rsid w:val="00687BC0"/>
    <w:rsid w:val="0069200E"/>
    <w:rsid w:val="00693A9E"/>
    <w:rsid w:val="00693F42"/>
    <w:rsid w:val="006951BD"/>
    <w:rsid w:val="006A2998"/>
    <w:rsid w:val="006A5412"/>
    <w:rsid w:val="006A6799"/>
    <w:rsid w:val="006A7B1E"/>
    <w:rsid w:val="006B1244"/>
    <w:rsid w:val="006B686F"/>
    <w:rsid w:val="006B73EA"/>
    <w:rsid w:val="006C5084"/>
    <w:rsid w:val="006C763F"/>
    <w:rsid w:val="006D0AA0"/>
    <w:rsid w:val="006D60F8"/>
    <w:rsid w:val="006E2BD8"/>
    <w:rsid w:val="006E3701"/>
    <w:rsid w:val="006E5FA4"/>
    <w:rsid w:val="006E7D52"/>
    <w:rsid w:val="007021C0"/>
    <w:rsid w:val="007033F6"/>
    <w:rsid w:val="00710488"/>
    <w:rsid w:val="007157BB"/>
    <w:rsid w:val="00720887"/>
    <w:rsid w:val="00731FC0"/>
    <w:rsid w:val="0073202A"/>
    <w:rsid w:val="0074485A"/>
    <w:rsid w:val="00745BE9"/>
    <w:rsid w:val="007467CF"/>
    <w:rsid w:val="007469D1"/>
    <w:rsid w:val="00764EAA"/>
    <w:rsid w:val="007764AA"/>
    <w:rsid w:val="00776AC4"/>
    <w:rsid w:val="00777E93"/>
    <w:rsid w:val="00782C71"/>
    <w:rsid w:val="00790C2E"/>
    <w:rsid w:val="00794311"/>
    <w:rsid w:val="007A6A4B"/>
    <w:rsid w:val="007A780D"/>
    <w:rsid w:val="007B4301"/>
    <w:rsid w:val="007B5D9D"/>
    <w:rsid w:val="007C15B5"/>
    <w:rsid w:val="007C57D3"/>
    <w:rsid w:val="007C6B6C"/>
    <w:rsid w:val="007D0AE5"/>
    <w:rsid w:val="007E1099"/>
    <w:rsid w:val="007E6CB9"/>
    <w:rsid w:val="007E7F10"/>
    <w:rsid w:val="007F5151"/>
    <w:rsid w:val="007F7B8C"/>
    <w:rsid w:val="008055F3"/>
    <w:rsid w:val="00811F7A"/>
    <w:rsid w:val="008158D8"/>
    <w:rsid w:val="00826365"/>
    <w:rsid w:val="00831016"/>
    <w:rsid w:val="008319E2"/>
    <w:rsid w:val="008341A8"/>
    <w:rsid w:val="00835119"/>
    <w:rsid w:val="00841141"/>
    <w:rsid w:val="00843AD0"/>
    <w:rsid w:val="00852F7C"/>
    <w:rsid w:val="008571E0"/>
    <w:rsid w:val="008628E9"/>
    <w:rsid w:val="008644EE"/>
    <w:rsid w:val="0086627C"/>
    <w:rsid w:val="00866532"/>
    <w:rsid w:val="00871481"/>
    <w:rsid w:val="00873410"/>
    <w:rsid w:val="00876F6B"/>
    <w:rsid w:val="008779CF"/>
    <w:rsid w:val="00880D71"/>
    <w:rsid w:val="00887AE5"/>
    <w:rsid w:val="008928B7"/>
    <w:rsid w:val="008932FE"/>
    <w:rsid w:val="008A0C83"/>
    <w:rsid w:val="008B1BBB"/>
    <w:rsid w:val="008B2B95"/>
    <w:rsid w:val="008B4098"/>
    <w:rsid w:val="008B5500"/>
    <w:rsid w:val="008C3D27"/>
    <w:rsid w:val="008C6326"/>
    <w:rsid w:val="008D03E5"/>
    <w:rsid w:val="008D064E"/>
    <w:rsid w:val="008D3667"/>
    <w:rsid w:val="008D5688"/>
    <w:rsid w:val="008D7E49"/>
    <w:rsid w:val="00905B16"/>
    <w:rsid w:val="00907FAE"/>
    <w:rsid w:val="00922533"/>
    <w:rsid w:val="00922538"/>
    <w:rsid w:val="00922998"/>
    <w:rsid w:val="00926E9B"/>
    <w:rsid w:val="009273A3"/>
    <w:rsid w:val="00935CBD"/>
    <w:rsid w:val="00943AC5"/>
    <w:rsid w:val="00952A45"/>
    <w:rsid w:val="00952E7D"/>
    <w:rsid w:val="00955B9D"/>
    <w:rsid w:val="00961156"/>
    <w:rsid w:val="00962C03"/>
    <w:rsid w:val="00966CF8"/>
    <w:rsid w:val="00966E85"/>
    <w:rsid w:val="0097414F"/>
    <w:rsid w:val="00976728"/>
    <w:rsid w:val="009A1113"/>
    <w:rsid w:val="009A1D74"/>
    <w:rsid w:val="009A31FD"/>
    <w:rsid w:val="009A7A5B"/>
    <w:rsid w:val="009B595F"/>
    <w:rsid w:val="009C174D"/>
    <w:rsid w:val="009C6CDE"/>
    <w:rsid w:val="009C6FCC"/>
    <w:rsid w:val="009D55E2"/>
    <w:rsid w:val="009D6AF8"/>
    <w:rsid w:val="009E005C"/>
    <w:rsid w:val="009E17AD"/>
    <w:rsid w:val="009E25BF"/>
    <w:rsid w:val="009E32E9"/>
    <w:rsid w:val="009F0D18"/>
    <w:rsid w:val="009F12F7"/>
    <w:rsid w:val="009F324F"/>
    <w:rsid w:val="00A00520"/>
    <w:rsid w:val="00A038F8"/>
    <w:rsid w:val="00A059D2"/>
    <w:rsid w:val="00A07ED4"/>
    <w:rsid w:val="00A10B78"/>
    <w:rsid w:val="00A10F16"/>
    <w:rsid w:val="00A13CA9"/>
    <w:rsid w:val="00A163DC"/>
    <w:rsid w:val="00A33EA3"/>
    <w:rsid w:val="00A34F95"/>
    <w:rsid w:val="00A3714E"/>
    <w:rsid w:val="00A41146"/>
    <w:rsid w:val="00A45008"/>
    <w:rsid w:val="00A45351"/>
    <w:rsid w:val="00A46BCF"/>
    <w:rsid w:val="00A477C2"/>
    <w:rsid w:val="00A47C5E"/>
    <w:rsid w:val="00A53E16"/>
    <w:rsid w:val="00A6440A"/>
    <w:rsid w:val="00A646E4"/>
    <w:rsid w:val="00A64787"/>
    <w:rsid w:val="00A669D0"/>
    <w:rsid w:val="00A71551"/>
    <w:rsid w:val="00A72EC8"/>
    <w:rsid w:val="00A75CA4"/>
    <w:rsid w:val="00A83871"/>
    <w:rsid w:val="00A83F80"/>
    <w:rsid w:val="00A91554"/>
    <w:rsid w:val="00A92F94"/>
    <w:rsid w:val="00AA37C3"/>
    <w:rsid w:val="00AA795B"/>
    <w:rsid w:val="00AB175F"/>
    <w:rsid w:val="00AB3F9E"/>
    <w:rsid w:val="00AB5CAB"/>
    <w:rsid w:val="00AB5E22"/>
    <w:rsid w:val="00AC3357"/>
    <w:rsid w:val="00AC71D0"/>
    <w:rsid w:val="00AD75F1"/>
    <w:rsid w:val="00AE3F56"/>
    <w:rsid w:val="00AE4C7E"/>
    <w:rsid w:val="00AE5090"/>
    <w:rsid w:val="00AE53C0"/>
    <w:rsid w:val="00AE7139"/>
    <w:rsid w:val="00B02AC7"/>
    <w:rsid w:val="00B07152"/>
    <w:rsid w:val="00B075CD"/>
    <w:rsid w:val="00B16FAB"/>
    <w:rsid w:val="00B210C4"/>
    <w:rsid w:val="00B35BD7"/>
    <w:rsid w:val="00B36C50"/>
    <w:rsid w:val="00B40696"/>
    <w:rsid w:val="00B416E9"/>
    <w:rsid w:val="00B46386"/>
    <w:rsid w:val="00B47C0B"/>
    <w:rsid w:val="00B501A4"/>
    <w:rsid w:val="00B50AD2"/>
    <w:rsid w:val="00B5177B"/>
    <w:rsid w:val="00B5764A"/>
    <w:rsid w:val="00B6285B"/>
    <w:rsid w:val="00B62A9D"/>
    <w:rsid w:val="00B64B83"/>
    <w:rsid w:val="00B73596"/>
    <w:rsid w:val="00B77324"/>
    <w:rsid w:val="00B828EA"/>
    <w:rsid w:val="00B82AAC"/>
    <w:rsid w:val="00B834B0"/>
    <w:rsid w:val="00B83761"/>
    <w:rsid w:val="00B87E47"/>
    <w:rsid w:val="00BA18FC"/>
    <w:rsid w:val="00BA2335"/>
    <w:rsid w:val="00BB0540"/>
    <w:rsid w:val="00BB5788"/>
    <w:rsid w:val="00BB58A2"/>
    <w:rsid w:val="00BD0536"/>
    <w:rsid w:val="00BD0FB8"/>
    <w:rsid w:val="00BD1C43"/>
    <w:rsid w:val="00BE1C92"/>
    <w:rsid w:val="00BE7C5E"/>
    <w:rsid w:val="00BF4088"/>
    <w:rsid w:val="00BF5E3F"/>
    <w:rsid w:val="00C01EFA"/>
    <w:rsid w:val="00C02636"/>
    <w:rsid w:val="00C0479E"/>
    <w:rsid w:val="00C07606"/>
    <w:rsid w:val="00C07DEE"/>
    <w:rsid w:val="00C10008"/>
    <w:rsid w:val="00C14EBD"/>
    <w:rsid w:val="00C16EF8"/>
    <w:rsid w:val="00C215BE"/>
    <w:rsid w:val="00C303C0"/>
    <w:rsid w:val="00C30848"/>
    <w:rsid w:val="00C30994"/>
    <w:rsid w:val="00C41200"/>
    <w:rsid w:val="00C45422"/>
    <w:rsid w:val="00C456F0"/>
    <w:rsid w:val="00C50126"/>
    <w:rsid w:val="00C51193"/>
    <w:rsid w:val="00C6258F"/>
    <w:rsid w:val="00C639AB"/>
    <w:rsid w:val="00C639BB"/>
    <w:rsid w:val="00C6517B"/>
    <w:rsid w:val="00C767F1"/>
    <w:rsid w:val="00C83169"/>
    <w:rsid w:val="00C843AB"/>
    <w:rsid w:val="00C91B99"/>
    <w:rsid w:val="00C92056"/>
    <w:rsid w:val="00C961D3"/>
    <w:rsid w:val="00CA08D3"/>
    <w:rsid w:val="00CA5B9B"/>
    <w:rsid w:val="00CA5DF2"/>
    <w:rsid w:val="00CB3A6C"/>
    <w:rsid w:val="00CB6CDE"/>
    <w:rsid w:val="00CD59B3"/>
    <w:rsid w:val="00CD7081"/>
    <w:rsid w:val="00CE7071"/>
    <w:rsid w:val="00D025AF"/>
    <w:rsid w:val="00D0396C"/>
    <w:rsid w:val="00D12185"/>
    <w:rsid w:val="00D21997"/>
    <w:rsid w:val="00D23986"/>
    <w:rsid w:val="00D23DA2"/>
    <w:rsid w:val="00D24B86"/>
    <w:rsid w:val="00D25D76"/>
    <w:rsid w:val="00D26B70"/>
    <w:rsid w:val="00D275A9"/>
    <w:rsid w:val="00D31E15"/>
    <w:rsid w:val="00D32AF2"/>
    <w:rsid w:val="00D335A3"/>
    <w:rsid w:val="00D3450E"/>
    <w:rsid w:val="00D42166"/>
    <w:rsid w:val="00D44E3C"/>
    <w:rsid w:val="00D45FEE"/>
    <w:rsid w:val="00D54CB6"/>
    <w:rsid w:val="00D565E8"/>
    <w:rsid w:val="00D66D5D"/>
    <w:rsid w:val="00D70290"/>
    <w:rsid w:val="00D75D65"/>
    <w:rsid w:val="00D77EE2"/>
    <w:rsid w:val="00D81C27"/>
    <w:rsid w:val="00D83348"/>
    <w:rsid w:val="00D86138"/>
    <w:rsid w:val="00D86B17"/>
    <w:rsid w:val="00D904A8"/>
    <w:rsid w:val="00D93776"/>
    <w:rsid w:val="00D97293"/>
    <w:rsid w:val="00DA1EBF"/>
    <w:rsid w:val="00DA347E"/>
    <w:rsid w:val="00DA416F"/>
    <w:rsid w:val="00DB4537"/>
    <w:rsid w:val="00DC1A2B"/>
    <w:rsid w:val="00DC5CB6"/>
    <w:rsid w:val="00DD0FC4"/>
    <w:rsid w:val="00DD3FD0"/>
    <w:rsid w:val="00DD49FD"/>
    <w:rsid w:val="00DE2F3C"/>
    <w:rsid w:val="00DE332B"/>
    <w:rsid w:val="00DE455F"/>
    <w:rsid w:val="00DE5B6E"/>
    <w:rsid w:val="00DE7DBC"/>
    <w:rsid w:val="00E044D6"/>
    <w:rsid w:val="00E04CBD"/>
    <w:rsid w:val="00E13148"/>
    <w:rsid w:val="00E15206"/>
    <w:rsid w:val="00E15DE8"/>
    <w:rsid w:val="00E16840"/>
    <w:rsid w:val="00E16A15"/>
    <w:rsid w:val="00E26533"/>
    <w:rsid w:val="00E27BDB"/>
    <w:rsid w:val="00E34DFC"/>
    <w:rsid w:val="00E35A55"/>
    <w:rsid w:val="00E36EF3"/>
    <w:rsid w:val="00E56EF4"/>
    <w:rsid w:val="00E70263"/>
    <w:rsid w:val="00E708FF"/>
    <w:rsid w:val="00E71AE8"/>
    <w:rsid w:val="00E73211"/>
    <w:rsid w:val="00E7472A"/>
    <w:rsid w:val="00E80F0A"/>
    <w:rsid w:val="00E817F2"/>
    <w:rsid w:val="00E82A89"/>
    <w:rsid w:val="00E8468F"/>
    <w:rsid w:val="00E94BBD"/>
    <w:rsid w:val="00E94CBE"/>
    <w:rsid w:val="00E97DE6"/>
    <w:rsid w:val="00EA0064"/>
    <w:rsid w:val="00EA454D"/>
    <w:rsid w:val="00EA5716"/>
    <w:rsid w:val="00EA66C7"/>
    <w:rsid w:val="00EA67FD"/>
    <w:rsid w:val="00EB3EA9"/>
    <w:rsid w:val="00EB6014"/>
    <w:rsid w:val="00EB642F"/>
    <w:rsid w:val="00EC13D4"/>
    <w:rsid w:val="00EC4855"/>
    <w:rsid w:val="00ED1220"/>
    <w:rsid w:val="00ED23D7"/>
    <w:rsid w:val="00ED3855"/>
    <w:rsid w:val="00ED467B"/>
    <w:rsid w:val="00EE1B74"/>
    <w:rsid w:val="00EE5264"/>
    <w:rsid w:val="00EE69BF"/>
    <w:rsid w:val="00EF7F6A"/>
    <w:rsid w:val="00F0028C"/>
    <w:rsid w:val="00F01B1F"/>
    <w:rsid w:val="00F071E7"/>
    <w:rsid w:val="00F07759"/>
    <w:rsid w:val="00F147A6"/>
    <w:rsid w:val="00F32968"/>
    <w:rsid w:val="00F35AFA"/>
    <w:rsid w:val="00F3627C"/>
    <w:rsid w:val="00F36D09"/>
    <w:rsid w:val="00F40C99"/>
    <w:rsid w:val="00F41010"/>
    <w:rsid w:val="00F4670C"/>
    <w:rsid w:val="00F514C3"/>
    <w:rsid w:val="00F53286"/>
    <w:rsid w:val="00F53AB8"/>
    <w:rsid w:val="00F5740C"/>
    <w:rsid w:val="00F71266"/>
    <w:rsid w:val="00F765F0"/>
    <w:rsid w:val="00F872D1"/>
    <w:rsid w:val="00F87B8D"/>
    <w:rsid w:val="00F92321"/>
    <w:rsid w:val="00F933F2"/>
    <w:rsid w:val="00F97326"/>
    <w:rsid w:val="00FA1D74"/>
    <w:rsid w:val="00FA295D"/>
    <w:rsid w:val="00FA7624"/>
    <w:rsid w:val="00FB173F"/>
    <w:rsid w:val="00FC11A1"/>
    <w:rsid w:val="00FC3055"/>
    <w:rsid w:val="00FC352B"/>
    <w:rsid w:val="00FD016E"/>
    <w:rsid w:val="00FD0F62"/>
    <w:rsid w:val="00FD1902"/>
    <w:rsid w:val="00FD6537"/>
    <w:rsid w:val="00FE067D"/>
    <w:rsid w:val="00FF4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8110E6"/>
  <w14:defaultImageDpi w14:val="330"/>
  <w15:docId w15:val="{224A89B1-5222-1B4D-8574-D1E4CD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uiPriority w:val="99"/>
    <w:qFormat/>
    <w:rPr>
      <w:sz w:val="20"/>
      <w:szCs w:val="20"/>
    </w:rPr>
  </w:style>
  <w:style w:type="character" w:styleId="FootnoteReference">
    <w:name w:val="footnote reference"/>
    <w:uiPriority w:val="99"/>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477C2"/>
    <w:pPr>
      <w:spacing w:after="360"/>
      <w:ind w:right="-187"/>
    </w:pPr>
  </w:style>
  <w:style w:type="character" w:customStyle="1" w:styleId="BodyTextChar">
    <w:name w:val="Body Text Char"/>
    <w:basedOn w:val="DefaultParagraphFont"/>
    <w:link w:val="BodyText"/>
    <w:rsid w:val="00A477C2"/>
  </w:style>
  <w:style w:type="paragraph" w:styleId="ListParagraph">
    <w:name w:val="List Paragraph"/>
    <w:basedOn w:val="Normal"/>
    <w:uiPriority w:val="34"/>
    <w:qFormat/>
    <w:rsid w:val="00A477C2"/>
    <w:pPr>
      <w:ind w:left="720"/>
      <w:contextualSpacing/>
    </w:pPr>
  </w:style>
  <w:style w:type="character" w:styleId="CommentReference">
    <w:name w:val="annotation reference"/>
    <w:basedOn w:val="DefaultParagraphFont"/>
    <w:uiPriority w:val="99"/>
    <w:semiHidden/>
    <w:unhideWhenUsed/>
    <w:rsid w:val="002E1646"/>
    <w:rPr>
      <w:sz w:val="16"/>
      <w:szCs w:val="16"/>
    </w:rPr>
  </w:style>
  <w:style w:type="paragraph" w:styleId="CommentText">
    <w:name w:val="annotation text"/>
    <w:basedOn w:val="Normal"/>
    <w:link w:val="CommentTextChar"/>
    <w:uiPriority w:val="99"/>
    <w:semiHidden/>
    <w:unhideWhenUsed/>
    <w:rsid w:val="002E1646"/>
    <w:rPr>
      <w:sz w:val="20"/>
      <w:szCs w:val="20"/>
    </w:rPr>
  </w:style>
  <w:style w:type="character" w:customStyle="1" w:styleId="CommentTextChar">
    <w:name w:val="Comment Text Char"/>
    <w:basedOn w:val="DefaultParagraphFont"/>
    <w:link w:val="CommentText"/>
    <w:uiPriority w:val="99"/>
    <w:semiHidden/>
    <w:rsid w:val="002E1646"/>
    <w:rPr>
      <w:sz w:val="20"/>
      <w:szCs w:val="20"/>
    </w:rPr>
  </w:style>
  <w:style w:type="paragraph" w:styleId="CommentSubject">
    <w:name w:val="annotation subject"/>
    <w:basedOn w:val="CommentText"/>
    <w:next w:val="CommentText"/>
    <w:link w:val="CommentSubjectChar"/>
    <w:uiPriority w:val="99"/>
    <w:semiHidden/>
    <w:unhideWhenUsed/>
    <w:rsid w:val="002E1646"/>
    <w:rPr>
      <w:b/>
      <w:bCs/>
    </w:rPr>
  </w:style>
  <w:style w:type="character" w:customStyle="1" w:styleId="CommentSubjectChar">
    <w:name w:val="Comment Subject Char"/>
    <w:basedOn w:val="CommentTextChar"/>
    <w:link w:val="CommentSubject"/>
    <w:uiPriority w:val="99"/>
    <w:semiHidden/>
    <w:rsid w:val="002E1646"/>
    <w:rPr>
      <w:b/>
      <w:bCs/>
      <w:sz w:val="20"/>
      <w:szCs w:val="20"/>
    </w:rPr>
  </w:style>
  <w:style w:type="paragraph" w:styleId="BalloonText">
    <w:name w:val="Balloon Text"/>
    <w:basedOn w:val="Normal"/>
    <w:link w:val="BalloonTextChar"/>
    <w:uiPriority w:val="99"/>
    <w:semiHidden/>
    <w:unhideWhenUsed/>
    <w:rsid w:val="002E1646"/>
    <w:rPr>
      <w:sz w:val="18"/>
      <w:szCs w:val="18"/>
    </w:rPr>
  </w:style>
  <w:style w:type="character" w:customStyle="1" w:styleId="BalloonTextChar">
    <w:name w:val="Balloon Text Char"/>
    <w:basedOn w:val="DefaultParagraphFont"/>
    <w:link w:val="BalloonText"/>
    <w:uiPriority w:val="99"/>
    <w:semiHidden/>
    <w:rsid w:val="002E1646"/>
    <w:rPr>
      <w:sz w:val="18"/>
      <w:szCs w:val="18"/>
    </w:rPr>
  </w:style>
  <w:style w:type="character" w:customStyle="1" w:styleId="UnresolvedMention1">
    <w:name w:val="Unresolved Mention1"/>
    <w:basedOn w:val="DefaultParagraphFont"/>
    <w:uiPriority w:val="99"/>
    <w:semiHidden/>
    <w:unhideWhenUsed/>
    <w:rsid w:val="008319E2"/>
    <w:rPr>
      <w:color w:val="605E5C"/>
      <w:shd w:val="clear" w:color="auto" w:fill="E1DFDD"/>
    </w:rPr>
  </w:style>
  <w:style w:type="character" w:customStyle="1" w:styleId="UnresolvedMention2">
    <w:name w:val="Unresolved Mention2"/>
    <w:basedOn w:val="DefaultParagraphFont"/>
    <w:uiPriority w:val="99"/>
    <w:semiHidden/>
    <w:unhideWhenUsed/>
    <w:rsid w:val="006B73EA"/>
    <w:rPr>
      <w:color w:val="605E5C"/>
      <w:shd w:val="clear" w:color="auto" w:fill="E1DFDD"/>
    </w:rPr>
  </w:style>
  <w:style w:type="character" w:styleId="UnresolvedMention">
    <w:name w:val="Unresolved Mention"/>
    <w:basedOn w:val="DefaultParagraphFont"/>
    <w:uiPriority w:val="99"/>
    <w:semiHidden/>
    <w:unhideWhenUsed/>
    <w:rsid w:val="007033F6"/>
    <w:rPr>
      <w:color w:val="605E5C"/>
      <w:shd w:val="clear" w:color="auto" w:fill="E1DFDD"/>
    </w:rPr>
  </w:style>
  <w:style w:type="character" w:customStyle="1" w:styleId="FootnoteTextChar">
    <w:name w:val="Footnote Text Char"/>
    <w:basedOn w:val="DefaultParagraphFont"/>
    <w:link w:val="FootnoteText"/>
    <w:uiPriority w:val="99"/>
    <w:rsid w:val="006E5F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6532">
      <w:bodyDiv w:val="1"/>
      <w:marLeft w:val="0"/>
      <w:marRight w:val="0"/>
      <w:marTop w:val="0"/>
      <w:marBottom w:val="0"/>
      <w:divBdr>
        <w:top w:val="none" w:sz="0" w:space="0" w:color="auto"/>
        <w:left w:val="none" w:sz="0" w:space="0" w:color="auto"/>
        <w:bottom w:val="none" w:sz="0" w:space="0" w:color="auto"/>
        <w:right w:val="none" w:sz="0" w:space="0" w:color="auto"/>
      </w:divBdr>
    </w:div>
    <w:div w:id="135727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teach.ufl.edu/wp-content/uploads/2012/08/NetiquetteGuideforOnlineCourses.pdf"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footer" Target="footer3.xml"/><Relationship Id="rId7" Type="http://schemas.openxmlformats.org/officeDocument/2006/relationships/hyperlink" Target="http://www-2.rotman.utoronto.ca/~hull/ofodslides/"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www.dso.ufl.edu/%20sccr/process/student-conduct-honor-code"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catalog.ufl.edu/ugrad/1617/regulations/info/attend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academic-policies" TargetMode="External"/><Relationship Id="rId24" Type="http://schemas.openxmlformats.org/officeDocument/2006/relationships/hyperlink" Target="http://www.dso.ufl.edu/drc/"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evaluations.ufl.edu/results/" TargetMode="External"/><Relationship Id="rId36" Type="http://schemas.openxmlformats.org/officeDocument/2006/relationships/footer" Target="footer4.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www.dso.ufl.edu/dr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ncalculator.com/financialcalculator?type=bondCalculator"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evaluations.ufl.edu"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hyperlink" Target="https://www.mortgagecalculator.org/calcs/bond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3260</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McIlhenny, Ruth M.</cp:lastModifiedBy>
  <cp:revision>3</cp:revision>
  <cp:lastPrinted>2022-03-12T19:03:00Z</cp:lastPrinted>
  <dcterms:created xsi:type="dcterms:W3CDTF">2024-01-03T19:41:00Z</dcterms:created>
  <dcterms:modified xsi:type="dcterms:W3CDTF">2024-01-04T15:08:00Z</dcterms:modified>
</cp:coreProperties>
</file>