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27AF" w14:textId="6AC85E19" w:rsidR="00D85F73" w:rsidRDefault="00D85F73" w:rsidP="00DC571D">
      <w:pPr>
        <w:spacing w:after="8" w:line="265" w:lineRule="auto"/>
        <w:ind w:left="1791" w:right="1718"/>
        <w:jc w:val="center"/>
        <w:rPr>
          <w:b/>
          <w:sz w:val="22"/>
          <w:szCs w:val="22"/>
        </w:rPr>
      </w:pPr>
      <w:r>
        <w:rPr>
          <w:b/>
          <w:sz w:val="22"/>
          <w:szCs w:val="22"/>
        </w:rPr>
        <w:t>DEFERRED COMPENSATION</w:t>
      </w:r>
    </w:p>
    <w:p w14:paraId="5352C854" w14:textId="51BAE4A6" w:rsidR="00DC571D" w:rsidRDefault="00DC571D" w:rsidP="00DC571D">
      <w:pPr>
        <w:spacing w:after="8" w:line="265" w:lineRule="auto"/>
        <w:ind w:left="1791" w:right="1718"/>
        <w:jc w:val="center"/>
        <w:rPr>
          <w:b/>
          <w:sz w:val="22"/>
          <w:szCs w:val="22"/>
        </w:rPr>
      </w:pPr>
      <w:r w:rsidRPr="00F335E2">
        <w:rPr>
          <w:b/>
          <w:sz w:val="22"/>
          <w:szCs w:val="22"/>
        </w:rPr>
        <w:t>UNIVERSITY OF FLORIDA LEVIN COLLEGE OF LAW</w:t>
      </w:r>
    </w:p>
    <w:p w14:paraId="1C42F52C" w14:textId="23924D48" w:rsidR="001E2603" w:rsidRPr="00F335E2" w:rsidRDefault="00D85F73" w:rsidP="0044543F">
      <w:pPr>
        <w:spacing w:after="8" w:line="265" w:lineRule="auto"/>
        <w:ind w:left="1791" w:right="1718"/>
        <w:jc w:val="center"/>
        <w:rPr>
          <w:b/>
          <w:smallCaps/>
          <w:sz w:val="22"/>
          <w:szCs w:val="22"/>
        </w:rPr>
      </w:pPr>
      <w:r>
        <w:rPr>
          <w:b/>
          <w:sz w:val="22"/>
          <w:szCs w:val="22"/>
        </w:rPr>
        <w:t xml:space="preserve">SPRING 2024 </w:t>
      </w:r>
      <w:r w:rsidR="00DC571D" w:rsidRPr="00F335E2">
        <w:rPr>
          <w:b/>
          <w:smallCaps/>
          <w:sz w:val="22"/>
          <w:szCs w:val="22"/>
        </w:rPr>
        <w:t>SYLLABUS – LAW</w:t>
      </w:r>
      <w:r>
        <w:rPr>
          <w:b/>
          <w:smallCaps/>
          <w:sz w:val="22"/>
          <w:szCs w:val="22"/>
        </w:rPr>
        <w:t xml:space="preserve"> 7632</w:t>
      </w:r>
      <w:r w:rsidR="00DC571D" w:rsidRPr="00F335E2">
        <w:rPr>
          <w:b/>
          <w:smallCaps/>
          <w:sz w:val="22"/>
          <w:szCs w:val="22"/>
        </w:rPr>
        <w:t xml:space="preserve"> – </w:t>
      </w:r>
      <w:r>
        <w:rPr>
          <w:b/>
          <w:smallCaps/>
          <w:sz w:val="22"/>
          <w:szCs w:val="22"/>
        </w:rPr>
        <w:t>2</w:t>
      </w:r>
      <w:r w:rsidR="00DC571D" w:rsidRPr="00F335E2">
        <w:rPr>
          <w:b/>
          <w:smallCaps/>
          <w:sz w:val="22"/>
          <w:szCs w:val="22"/>
        </w:rPr>
        <w:t xml:space="preserve"> CREDITS</w:t>
      </w:r>
    </w:p>
    <w:p w14:paraId="6A1B78BB" w14:textId="77777777" w:rsidR="0044543F" w:rsidRPr="00F335E2" w:rsidRDefault="0044543F" w:rsidP="0044543F">
      <w:pPr>
        <w:spacing w:after="8" w:line="265" w:lineRule="auto"/>
        <w:ind w:left="1791" w:right="1718"/>
        <w:jc w:val="center"/>
        <w:rPr>
          <w:b/>
          <w:sz w:val="22"/>
          <w:szCs w:val="22"/>
        </w:rPr>
      </w:pPr>
    </w:p>
    <w:p w14:paraId="47E47726" w14:textId="44F46140" w:rsidR="006A5D34" w:rsidRDefault="006A5D34" w:rsidP="006A5D34">
      <w:pPr>
        <w:rPr>
          <w:sz w:val="22"/>
          <w:szCs w:val="22"/>
        </w:rPr>
      </w:pPr>
      <w:r w:rsidRPr="00F335E2">
        <w:rPr>
          <w:sz w:val="22"/>
          <w:szCs w:val="22"/>
        </w:rPr>
        <w:t>Professor</w:t>
      </w:r>
      <w:r w:rsidR="00D85F73">
        <w:rPr>
          <w:sz w:val="22"/>
          <w:szCs w:val="22"/>
        </w:rPr>
        <w:t xml:space="preserve"> Michael Laing</w:t>
      </w:r>
    </w:p>
    <w:p w14:paraId="6E43C085" w14:textId="6EA2D9CB" w:rsidR="00D85F73" w:rsidRPr="00F335E2" w:rsidRDefault="00D85F73" w:rsidP="006A5D34">
      <w:pPr>
        <w:rPr>
          <w:sz w:val="22"/>
          <w:szCs w:val="22"/>
        </w:rPr>
      </w:pPr>
      <w:r>
        <w:rPr>
          <w:sz w:val="22"/>
          <w:szCs w:val="22"/>
        </w:rPr>
        <w:t>Office: Virtual</w:t>
      </w:r>
    </w:p>
    <w:p w14:paraId="17A3E66B" w14:textId="00FD77B5" w:rsidR="006A5D34" w:rsidRPr="00F335E2" w:rsidRDefault="006A5D34" w:rsidP="006A5D34">
      <w:pPr>
        <w:rPr>
          <w:sz w:val="22"/>
          <w:szCs w:val="22"/>
        </w:rPr>
      </w:pPr>
      <w:r w:rsidRPr="00F335E2">
        <w:rPr>
          <w:sz w:val="22"/>
          <w:szCs w:val="22"/>
        </w:rPr>
        <w:t>Office Phone:</w:t>
      </w:r>
      <w:r w:rsidR="00D85F73">
        <w:rPr>
          <w:sz w:val="22"/>
          <w:szCs w:val="22"/>
        </w:rPr>
        <w:t xml:space="preserve"> (513) 357-9385</w:t>
      </w:r>
    </w:p>
    <w:p w14:paraId="05CB6241" w14:textId="64781B90" w:rsidR="006A5D34" w:rsidRDefault="006A5D34" w:rsidP="006A5D34">
      <w:pPr>
        <w:rPr>
          <w:sz w:val="22"/>
          <w:szCs w:val="22"/>
        </w:rPr>
      </w:pPr>
      <w:r w:rsidRPr="00F335E2">
        <w:rPr>
          <w:sz w:val="22"/>
          <w:szCs w:val="22"/>
        </w:rPr>
        <w:t>Email:</w:t>
      </w:r>
      <w:r w:rsidR="00D85F73">
        <w:rPr>
          <w:sz w:val="22"/>
          <w:szCs w:val="22"/>
        </w:rPr>
        <w:t xml:space="preserve"> </w:t>
      </w:r>
      <w:hyperlink r:id="rId8" w:history="1">
        <w:r w:rsidR="00D85F73" w:rsidRPr="00447865">
          <w:rPr>
            <w:rStyle w:val="Hyperlink"/>
            <w:sz w:val="22"/>
            <w:szCs w:val="22"/>
          </w:rPr>
          <w:t>laing@taftlaw.com</w:t>
        </w:r>
      </w:hyperlink>
      <w:r w:rsidR="00D85F73">
        <w:rPr>
          <w:sz w:val="22"/>
          <w:szCs w:val="22"/>
        </w:rPr>
        <w:t xml:space="preserve">; </w:t>
      </w:r>
      <w:hyperlink r:id="rId9" w:history="1">
        <w:r w:rsidR="00D85F73" w:rsidRPr="00447865">
          <w:rPr>
            <w:rStyle w:val="Hyperlink"/>
            <w:sz w:val="22"/>
            <w:szCs w:val="22"/>
          </w:rPr>
          <w:t>Michael.Laing@law.ufl.edu</w:t>
        </w:r>
      </w:hyperlink>
    </w:p>
    <w:p w14:paraId="668500BF" w14:textId="67B76355" w:rsidR="006A5D34" w:rsidRPr="00F335E2" w:rsidRDefault="006A5D34" w:rsidP="00561911">
      <w:pPr>
        <w:rPr>
          <w:sz w:val="22"/>
          <w:szCs w:val="22"/>
          <w:lang w:eastAsia="zh-CN"/>
        </w:rPr>
      </w:pPr>
      <w:r w:rsidRPr="00F335E2">
        <w:rPr>
          <w:sz w:val="22"/>
          <w:szCs w:val="22"/>
        </w:rPr>
        <w:t>Office Hours:</w:t>
      </w:r>
      <w:r w:rsidR="00D85F73">
        <w:rPr>
          <w:sz w:val="22"/>
          <w:szCs w:val="22"/>
        </w:rPr>
        <w:t xml:space="preserve"> Tuesdays 12:00 pm-1:00 pm; Wednesday 12:00 pm – 1:00 pm; </w:t>
      </w:r>
      <w:r w:rsidR="007C6002">
        <w:rPr>
          <w:sz w:val="22"/>
          <w:szCs w:val="22"/>
        </w:rPr>
        <w:t xml:space="preserve">I am </w:t>
      </w:r>
      <w:r w:rsidR="00D85F73">
        <w:rPr>
          <w:sz w:val="22"/>
          <w:szCs w:val="22"/>
        </w:rPr>
        <w:t>also available most weekdays, except</w:t>
      </w:r>
      <w:r w:rsidR="00D85F73" w:rsidRPr="00D85F73">
        <w:rPr>
          <w:sz w:val="22"/>
          <w:szCs w:val="22"/>
        </w:rPr>
        <w:t xml:space="preserve"> when traveling. </w:t>
      </w:r>
      <w:r w:rsidR="007C6002">
        <w:rPr>
          <w:sz w:val="22"/>
          <w:szCs w:val="22"/>
        </w:rPr>
        <w:t xml:space="preserve"> It is b</w:t>
      </w:r>
      <w:r w:rsidR="00D85F73" w:rsidRPr="00D85F73">
        <w:rPr>
          <w:sz w:val="22"/>
          <w:szCs w:val="22"/>
        </w:rPr>
        <w:t xml:space="preserve">est to send me an email in advance if </w:t>
      </w:r>
      <w:proofErr w:type="gramStart"/>
      <w:r w:rsidR="00D85F73" w:rsidRPr="00D85F73">
        <w:rPr>
          <w:sz w:val="22"/>
          <w:szCs w:val="22"/>
        </w:rPr>
        <w:t>possible</w:t>
      </w:r>
      <w:proofErr w:type="gramEnd"/>
      <w:r w:rsidR="00D85F73" w:rsidRPr="00D85F73">
        <w:rPr>
          <w:sz w:val="22"/>
          <w:szCs w:val="22"/>
        </w:rPr>
        <w:t xml:space="preserve"> to coordinate a conference cal</w:t>
      </w:r>
      <w:r w:rsidR="00D85F73">
        <w:rPr>
          <w:sz w:val="22"/>
          <w:szCs w:val="22"/>
        </w:rPr>
        <w:t>l</w:t>
      </w:r>
      <w:r w:rsidR="007C6002">
        <w:rPr>
          <w:sz w:val="22"/>
          <w:szCs w:val="22"/>
        </w:rPr>
        <w:t>.</w:t>
      </w:r>
    </w:p>
    <w:p w14:paraId="177A94E1" w14:textId="77777777" w:rsidR="006A5D34" w:rsidRPr="00F335E2" w:rsidRDefault="006A5D34" w:rsidP="006A5D34">
      <w:pPr>
        <w:rPr>
          <w:sz w:val="22"/>
          <w:szCs w:val="22"/>
        </w:rPr>
      </w:pPr>
    </w:p>
    <w:p w14:paraId="329582A2" w14:textId="08A47B3D" w:rsidR="00242088" w:rsidRPr="00F335E2" w:rsidRDefault="006A5D34" w:rsidP="00242088">
      <w:pPr>
        <w:shd w:val="clear" w:color="auto" w:fill="FFFFFF"/>
        <w:rPr>
          <w:color w:val="C00000"/>
          <w:sz w:val="22"/>
          <w:szCs w:val="22"/>
          <w:lang w:eastAsia="zh-CN"/>
        </w:rPr>
      </w:pPr>
      <w:r w:rsidRPr="00F335E2">
        <w:rPr>
          <w:b/>
          <w:sz w:val="22"/>
          <w:szCs w:val="22"/>
          <w:u w:val="single"/>
        </w:rPr>
        <w:t>MEETING TIME</w:t>
      </w:r>
      <w:r w:rsidR="00D85F73">
        <w:rPr>
          <w:b/>
          <w:sz w:val="22"/>
          <w:szCs w:val="22"/>
          <w:u w:val="single"/>
        </w:rPr>
        <w:t>:</w:t>
      </w:r>
      <w:r w:rsidR="00D85F73">
        <w:rPr>
          <w:sz w:val="22"/>
          <w:szCs w:val="22"/>
        </w:rPr>
        <w:t xml:space="preserve">  Wednesday 4:00 pm – 6:00 pm</w:t>
      </w:r>
    </w:p>
    <w:p w14:paraId="38422F12" w14:textId="0B5583AE" w:rsidR="006A5D34" w:rsidRPr="00F335E2" w:rsidRDefault="006A5D34" w:rsidP="00242088">
      <w:pPr>
        <w:rPr>
          <w:sz w:val="22"/>
          <w:szCs w:val="22"/>
          <w:u w:val="single"/>
        </w:rPr>
      </w:pPr>
      <w:r w:rsidRPr="00F335E2">
        <w:rPr>
          <w:b/>
          <w:sz w:val="22"/>
          <w:szCs w:val="22"/>
          <w:u w:val="single"/>
        </w:rPr>
        <w:t>LOCATION</w:t>
      </w:r>
      <w:r w:rsidR="00242088" w:rsidRPr="00F335E2">
        <w:rPr>
          <w:b/>
          <w:sz w:val="22"/>
          <w:szCs w:val="22"/>
          <w:u w:val="single"/>
        </w:rPr>
        <w:t>:</w:t>
      </w:r>
      <w:r w:rsidR="00D85F73">
        <w:rPr>
          <w:sz w:val="22"/>
          <w:szCs w:val="22"/>
        </w:rPr>
        <w:t xml:space="preserve"> Virtual</w:t>
      </w:r>
    </w:p>
    <w:p w14:paraId="154C7CCF" w14:textId="77777777" w:rsidR="006A5D34" w:rsidRPr="00F335E2" w:rsidRDefault="006A5D34" w:rsidP="006A5D34">
      <w:pPr>
        <w:rPr>
          <w:sz w:val="22"/>
          <w:szCs w:val="22"/>
        </w:rPr>
      </w:pPr>
    </w:p>
    <w:p w14:paraId="6FECC7C9" w14:textId="016AA7DF" w:rsidR="006A5D34" w:rsidRPr="00F335E2" w:rsidRDefault="006A5D34" w:rsidP="006A5D34">
      <w:pPr>
        <w:rPr>
          <w:b/>
          <w:color w:val="C00000"/>
          <w:sz w:val="22"/>
          <w:szCs w:val="22"/>
        </w:rPr>
      </w:pPr>
      <w:r w:rsidRPr="00F335E2">
        <w:rPr>
          <w:b/>
          <w:sz w:val="22"/>
          <w:szCs w:val="22"/>
          <w:u w:val="single"/>
        </w:rPr>
        <w:t>COURSE DESCRIPTION</w:t>
      </w:r>
      <w:r w:rsidR="004A4C6F" w:rsidRPr="00F335E2">
        <w:rPr>
          <w:b/>
          <w:sz w:val="22"/>
          <w:szCs w:val="22"/>
          <w:u w:val="single"/>
        </w:rPr>
        <w:t xml:space="preserve"> AND OBJECTIVES</w:t>
      </w:r>
      <w:r w:rsidR="00242088" w:rsidRPr="00D85F73">
        <w:rPr>
          <w:sz w:val="22"/>
          <w:szCs w:val="22"/>
        </w:rPr>
        <w:t>:</w:t>
      </w:r>
      <w:r w:rsidR="00D85F73" w:rsidRPr="00D85F73">
        <w:rPr>
          <w:sz w:val="22"/>
          <w:szCs w:val="22"/>
        </w:rPr>
        <w:t xml:space="preserve">  This course will provide an overview of the taxation of deferred compensation arrangements, both in the qualified and nonqualified context, as well some aspects of the labor law side of such arrangement</w:t>
      </w:r>
      <w:r w:rsidR="007C6002">
        <w:rPr>
          <w:sz w:val="22"/>
          <w:szCs w:val="22"/>
        </w:rPr>
        <w:t>s</w:t>
      </w:r>
      <w:r w:rsidR="00D85F73" w:rsidRPr="00D85F73">
        <w:rPr>
          <w:sz w:val="22"/>
          <w:szCs w:val="22"/>
        </w:rPr>
        <w:t xml:space="preserve"> as prescribed by the Employee Retirement Income Security Act of 1974, as amended</w:t>
      </w:r>
      <w:r w:rsidR="00D85F73">
        <w:rPr>
          <w:sz w:val="22"/>
          <w:szCs w:val="22"/>
        </w:rPr>
        <w:t xml:space="preserve">.  </w:t>
      </w:r>
      <w:r w:rsidR="00D85F73" w:rsidRPr="00D85F73">
        <w:rPr>
          <w:sz w:val="22"/>
          <w:szCs w:val="22"/>
        </w:rPr>
        <w:t>Students should develop a sound grasp of the basic principles of deferral and of the technical requirements for qualified and nonqualified plans.</w:t>
      </w:r>
    </w:p>
    <w:p w14:paraId="61212C92" w14:textId="77777777" w:rsidR="00561911" w:rsidRPr="00F335E2" w:rsidRDefault="00561911" w:rsidP="006A5D34">
      <w:pPr>
        <w:rPr>
          <w:b/>
          <w:sz w:val="22"/>
          <w:szCs w:val="22"/>
          <w:u w:val="single"/>
        </w:rPr>
      </w:pPr>
    </w:p>
    <w:p w14:paraId="7A864854" w14:textId="70816D88" w:rsidR="00E17703" w:rsidRDefault="006A5D34" w:rsidP="00E17703">
      <w:pPr>
        <w:rPr>
          <w:bCs/>
          <w:sz w:val="22"/>
          <w:szCs w:val="22"/>
        </w:rPr>
      </w:pPr>
      <w:r w:rsidRPr="00F335E2">
        <w:rPr>
          <w:b/>
          <w:sz w:val="22"/>
          <w:szCs w:val="22"/>
          <w:u w:val="single"/>
        </w:rPr>
        <w:t>STUDENT LEARNING OUTCOMES</w:t>
      </w:r>
      <w:r w:rsidR="00242088" w:rsidRPr="00E17703">
        <w:rPr>
          <w:b/>
          <w:sz w:val="22"/>
          <w:szCs w:val="22"/>
        </w:rPr>
        <w:t>:</w:t>
      </w:r>
      <w:r w:rsidR="00E17703" w:rsidRPr="00E17703">
        <w:rPr>
          <w:b/>
          <w:sz w:val="22"/>
          <w:szCs w:val="22"/>
        </w:rPr>
        <w:t xml:space="preserve">  </w:t>
      </w:r>
      <w:r w:rsidRPr="00E17703">
        <w:rPr>
          <w:bCs/>
          <w:sz w:val="22"/>
          <w:szCs w:val="22"/>
        </w:rPr>
        <w:t>At the end of this course, students should be able to</w:t>
      </w:r>
      <w:r w:rsidR="00E17703" w:rsidRPr="00E17703">
        <w:rPr>
          <w:bCs/>
          <w:sz w:val="22"/>
          <w:szCs w:val="22"/>
        </w:rPr>
        <w:t xml:space="preserve"> understand the major components of employee retirement benefit</w:t>
      </w:r>
      <w:r w:rsidR="007C6002">
        <w:rPr>
          <w:bCs/>
          <w:sz w:val="22"/>
          <w:szCs w:val="22"/>
        </w:rPr>
        <w:t>s</w:t>
      </w:r>
      <w:r w:rsidR="00E17703" w:rsidRPr="00E17703">
        <w:rPr>
          <w:bCs/>
          <w:sz w:val="22"/>
          <w:szCs w:val="22"/>
        </w:rPr>
        <w:t xml:space="preserve"> law, focusing on the major areas of taxation, including (for qualified plans) </w:t>
      </w:r>
      <w:r w:rsidR="007C6002">
        <w:rPr>
          <w:bCs/>
          <w:sz w:val="22"/>
          <w:szCs w:val="22"/>
        </w:rPr>
        <w:t xml:space="preserve">eligibility, </w:t>
      </w:r>
      <w:r w:rsidR="00E17703" w:rsidRPr="00E17703">
        <w:rPr>
          <w:bCs/>
          <w:sz w:val="22"/>
          <w:szCs w:val="22"/>
        </w:rPr>
        <w:t xml:space="preserve">vesting, nondiscrimination, </w:t>
      </w:r>
      <w:r w:rsidR="007C6002">
        <w:rPr>
          <w:bCs/>
          <w:sz w:val="22"/>
          <w:szCs w:val="22"/>
        </w:rPr>
        <w:t xml:space="preserve">maximum </w:t>
      </w:r>
      <w:proofErr w:type="gramStart"/>
      <w:r w:rsidR="00E17703" w:rsidRPr="00E17703">
        <w:rPr>
          <w:bCs/>
          <w:sz w:val="22"/>
          <w:szCs w:val="22"/>
        </w:rPr>
        <w:t>contributions</w:t>
      </w:r>
      <w:proofErr w:type="gramEnd"/>
      <w:r w:rsidR="00E17703" w:rsidRPr="00E17703">
        <w:rPr>
          <w:bCs/>
          <w:sz w:val="22"/>
          <w:szCs w:val="22"/>
        </w:rPr>
        <w:t xml:space="preserve"> and benefit</w:t>
      </w:r>
      <w:r w:rsidR="007C6002">
        <w:rPr>
          <w:bCs/>
          <w:sz w:val="22"/>
          <w:szCs w:val="22"/>
        </w:rPr>
        <w:t xml:space="preserve">s, including those in the </w:t>
      </w:r>
      <w:r w:rsidR="00E17703" w:rsidRPr="00E17703">
        <w:rPr>
          <w:bCs/>
          <w:sz w:val="22"/>
          <w:szCs w:val="22"/>
        </w:rPr>
        <w:t>§401(k) context, and distributions, as well as some areas of the labor law aspects of ERISA</w:t>
      </w:r>
      <w:r w:rsidR="00E17703">
        <w:rPr>
          <w:bCs/>
          <w:sz w:val="22"/>
          <w:szCs w:val="22"/>
        </w:rPr>
        <w:t>.</w:t>
      </w:r>
    </w:p>
    <w:p w14:paraId="446918A6" w14:textId="77777777" w:rsidR="00E17703" w:rsidRPr="00E17703" w:rsidRDefault="00E17703" w:rsidP="00E17703">
      <w:pPr>
        <w:autoSpaceDE w:val="0"/>
        <w:autoSpaceDN w:val="0"/>
        <w:adjustRightInd w:val="0"/>
        <w:rPr>
          <w:bCs/>
          <w:sz w:val="22"/>
          <w:szCs w:val="22"/>
        </w:rPr>
      </w:pPr>
    </w:p>
    <w:p w14:paraId="0C91C025" w14:textId="4D78E458" w:rsidR="00E17703" w:rsidRDefault="00E17703" w:rsidP="00E17703">
      <w:pPr>
        <w:autoSpaceDE w:val="0"/>
        <w:autoSpaceDN w:val="0"/>
        <w:adjustRightInd w:val="0"/>
        <w:rPr>
          <w:bCs/>
          <w:sz w:val="22"/>
          <w:szCs w:val="22"/>
        </w:rPr>
      </w:pPr>
      <w:r w:rsidRPr="00E17703">
        <w:rPr>
          <w:bCs/>
          <w:sz w:val="22"/>
          <w:szCs w:val="22"/>
        </w:rPr>
        <w:t>Students will also learn the major components of nonqualified deferred compensation arrangements for executives, for both cash and stock-based incentive plans.</w:t>
      </w:r>
    </w:p>
    <w:p w14:paraId="31DCE42E" w14:textId="77777777" w:rsidR="00E17703" w:rsidRPr="00E17703" w:rsidRDefault="00E17703" w:rsidP="00E17703">
      <w:pPr>
        <w:autoSpaceDE w:val="0"/>
        <w:autoSpaceDN w:val="0"/>
        <w:adjustRightInd w:val="0"/>
        <w:rPr>
          <w:bCs/>
          <w:sz w:val="22"/>
          <w:szCs w:val="22"/>
        </w:rPr>
      </w:pPr>
    </w:p>
    <w:p w14:paraId="4E850835" w14:textId="18D20110" w:rsidR="00E17703" w:rsidRDefault="00E17703" w:rsidP="00E17703">
      <w:pPr>
        <w:autoSpaceDE w:val="0"/>
        <w:autoSpaceDN w:val="0"/>
        <w:adjustRightInd w:val="0"/>
        <w:rPr>
          <w:bCs/>
          <w:sz w:val="22"/>
          <w:szCs w:val="22"/>
        </w:rPr>
      </w:pPr>
      <w:r w:rsidRPr="00E17703">
        <w:rPr>
          <w:bCs/>
          <w:sz w:val="22"/>
          <w:szCs w:val="22"/>
        </w:rPr>
        <w:t xml:space="preserve">In </w:t>
      </w:r>
      <w:proofErr w:type="gramStart"/>
      <w:r w:rsidRPr="00E17703">
        <w:rPr>
          <w:bCs/>
          <w:sz w:val="22"/>
          <w:szCs w:val="22"/>
        </w:rPr>
        <w:t>all of</w:t>
      </w:r>
      <w:proofErr w:type="gramEnd"/>
      <w:r w:rsidRPr="00E17703">
        <w:rPr>
          <w:bCs/>
          <w:sz w:val="22"/>
          <w:szCs w:val="22"/>
        </w:rPr>
        <w:t xml:space="preserve"> these areas, students will gain an understanding of the basic building blocks of the various plans, and most importantly will develop the analytical and research tools to learn additional information in areas we don’t have time to cover, in order to serve their future clients’ needs.</w:t>
      </w:r>
    </w:p>
    <w:p w14:paraId="4B7F8AF8" w14:textId="77777777" w:rsidR="00E17703" w:rsidRPr="00E17703" w:rsidRDefault="00E17703" w:rsidP="00E17703">
      <w:pPr>
        <w:autoSpaceDE w:val="0"/>
        <w:autoSpaceDN w:val="0"/>
        <w:adjustRightInd w:val="0"/>
        <w:rPr>
          <w:bCs/>
          <w:sz w:val="22"/>
          <w:szCs w:val="22"/>
        </w:rPr>
      </w:pPr>
    </w:p>
    <w:p w14:paraId="6098BF01" w14:textId="4EACD1A8" w:rsidR="00E17703" w:rsidRDefault="00E17703" w:rsidP="00E17703">
      <w:pPr>
        <w:autoSpaceDE w:val="0"/>
        <w:autoSpaceDN w:val="0"/>
        <w:adjustRightInd w:val="0"/>
        <w:rPr>
          <w:bCs/>
          <w:sz w:val="22"/>
          <w:szCs w:val="22"/>
        </w:rPr>
      </w:pPr>
      <w:proofErr w:type="gramStart"/>
      <w:r w:rsidRPr="00E17703">
        <w:rPr>
          <w:bCs/>
          <w:sz w:val="22"/>
          <w:szCs w:val="22"/>
        </w:rPr>
        <w:t>Through the use of</w:t>
      </w:r>
      <w:proofErr w:type="gramEnd"/>
      <w:r w:rsidRPr="00E17703">
        <w:rPr>
          <w:bCs/>
          <w:sz w:val="22"/>
          <w:szCs w:val="22"/>
        </w:rPr>
        <w:t xml:space="preserve"> class discussion of cases and statutes, and of problems requiring careful reading and application of the statutes, regulations, and other guidance, students will develop and practice skills in statutory and regulatory interpretation that are the bedrock skillset of every tax practitioner. Students will also, thru reading and class discussion, further develop their analytical skills to enable them to identify the tax and employee benefit issues presented by clients and accurately apply the law to develop strategies to deal with those issues.</w:t>
      </w:r>
    </w:p>
    <w:p w14:paraId="731765D0" w14:textId="77777777" w:rsidR="00E17703" w:rsidRPr="00E17703" w:rsidRDefault="00E17703" w:rsidP="00E17703">
      <w:pPr>
        <w:autoSpaceDE w:val="0"/>
        <w:autoSpaceDN w:val="0"/>
        <w:adjustRightInd w:val="0"/>
        <w:rPr>
          <w:bCs/>
          <w:sz w:val="22"/>
          <w:szCs w:val="22"/>
        </w:rPr>
      </w:pPr>
    </w:p>
    <w:p w14:paraId="5EE47CD4" w14:textId="77777777" w:rsidR="00E17703" w:rsidRPr="00E17703" w:rsidRDefault="00E17703" w:rsidP="00E17703">
      <w:pPr>
        <w:autoSpaceDE w:val="0"/>
        <w:autoSpaceDN w:val="0"/>
        <w:adjustRightInd w:val="0"/>
        <w:rPr>
          <w:bCs/>
          <w:sz w:val="22"/>
          <w:szCs w:val="22"/>
        </w:rPr>
      </w:pPr>
      <w:r w:rsidRPr="00E17703">
        <w:rPr>
          <w:bCs/>
          <w:sz w:val="22"/>
          <w:szCs w:val="22"/>
        </w:rPr>
        <w:t>These objectives will be accomplished through:</w:t>
      </w:r>
    </w:p>
    <w:p w14:paraId="7E95A754" w14:textId="15C162C8" w:rsidR="00E17703" w:rsidRPr="00E17703" w:rsidRDefault="00E17703" w:rsidP="00FD2190">
      <w:pPr>
        <w:autoSpaceDE w:val="0"/>
        <w:autoSpaceDN w:val="0"/>
        <w:adjustRightInd w:val="0"/>
        <w:ind w:left="720" w:hanging="720"/>
        <w:rPr>
          <w:bCs/>
          <w:sz w:val="22"/>
          <w:szCs w:val="22"/>
        </w:rPr>
      </w:pPr>
      <w:r w:rsidRPr="00E17703">
        <w:rPr>
          <w:bCs/>
          <w:sz w:val="22"/>
          <w:szCs w:val="22"/>
        </w:rPr>
        <w:t>●</w:t>
      </w:r>
      <w:r w:rsidRPr="00E17703">
        <w:rPr>
          <w:bCs/>
          <w:sz w:val="22"/>
          <w:szCs w:val="22"/>
        </w:rPr>
        <w:tab/>
        <w:t>Review and study of the relevant authorities, particularly the Internal Revenue Code</w:t>
      </w:r>
      <w:r w:rsidR="00531DD6">
        <w:rPr>
          <w:bCs/>
          <w:sz w:val="22"/>
          <w:szCs w:val="22"/>
        </w:rPr>
        <w:t xml:space="preserve"> and Treasury </w:t>
      </w:r>
      <w:r w:rsidR="00FD2190">
        <w:rPr>
          <w:bCs/>
          <w:sz w:val="22"/>
          <w:szCs w:val="22"/>
        </w:rPr>
        <w:t xml:space="preserve">  </w:t>
      </w:r>
      <w:r w:rsidR="00531DD6">
        <w:rPr>
          <w:bCs/>
          <w:sz w:val="22"/>
          <w:szCs w:val="22"/>
        </w:rPr>
        <w:t>Regulations</w:t>
      </w:r>
      <w:r w:rsidRPr="00E17703">
        <w:rPr>
          <w:bCs/>
          <w:sz w:val="22"/>
          <w:szCs w:val="22"/>
        </w:rPr>
        <w:t>.</w:t>
      </w:r>
    </w:p>
    <w:p w14:paraId="4E414B4F" w14:textId="77777777" w:rsidR="00E17703" w:rsidRPr="00E17703" w:rsidRDefault="00E17703" w:rsidP="00E17703">
      <w:pPr>
        <w:autoSpaceDE w:val="0"/>
        <w:autoSpaceDN w:val="0"/>
        <w:adjustRightInd w:val="0"/>
        <w:rPr>
          <w:bCs/>
          <w:sz w:val="22"/>
          <w:szCs w:val="22"/>
        </w:rPr>
      </w:pPr>
      <w:r w:rsidRPr="00E17703">
        <w:rPr>
          <w:bCs/>
          <w:sz w:val="22"/>
          <w:szCs w:val="22"/>
        </w:rPr>
        <w:t>●</w:t>
      </w:r>
      <w:r w:rsidRPr="00E17703">
        <w:rPr>
          <w:bCs/>
          <w:sz w:val="22"/>
          <w:szCs w:val="22"/>
        </w:rPr>
        <w:tab/>
        <w:t>Discussion of the operation of the processes created by those authorities.</w:t>
      </w:r>
    </w:p>
    <w:p w14:paraId="39F2F10A" w14:textId="77777777" w:rsidR="00E17703" w:rsidRPr="00E17703" w:rsidRDefault="00E17703" w:rsidP="00E17703">
      <w:pPr>
        <w:autoSpaceDE w:val="0"/>
        <w:autoSpaceDN w:val="0"/>
        <w:adjustRightInd w:val="0"/>
        <w:rPr>
          <w:bCs/>
          <w:sz w:val="22"/>
          <w:szCs w:val="22"/>
        </w:rPr>
      </w:pPr>
      <w:r w:rsidRPr="00E17703">
        <w:rPr>
          <w:bCs/>
          <w:sz w:val="22"/>
          <w:szCs w:val="22"/>
        </w:rPr>
        <w:t>●</w:t>
      </w:r>
      <w:r w:rsidRPr="00E17703">
        <w:rPr>
          <w:bCs/>
          <w:sz w:val="22"/>
          <w:szCs w:val="22"/>
        </w:rPr>
        <w:tab/>
        <w:t>Working and discussion of hypothetical problems posed by examples.</w:t>
      </w:r>
    </w:p>
    <w:p w14:paraId="3109D29E" w14:textId="77777777" w:rsidR="006A5D34" w:rsidRPr="00F335E2" w:rsidRDefault="006A5D34" w:rsidP="006A5D34">
      <w:pPr>
        <w:rPr>
          <w:b/>
          <w:sz w:val="22"/>
          <w:szCs w:val="22"/>
          <w:u w:val="single"/>
        </w:rPr>
      </w:pPr>
    </w:p>
    <w:p w14:paraId="164CB743" w14:textId="3CDA5114" w:rsidR="00E17703" w:rsidRDefault="00DA68FE" w:rsidP="00E17703">
      <w:pPr>
        <w:rPr>
          <w:sz w:val="22"/>
          <w:szCs w:val="22"/>
        </w:rPr>
      </w:pPr>
      <w:r w:rsidRPr="00F335E2">
        <w:rPr>
          <w:b/>
          <w:sz w:val="22"/>
          <w:szCs w:val="22"/>
          <w:u w:val="single"/>
        </w:rPr>
        <w:t xml:space="preserve">REQUIRED </w:t>
      </w:r>
      <w:r w:rsidR="00242088" w:rsidRPr="00F335E2">
        <w:rPr>
          <w:b/>
          <w:sz w:val="22"/>
          <w:szCs w:val="22"/>
          <w:u w:val="single"/>
        </w:rPr>
        <w:t>READING MATERIALS:</w:t>
      </w:r>
      <w:r w:rsidR="00E17703">
        <w:rPr>
          <w:b/>
          <w:sz w:val="22"/>
          <w:szCs w:val="22"/>
          <w:u w:val="single"/>
        </w:rPr>
        <w:t xml:space="preserve">  </w:t>
      </w:r>
      <w:r w:rsidR="00E17703" w:rsidRPr="00E17703">
        <w:rPr>
          <w:sz w:val="22"/>
          <w:szCs w:val="22"/>
        </w:rPr>
        <w:t>All students must have access to the United States Internal Revenue Code of 1986, and the relevant Income Tax Regulations. (Note that this information also is available via the web using the RIA, CCH, or LEXIS Tax Research Services.)</w:t>
      </w:r>
    </w:p>
    <w:p w14:paraId="1E654AE7" w14:textId="77777777" w:rsidR="00E17703" w:rsidRPr="00E17703" w:rsidRDefault="00E17703" w:rsidP="00E17703">
      <w:pPr>
        <w:rPr>
          <w:sz w:val="22"/>
          <w:szCs w:val="22"/>
        </w:rPr>
      </w:pPr>
    </w:p>
    <w:p w14:paraId="181F3CA4" w14:textId="61EA0FCF" w:rsidR="00E17703" w:rsidRPr="00E17703" w:rsidRDefault="00E17703" w:rsidP="00E17703">
      <w:pPr>
        <w:rPr>
          <w:sz w:val="22"/>
          <w:szCs w:val="22"/>
        </w:rPr>
      </w:pPr>
      <w:r>
        <w:rPr>
          <w:sz w:val="22"/>
          <w:szCs w:val="22"/>
        </w:rPr>
        <w:t xml:space="preserve">Textbook:  </w:t>
      </w:r>
      <w:r w:rsidRPr="00E17703">
        <w:rPr>
          <w:sz w:val="22"/>
          <w:szCs w:val="22"/>
        </w:rPr>
        <w:t>John Langbein, Pension and Employee Benefits Law, West Academic, 6th Edition.</w:t>
      </w:r>
    </w:p>
    <w:p w14:paraId="44408E65" w14:textId="6521A8D9" w:rsidR="00E17703" w:rsidRDefault="00E17703" w:rsidP="00E17703">
      <w:pPr>
        <w:rPr>
          <w:sz w:val="22"/>
          <w:szCs w:val="22"/>
        </w:rPr>
      </w:pPr>
      <w:r w:rsidRPr="00E17703">
        <w:rPr>
          <w:sz w:val="22"/>
          <w:szCs w:val="22"/>
        </w:rPr>
        <w:lastRenderedPageBreak/>
        <w:t xml:space="preserve">Materials (PowerPoint </w:t>
      </w:r>
      <w:r w:rsidR="00531DD6">
        <w:rPr>
          <w:sz w:val="22"/>
          <w:szCs w:val="22"/>
        </w:rPr>
        <w:t>d</w:t>
      </w:r>
      <w:r w:rsidRPr="00E17703">
        <w:rPr>
          <w:sz w:val="22"/>
          <w:szCs w:val="22"/>
        </w:rPr>
        <w:t xml:space="preserve">ecks, cases, rulings, and other interpretive material) will be supplied for </w:t>
      </w:r>
      <w:proofErr w:type="gramStart"/>
      <w:r w:rsidRPr="00E17703">
        <w:rPr>
          <w:sz w:val="22"/>
          <w:szCs w:val="22"/>
        </w:rPr>
        <w:t>particular topics</w:t>
      </w:r>
      <w:proofErr w:type="gramEnd"/>
      <w:r w:rsidRPr="00E17703">
        <w:rPr>
          <w:sz w:val="22"/>
          <w:szCs w:val="22"/>
        </w:rPr>
        <w:t xml:space="preserve"> by Professor Laing. These readings, lecture slides, cases, and other handouts are available from the Canvas course web page with postings announced via the class email list.</w:t>
      </w:r>
    </w:p>
    <w:p w14:paraId="3D804325" w14:textId="77777777" w:rsidR="00FD65B0" w:rsidRDefault="00FD65B0" w:rsidP="00E17703">
      <w:pPr>
        <w:rPr>
          <w:sz w:val="22"/>
          <w:szCs w:val="22"/>
        </w:rPr>
      </w:pPr>
    </w:p>
    <w:p w14:paraId="15B8340E" w14:textId="515ED0E2" w:rsidR="00E17703" w:rsidRPr="00E17703" w:rsidRDefault="00E17703" w:rsidP="00E17703">
      <w:pPr>
        <w:rPr>
          <w:sz w:val="22"/>
          <w:szCs w:val="22"/>
        </w:rPr>
      </w:pPr>
      <w:r w:rsidRPr="00E17703">
        <w:rPr>
          <w:sz w:val="22"/>
          <w:szCs w:val="22"/>
        </w:rPr>
        <w:t>Materials not marked as “Skim” or “Helpful Supplementary Reading” in the Reading Assignments set forth below are required reading.</w:t>
      </w:r>
    </w:p>
    <w:p w14:paraId="7B2B480E" w14:textId="77777777" w:rsidR="00E17703" w:rsidRPr="00F335E2" w:rsidRDefault="00E17703" w:rsidP="00DA68FE">
      <w:pPr>
        <w:rPr>
          <w:sz w:val="22"/>
          <w:szCs w:val="22"/>
        </w:rPr>
      </w:pPr>
    </w:p>
    <w:p w14:paraId="27D29B67" w14:textId="575780F8" w:rsidR="00B47272" w:rsidRPr="00F335E2" w:rsidRDefault="00E17703" w:rsidP="00B942A3">
      <w:pPr>
        <w:autoSpaceDE w:val="0"/>
        <w:autoSpaceDN w:val="0"/>
        <w:adjustRightInd w:val="0"/>
        <w:rPr>
          <w:sz w:val="22"/>
          <w:szCs w:val="22"/>
        </w:rPr>
      </w:pPr>
      <w:r>
        <w:rPr>
          <w:sz w:val="22"/>
          <w:szCs w:val="22"/>
        </w:rPr>
        <w:t>P</w:t>
      </w:r>
      <w:r w:rsidR="00B942A3" w:rsidRPr="00F335E2">
        <w:rPr>
          <w:sz w:val="22"/>
          <w:szCs w:val="22"/>
        </w:rPr>
        <w:t>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w:t>
      </w:r>
    </w:p>
    <w:p w14:paraId="031B2321" w14:textId="32660670" w:rsidR="00561911" w:rsidRPr="00F335E2" w:rsidRDefault="00561911" w:rsidP="00B47272">
      <w:pPr>
        <w:rPr>
          <w:sz w:val="22"/>
          <w:szCs w:val="22"/>
        </w:rPr>
      </w:pPr>
    </w:p>
    <w:p w14:paraId="4C17F03E" w14:textId="08194418" w:rsidR="000207CC" w:rsidRDefault="00242088" w:rsidP="000207CC">
      <w:pPr>
        <w:rPr>
          <w:sz w:val="22"/>
          <w:szCs w:val="22"/>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r w:rsidR="00E17703">
        <w:rPr>
          <w:sz w:val="22"/>
          <w:szCs w:val="22"/>
        </w:rPr>
        <w:t xml:space="preserve">  </w:t>
      </w:r>
      <w:r w:rsidR="000207CC" w:rsidRPr="000207CC">
        <w:rPr>
          <w:sz w:val="22"/>
          <w:szCs w:val="22"/>
        </w:rPr>
        <w:t>Come to class having completed the assignments to the best of your ability and prepared to discuss the assignment.</w:t>
      </w:r>
    </w:p>
    <w:p w14:paraId="4C5608E3" w14:textId="77777777" w:rsidR="000207CC" w:rsidRPr="000207CC" w:rsidRDefault="000207CC" w:rsidP="000207CC">
      <w:pPr>
        <w:rPr>
          <w:sz w:val="22"/>
          <w:szCs w:val="22"/>
        </w:rPr>
      </w:pPr>
    </w:p>
    <w:p w14:paraId="4D685FAD" w14:textId="10A7313A" w:rsidR="000207CC" w:rsidRDefault="000207CC" w:rsidP="000207CC">
      <w:pPr>
        <w:rPr>
          <w:sz w:val="22"/>
          <w:szCs w:val="22"/>
        </w:rPr>
      </w:pPr>
      <w:r w:rsidRPr="000207CC">
        <w:rPr>
          <w:sz w:val="22"/>
          <w:szCs w:val="22"/>
        </w:rPr>
        <w:t>Students should expect to spend, on average, approximately two hours preparing for every hour of class. Reading assignments are posted on the “Modules” link on the Canvas site.</w:t>
      </w:r>
      <w:r>
        <w:rPr>
          <w:sz w:val="22"/>
          <w:szCs w:val="22"/>
        </w:rPr>
        <w:t xml:space="preserve"> </w:t>
      </w:r>
      <w:r w:rsidRPr="000207CC">
        <w:rPr>
          <w:sz w:val="22"/>
          <w:szCs w:val="22"/>
        </w:rPr>
        <w:t xml:space="preserve"> It is anticipated that you will spend approximately 2 hours out of class reading and/or preparing for in class assignments for every 1 hour in class.  </w:t>
      </w:r>
      <w:r w:rsidR="00531DD6">
        <w:rPr>
          <w:sz w:val="22"/>
          <w:szCs w:val="22"/>
        </w:rPr>
        <w:t>Y</w:t>
      </w:r>
      <w:r w:rsidRPr="000207CC">
        <w:rPr>
          <w:sz w:val="22"/>
          <w:szCs w:val="22"/>
        </w:rPr>
        <w:t>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w:t>
      </w:r>
    </w:p>
    <w:p w14:paraId="7CDF8041" w14:textId="77777777" w:rsidR="000207CC" w:rsidRPr="000207CC" w:rsidRDefault="000207CC" w:rsidP="000207CC">
      <w:pPr>
        <w:rPr>
          <w:sz w:val="22"/>
          <w:szCs w:val="22"/>
        </w:rPr>
      </w:pPr>
    </w:p>
    <w:p w14:paraId="382B51EE" w14:textId="28923119" w:rsidR="000207CC" w:rsidRDefault="000207CC" w:rsidP="000207CC">
      <w:pPr>
        <w:rPr>
          <w:sz w:val="22"/>
          <w:szCs w:val="22"/>
        </w:rPr>
      </w:pPr>
      <w:r w:rsidRPr="000207CC">
        <w:rPr>
          <w:sz w:val="22"/>
          <w:szCs w:val="22"/>
        </w:rPr>
        <w:t>Participation is important to you, your classmates, and me. Below-average participation means no contributions to class and/or comments that detract from the discussion; average participation includes comments that contribute positively to the discussion; above-average participation means comments that contribute positively to the discussion and display some insight, analysis, creativity, and/or synthesis; and excellent participation means comments that contribute positively to the discussion and display significant insight, analysis, creativity, and/or synthesis.</w:t>
      </w:r>
    </w:p>
    <w:p w14:paraId="0B72548B" w14:textId="77777777" w:rsidR="000207CC" w:rsidRPr="000207CC" w:rsidRDefault="000207CC" w:rsidP="000207CC">
      <w:pPr>
        <w:rPr>
          <w:sz w:val="22"/>
          <w:szCs w:val="22"/>
        </w:rPr>
      </w:pPr>
    </w:p>
    <w:p w14:paraId="70F2E861" w14:textId="59D9D85B" w:rsidR="000207CC" w:rsidRDefault="000207CC" w:rsidP="000207CC">
      <w:pPr>
        <w:rPr>
          <w:sz w:val="22"/>
          <w:szCs w:val="22"/>
        </w:rPr>
      </w:pPr>
      <w:r w:rsidRPr="000207CC">
        <w:rPr>
          <w:sz w:val="22"/>
          <w:szCs w:val="22"/>
        </w:rPr>
        <w:t>Repeated lack of preparedness may be counted as an unexcused absence. Repeated class disruption (e.g., excessive noise, texting, personal internet use, arriving late, leaving early) may be counted as an unexcused absence.</w:t>
      </w:r>
    </w:p>
    <w:p w14:paraId="154E0BE7" w14:textId="77777777" w:rsidR="000207CC" w:rsidRDefault="000207CC" w:rsidP="000207CC">
      <w:pPr>
        <w:rPr>
          <w:sz w:val="22"/>
          <w:szCs w:val="22"/>
        </w:rPr>
      </w:pPr>
    </w:p>
    <w:p w14:paraId="355C4AB1" w14:textId="0E102AB7" w:rsidR="000207CC" w:rsidRDefault="000207CC" w:rsidP="000207CC">
      <w:pPr>
        <w:rPr>
          <w:sz w:val="22"/>
          <w:szCs w:val="22"/>
        </w:rPr>
      </w:pPr>
      <w:r w:rsidRPr="000207CC">
        <w:rPr>
          <w:sz w:val="22"/>
          <w:szCs w:val="22"/>
        </w:rPr>
        <w:t xml:space="preserve">There will be a 4-hour take home final exam that will be open to </w:t>
      </w:r>
      <w:r w:rsidR="00531DD6">
        <w:rPr>
          <w:sz w:val="22"/>
          <w:szCs w:val="22"/>
        </w:rPr>
        <w:t>l</w:t>
      </w:r>
      <w:r w:rsidRPr="000207CC">
        <w:rPr>
          <w:sz w:val="22"/>
          <w:szCs w:val="22"/>
        </w:rPr>
        <w:t xml:space="preserve">imited </w:t>
      </w:r>
      <w:r w:rsidR="00531DD6">
        <w:rPr>
          <w:sz w:val="22"/>
          <w:szCs w:val="22"/>
        </w:rPr>
        <w:t>m</w:t>
      </w:r>
      <w:r w:rsidRPr="000207CC">
        <w:rPr>
          <w:sz w:val="22"/>
          <w:szCs w:val="22"/>
        </w:rPr>
        <w:t>aterials (see discussion below). We will discuss the permissible materials in class. The format of the exam will be essay and problems. Your grade will be based approximately 80% on the final exam and 20% on attendance and class participation.</w:t>
      </w:r>
    </w:p>
    <w:p w14:paraId="74DA834B" w14:textId="77777777" w:rsidR="000207CC" w:rsidRPr="000207CC" w:rsidRDefault="000207CC" w:rsidP="000207CC">
      <w:pPr>
        <w:rPr>
          <w:sz w:val="22"/>
          <w:szCs w:val="22"/>
        </w:rPr>
      </w:pPr>
    </w:p>
    <w:p w14:paraId="30AA2FA2" w14:textId="4FC82CAE" w:rsidR="000207CC" w:rsidRDefault="000207CC" w:rsidP="000207CC">
      <w:pPr>
        <w:rPr>
          <w:sz w:val="22"/>
          <w:szCs w:val="22"/>
        </w:rPr>
      </w:pPr>
      <w:r w:rsidRPr="000207CC">
        <w:rPr>
          <w:sz w:val="22"/>
          <w:szCs w:val="22"/>
        </w:rPr>
        <w:t xml:space="preserve">The final examination will be four hours in </w:t>
      </w:r>
      <w:proofErr w:type="gramStart"/>
      <w:r w:rsidRPr="000207CC">
        <w:rPr>
          <w:sz w:val="22"/>
          <w:szCs w:val="22"/>
        </w:rPr>
        <w:t>length, and</w:t>
      </w:r>
      <w:proofErr w:type="gramEnd"/>
      <w:r w:rsidRPr="000207CC">
        <w:rPr>
          <w:sz w:val="22"/>
          <w:szCs w:val="22"/>
        </w:rPr>
        <w:t xml:space="preserve"> will consist of either three essay-type questions or two essay-type questions and </w:t>
      </w:r>
      <w:r w:rsidR="00531DD6">
        <w:rPr>
          <w:sz w:val="22"/>
          <w:szCs w:val="22"/>
        </w:rPr>
        <w:t xml:space="preserve">a number of </w:t>
      </w:r>
      <w:r w:rsidRPr="000207CC">
        <w:rPr>
          <w:sz w:val="22"/>
          <w:szCs w:val="22"/>
        </w:rPr>
        <w:t xml:space="preserve">short answer questions. Each of the essay questions will be weighted equally (and the short answer questions will be weighted the same as one essay) for grading purposes. Each </w:t>
      </w:r>
      <w:r>
        <w:rPr>
          <w:sz w:val="22"/>
          <w:szCs w:val="22"/>
        </w:rPr>
        <w:t xml:space="preserve">essay </w:t>
      </w:r>
      <w:r w:rsidRPr="000207CC">
        <w:rPr>
          <w:sz w:val="22"/>
          <w:szCs w:val="22"/>
        </w:rPr>
        <w:t>question will include a statement of facts followed by some specific questions based on the facts. I will expect you to answer each question and provide a summary of what you considered in reaching your answer. I do not want an essay addressing everything you know about what you think the subject of the question is. I will give you credit for your answer only if it correctly relates the facts to the law in reaching the answer.</w:t>
      </w:r>
    </w:p>
    <w:p w14:paraId="5AE6EE3B" w14:textId="77777777" w:rsidR="000207CC" w:rsidRPr="000207CC" w:rsidRDefault="000207CC" w:rsidP="000207CC">
      <w:pPr>
        <w:rPr>
          <w:sz w:val="22"/>
          <w:szCs w:val="22"/>
        </w:rPr>
      </w:pPr>
    </w:p>
    <w:p w14:paraId="6542E425" w14:textId="56EFEB4B" w:rsidR="000207CC" w:rsidRPr="000207CC" w:rsidRDefault="000207CC" w:rsidP="000207CC">
      <w:pPr>
        <w:rPr>
          <w:sz w:val="22"/>
          <w:szCs w:val="22"/>
        </w:rPr>
      </w:pPr>
      <w:r w:rsidRPr="000207CC">
        <w:rPr>
          <w:noProof/>
          <w:sz w:val="22"/>
          <w:szCs w:val="22"/>
        </w:rPr>
        <mc:AlternateContent>
          <mc:Choice Requires="wps">
            <w:drawing>
              <wp:anchor distT="0" distB="0" distL="0" distR="0" simplePos="0" relativeHeight="251659264" behindDoc="1" locked="0" layoutInCell="1" allowOverlap="1" wp14:anchorId="44988D4B" wp14:editId="6C73B16C">
                <wp:simplePos x="0" y="0"/>
                <wp:positionH relativeFrom="page">
                  <wp:posOffset>6513830</wp:posOffset>
                </wp:positionH>
                <wp:positionV relativeFrom="page">
                  <wp:posOffset>9431655</wp:posOffset>
                </wp:positionV>
                <wp:extent cx="149225" cy="175260"/>
                <wp:effectExtent l="0" t="1905" r="444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51CF" w14:textId="24DE7D19" w:rsidR="007C6002" w:rsidRDefault="007C6002" w:rsidP="000207CC">
                            <w:pPr>
                              <w:spacing w:line="267" w:lineRule="exact"/>
                              <w:textAlignment w:val="baseline"/>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4988D4B">
                <v:stroke joinstyle="miter"/>
                <v:path gradientshapeok="t" o:connecttype="rect"/>
              </v:shapetype>
              <v:shape id="Text Box 2" style="position:absolute;margin-left:512.9pt;margin-top:742.65pt;width:11.75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1nrAIAAKg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xw&#10;hJEgLVD0yAaD7uSAItudvtMpOD104GYG2AaWXaW6u5f0m0ZCrmsiduxWKdnXjJSQXWhv+s+ujjja&#10;gmz7j7KEMGRvpAMaKtXa1kEzEKADS08nZmwq1IaMkyiaYUThKLyeRXPHnE/S6XKntHnPZIuskWEF&#10;xDtwcrjXxiZD0snFxhKy4E3jyG/Eiw1wHHcgNFy1ZzYJx+XPJEg2i80i9uJovvHiIM+922Ide/MC&#10;ksrf5et1Hv6yccM4rXlZMmHDTLoK4z/j7ajwUREnZWnZ8NLC2ZS02m3XjUIHArou3OdaDidnN/9l&#10;Gq4JUMtFSWEUB3dR4hXzxbUXF/HMS66DhReEyV0yD+IkzouXJd1zwf69JNRnOJkBp66cc9IXtQXu&#10;e10bSVtuYHI0vM3w4uREUqvAjSgdtYbwZrSftcKmf24F0D0R7fRqJTqK1QzbAVCsiLeyfALlKgnK&#10;AnnCuAOjluoHRj2Mjgzr73uiGEbNBwHqt3NmMtRkbCeDCApXM2wwGs21GefRvlN8VwPy+L6EvIUX&#10;UnGn3nMWx3cF48AVcRxddt48/3de5wG7+g0AAP//AwBQSwMEFAAGAAgAAAAhAO356KzhAAAADwEA&#10;AA8AAABkcnMvZG93bnJldi54bWxMj8FOwzAQRO9I/IO1SNyo3dBUTYhTVQhOSIg0HDg6sZtYjdch&#10;dtvw92xPcJvRjmbfFNvZDexspmA9SlguBDCDrdcWOwmf9evDBliICrUaPBoJPybAtry9KVSu/QUr&#10;c97HjlEJhlxJ6GMcc85D2xunwsKPBul28JNTkezUcT2pC5W7gSdCrLlTFulDr0bz3Jv2uD85Cbsv&#10;rF7s93vzUR0qW9eZwLf1Ucr7u3n3BCyaOf6F4YpP6FASU+NPqAMbyIskJfZIarVJH4FdM2KVkWpI&#10;pcskA14W/P+O8hcAAP//AwBQSwECLQAUAAYACAAAACEAtoM4kv4AAADhAQAAEwAAAAAAAAAAAAAA&#10;AAAAAAAAW0NvbnRlbnRfVHlwZXNdLnhtbFBLAQItABQABgAIAAAAIQA4/SH/1gAAAJQBAAALAAAA&#10;AAAAAAAAAAAAAC8BAABfcmVscy8ucmVsc1BLAQItABQABgAIAAAAIQB5Dd1nrAIAAKgFAAAOAAAA&#10;AAAAAAAAAAAAAC4CAABkcnMvZTJvRG9jLnhtbFBLAQItABQABgAIAAAAIQDt+eis4QAAAA8BAAAP&#10;AAAAAAAAAAAAAAAAAAYFAABkcnMvZG93bnJldi54bWxQSwUGAAAAAAQABADzAAAAFAYAAAAA&#10;">
                <v:textbox inset="0,0,0,0">
                  <w:txbxContent>
                    <w:p w:rsidR="007C6002" w:rsidP="000207CC" w:rsidRDefault="007C6002" w14:paraId="2B7151CF" w14:textId="24DE7D19">
                      <w:pPr>
                        <w:spacing w:line="267" w:lineRule="exact"/>
                        <w:textAlignment w:val="baseline"/>
                        <w:rPr>
                          <w:color w:val="000000"/>
                        </w:rPr>
                      </w:pPr>
                    </w:p>
                  </w:txbxContent>
                </v:textbox>
                <w10:wrap type="square" anchorx="page" anchory="page"/>
              </v:shape>
            </w:pict>
          </mc:Fallback>
        </mc:AlternateContent>
      </w:r>
      <w:r w:rsidRPr="000207CC">
        <w:rPr>
          <w:sz w:val="22"/>
          <w:szCs w:val="22"/>
        </w:rPr>
        <w:t>The Exam instructions will state:</w:t>
      </w:r>
    </w:p>
    <w:p w14:paraId="52374438" w14:textId="226FDCE4" w:rsidR="000207CC" w:rsidRDefault="000207CC" w:rsidP="000207CC">
      <w:pPr>
        <w:rPr>
          <w:sz w:val="22"/>
          <w:szCs w:val="22"/>
        </w:rPr>
      </w:pPr>
      <w:r w:rsidRPr="000207CC">
        <w:rPr>
          <w:sz w:val="22"/>
          <w:szCs w:val="22"/>
        </w:rPr>
        <w:t xml:space="preserve">This is an OPEN book exam. Users are permitted to access other documents, outlines, notes, files, etc. on their hard drives, or other materials in their possession. </w:t>
      </w:r>
      <w:proofErr w:type="spellStart"/>
      <w:r w:rsidRPr="000207CC">
        <w:rPr>
          <w:sz w:val="22"/>
          <w:szCs w:val="22"/>
        </w:rPr>
        <w:t>IPads</w:t>
      </w:r>
      <w:proofErr w:type="spellEnd"/>
      <w:r w:rsidRPr="000207CC">
        <w:rPr>
          <w:sz w:val="22"/>
          <w:szCs w:val="22"/>
        </w:rPr>
        <w:t>, e</w:t>
      </w:r>
      <w:r w:rsidRPr="000207CC">
        <w:rPr>
          <w:sz w:val="22"/>
          <w:szCs w:val="22"/>
        </w:rPr>
        <w:noBreakHyphen/>
        <w:t>readers and other electronic devices that store information may be used. Calculators may be used.</w:t>
      </w:r>
    </w:p>
    <w:p w14:paraId="3879CEBA" w14:textId="77777777" w:rsidR="000207CC" w:rsidRPr="000207CC" w:rsidRDefault="000207CC" w:rsidP="000207CC">
      <w:pPr>
        <w:rPr>
          <w:sz w:val="22"/>
          <w:szCs w:val="22"/>
        </w:rPr>
      </w:pPr>
    </w:p>
    <w:p w14:paraId="2D40FDF3" w14:textId="0671DE69" w:rsidR="000207CC" w:rsidRDefault="000207CC" w:rsidP="000207CC">
      <w:pPr>
        <w:rPr>
          <w:b/>
          <w:sz w:val="22"/>
          <w:szCs w:val="22"/>
        </w:rPr>
      </w:pPr>
      <w:r w:rsidRPr="000207CC">
        <w:rPr>
          <w:b/>
          <w:sz w:val="22"/>
          <w:szCs w:val="22"/>
        </w:rPr>
        <w:lastRenderedPageBreak/>
        <w:t>Notwithstanding the foregoing, students may not access the Internet</w:t>
      </w:r>
      <w:r w:rsidRPr="000207CC">
        <w:rPr>
          <w:sz w:val="22"/>
          <w:szCs w:val="22"/>
        </w:rPr>
        <w:t xml:space="preserve">, </w:t>
      </w:r>
      <w:r w:rsidRPr="000207CC">
        <w:rPr>
          <w:b/>
          <w:sz w:val="22"/>
          <w:szCs w:val="22"/>
        </w:rPr>
        <w:t xml:space="preserve">except as necessary to use </w:t>
      </w:r>
      <w:proofErr w:type="spellStart"/>
      <w:r w:rsidR="00531DD6">
        <w:rPr>
          <w:b/>
          <w:sz w:val="22"/>
          <w:szCs w:val="22"/>
        </w:rPr>
        <w:t>Examplify</w:t>
      </w:r>
      <w:proofErr w:type="spellEnd"/>
      <w:r w:rsidRPr="000207CC">
        <w:rPr>
          <w:b/>
          <w:sz w:val="22"/>
          <w:szCs w:val="22"/>
        </w:rPr>
        <w:t xml:space="preserve">, during the examination and to submit their examination. Doing so is a disciplinary violation of the Honor Code. Students may not consult one another or any other person by computer or other electronic device or </w:t>
      </w:r>
      <w:proofErr w:type="gramStart"/>
      <w:r w:rsidRPr="000207CC">
        <w:rPr>
          <w:b/>
          <w:sz w:val="22"/>
          <w:szCs w:val="22"/>
        </w:rPr>
        <w:t>otherwise, and</w:t>
      </w:r>
      <w:proofErr w:type="gramEnd"/>
      <w:r w:rsidRPr="000207CC">
        <w:rPr>
          <w:b/>
          <w:sz w:val="22"/>
          <w:szCs w:val="22"/>
        </w:rPr>
        <w:t xml:space="preserve"> may not consult any materials not specifically permitted.</w:t>
      </w:r>
    </w:p>
    <w:p w14:paraId="5684FF24" w14:textId="77777777" w:rsidR="000207CC" w:rsidRDefault="000207CC" w:rsidP="000207CC">
      <w:pPr>
        <w:rPr>
          <w:sz w:val="22"/>
          <w:szCs w:val="22"/>
        </w:rPr>
      </w:pPr>
    </w:p>
    <w:p w14:paraId="315B1271" w14:textId="0F316D5D" w:rsidR="000207CC" w:rsidRDefault="000207CC" w:rsidP="000207CC">
      <w:pPr>
        <w:rPr>
          <w:sz w:val="22"/>
          <w:szCs w:val="22"/>
        </w:rPr>
      </w:pPr>
      <w:r w:rsidRPr="000207CC">
        <w:rPr>
          <w:sz w:val="22"/>
          <w:szCs w:val="22"/>
        </w:rPr>
        <w:t xml:space="preserve">The final exam will be given as a </w:t>
      </w:r>
      <w:r w:rsidR="00531DD6">
        <w:rPr>
          <w:sz w:val="22"/>
          <w:szCs w:val="22"/>
        </w:rPr>
        <w:t>remote</w:t>
      </w:r>
      <w:r w:rsidRPr="000207CC">
        <w:rPr>
          <w:sz w:val="22"/>
          <w:szCs w:val="22"/>
        </w:rPr>
        <w:t xml:space="preserve"> examination during the examination period specified by the College of Law.</w:t>
      </w:r>
    </w:p>
    <w:p w14:paraId="763D4879" w14:textId="77777777" w:rsidR="006832B1" w:rsidRPr="000207CC" w:rsidRDefault="006832B1" w:rsidP="000207CC">
      <w:pPr>
        <w:rPr>
          <w:sz w:val="22"/>
          <w:szCs w:val="22"/>
        </w:rPr>
      </w:pPr>
    </w:p>
    <w:tbl>
      <w:tblPr>
        <w:tblW w:w="0" w:type="auto"/>
        <w:tblLayout w:type="fixed"/>
        <w:tblCellMar>
          <w:left w:w="0" w:type="dxa"/>
          <w:right w:w="0" w:type="dxa"/>
        </w:tblCellMar>
        <w:tblLook w:val="04A0" w:firstRow="1" w:lastRow="0" w:firstColumn="1" w:lastColumn="0" w:noHBand="0" w:noVBand="1"/>
      </w:tblPr>
      <w:tblGrid>
        <w:gridCol w:w="3810"/>
        <w:gridCol w:w="668"/>
        <w:gridCol w:w="547"/>
      </w:tblGrid>
      <w:tr w:rsidR="006832B1" w:rsidRPr="000207CC" w14:paraId="09CF0501" w14:textId="77777777" w:rsidTr="00F51868">
        <w:trPr>
          <w:trHeight w:hRule="exact" w:val="321"/>
        </w:trPr>
        <w:tc>
          <w:tcPr>
            <w:tcW w:w="3810" w:type="dxa"/>
            <w:tcBorders>
              <w:top w:val="none" w:sz="0" w:space="0" w:color="020000"/>
              <w:left w:val="none" w:sz="0" w:space="0" w:color="020000"/>
              <w:right w:val="none" w:sz="0" w:space="0" w:color="020000"/>
            </w:tcBorders>
            <w:vAlign w:val="center"/>
          </w:tcPr>
          <w:p w14:paraId="0DDF579D" w14:textId="5DCFFD33" w:rsidR="006832B1" w:rsidRPr="000207CC" w:rsidRDefault="006832B1" w:rsidP="00531DD6">
            <w:pPr>
              <w:keepNext/>
              <w:rPr>
                <w:sz w:val="22"/>
                <w:szCs w:val="22"/>
              </w:rPr>
            </w:pPr>
            <w:r w:rsidRPr="006832B1">
              <w:rPr>
                <w:sz w:val="22"/>
                <w:szCs w:val="22"/>
                <w:u w:val="single"/>
              </w:rPr>
              <w:t>Grade Scale &amp; Grading Policies</w:t>
            </w:r>
            <w:r w:rsidRPr="000207CC">
              <w:rPr>
                <w:sz w:val="22"/>
                <w:szCs w:val="22"/>
              </w:rPr>
              <w:t>:</w:t>
            </w:r>
          </w:p>
        </w:tc>
        <w:tc>
          <w:tcPr>
            <w:tcW w:w="668" w:type="dxa"/>
            <w:tcBorders>
              <w:top w:val="none" w:sz="0" w:space="0" w:color="020000"/>
              <w:left w:val="none" w:sz="0" w:space="0" w:color="020000"/>
              <w:right w:val="none" w:sz="0" w:space="0" w:color="020000"/>
            </w:tcBorders>
          </w:tcPr>
          <w:p w14:paraId="06CFBEF7"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tcPr>
          <w:p w14:paraId="4C30DE5A" w14:textId="29ADACED" w:rsidR="006832B1" w:rsidRPr="000207CC" w:rsidRDefault="006832B1" w:rsidP="000207CC">
            <w:pPr>
              <w:rPr>
                <w:sz w:val="22"/>
                <w:szCs w:val="22"/>
              </w:rPr>
            </w:pPr>
            <w:r w:rsidRPr="000207CC">
              <w:rPr>
                <w:sz w:val="22"/>
                <w:szCs w:val="22"/>
              </w:rPr>
              <w:t xml:space="preserve"> </w:t>
            </w:r>
          </w:p>
        </w:tc>
      </w:tr>
      <w:tr w:rsidR="006832B1" w:rsidRPr="000207CC" w14:paraId="421D9930" w14:textId="77777777" w:rsidTr="00F51868">
        <w:trPr>
          <w:trHeight w:hRule="exact" w:val="468"/>
        </w:trPr>
        <w:tc>
          <w:tcPr>
            <w:tcW w:w="3810" w:type="dxa"/>
            <w:vAlign w:val="bottom"/>
          </w:tcPr>
          <w:p w14:paraId="65FFB6D3" w14:textId="77777777" w:rsidR="006832B1" w:rsidRPr="006832B1" w:rsidRDefault="006832B1" w:rsidP="000207CC">
            <w:pPr>
              <w:rPr>
                <w:sz w:val="22"/>
                <w:szCs w:val="22"/>
                <w:u w:val="single"/>
              </w:rPr>
            </w:pPr>
            <w:r w:rsidRPr="006832B1">
              <w:rPr>
                <w:sz w:val="22"/>
                <w:szCs w:val="22"/>
                <w:u w:val="single"/>
              </w:rPr>
              <w:t>Grade</w:t>
            </w:r>
          </w:p>
        </w:tc>
        <w:tc>
          <w:tcPr>
            <w:tcW w:w="668" w:type="dxa"/>
            <w:tcBorders>
              <w:right w:val="nil"/>
            </w:tcBorders>
          </w:tcPr>
          <w:p w14:paraId="59F7F1AC" w14:textId="77777777" w:rsidR="006832B1" w:rsidRPr="000207CC" w:rsidRDefault="006832B1" w:rsidP="000207CC">
            <w:pPr>
              <w:rPr>
                <w:sz w:val="22"/>
                <w:szCs w:val="22"/>
              </w:rPr>
            </w:pPr>
          </w:p>
        </w:tc>
        <w:tc>
          <w:tcPr>
            <w:tcW w:w="547" w:type="dxa"/>
            <w:tcBorders>
              <w:top w:val="none" w:sz="0" w:space="0" w:color="020000"/>
              <w:left w:val="nil"/>
              <w:bottom w:val="single" w:sz="5" w:space="0" w:color="000000"/>
              <w:right w:val="none" w:sz="0" w:space="0" w:color="020000"/>
            </w:tcBorders>
            <w:vAlign w:val="bottom"/>
          </w:tcPr>
          <w:p w14:paraId="1E15B716" w14:textId="6ADDCC6A" w:rsidR="006832B1" w:rsidRPr="000207CC" w:rsidRDefault="006832B1" w:rsidP="006832B1">
            <w:pPr>
              <w:ind w:left="-20"/>
              <w:rPr>
                <w:sz w:val="22"/>
                <w:szCs w:val="22"/>
              </w:rPr>
            </w:pPr>
            <w:r w:rsidRPr="000207CC">
              <w:rPr>
                <w:sz w:val="22"/>
                <w:szCs w:val="22"/>
              </w:rPr>
              <w:t>Points</w:t>
            </w:r>
          </w:p>
        </w:tc>
      </w:tr>
      <w:tr w:rsidR="006832B1" w:rsidRPr="000207CC" w14:paraId="018ED315" w14:textId="77777777" w:rsidTr="00F51868">
        <w:trPr>
          <w:trHeight w:hRule="exact" w:val="252"/>
        </w:trPr>
        <w:tc>
          <w:tcPr>
            <w:tcW w:w="3810" w:type="dxa"/>
            <w:tcBorders>
              <w:left w:val="none" w:sz="0" w:space="0" w:color="020000"/>
              <w:bottom w:val="none" w:sz="0" w:space="0" w:color="020000"/>
              <w:right w:val="none" w:sz="0" w:space="0" w:color="020000"/>
            </w:tcBorders>
            <w:vAlign w:val="center"/>
          </w:tcPr>
          <w:p w14:paraId="048AAA3F" w14:textId="21A80A79" w:rsidR="006832B1" w:rsidRPr="000207CC" w:rsidRDefault="006832B1" w:rsidP="00226443">
            <w:pPr>
              <w:rPr>
                <w:sz w:val="22"/>
                <w:szCs w:val="22"/>
              </w:rPr>
            </w:pPr>
            <w:r w:rsidRPr="000207CC">
              <w:rPr>
                <w:sz w:val="22"/>
                <w:szCs w:val="22"/>
              </w:rPr>
              <w:t>A)</w:t>
            </w:r>
          </w:p>
        </w:tc>
        <w:tc>
          <w:tcPr>
            <w:tcW w:w="668" w:type="dxa"/>
            <w:tcBorders>
              <w:left w:val="none" w:sz="0" w:space="0" w:color="020000"/>
              <w:bottom w:val="none" w:sz="0" w:space="0" w:color="020000"/>
              <w:right w:val="none" w:sz="0" w:space="0" w:color="020000"/>
            </w:tcBorders>
          </w:tcPr>
          <w:p w14:paraId="3488CEAB" w14:textId="77777777" w:rsidR="006832B1" w:rsidRPr="000207CC" w:rsidRDefault="006832B1" w:rsidP="000207CC">
            <w:pPr>
              <w:rPr>
                <w:sz w:val="22"/>
                <w:szCs w:val="22"/>
              </w:rPr>
            </w:pPr>
          </w:p>
        </w:tc>
        <w:tc>
          <w:tcPr>
            <w:tcW w:w="547" w:type="dxa"/>
            <w:tcBorders>
              <w:top w:val="single" w:sz="5" w:space="0" w:color="000000"/>
              <w:left w:val="none" w:sz="0" w:space="0" w:color="020000"/>
              <w:bottom w:val="none" w:sz="0" w:space="0" w:color="020000"/>
              <w:right w:val="none" w:sz="0" w:space="0" w:color="020000"/>
            </w:tcBorders>
            <w:vAlign w:val="center"/>
          </w:tcPr>
          <w:p w14:paraId="56B1E443" w14:textId="17FF345F" w:rsidR="006832B1" w:rsidRPr="000207CC" w:rsidRDefault="006832B1" w:rsidP="000207CC">
            <w:pPr>
              <w:rPr>
                <w:sz w:val="22"/>
                <w:szCs w:val="22"/>
              </w:rPr>
            </w:pPr>
            <w:r w:rsidRPr="000207CC">
              <w:rPr>
                <w:sz w:val="22"/>
                <w:szCs w:val="22"/>
              </w:rPr>
              <w:t>4.0</w:t>
            </w:r>
          </w:p>
        </w:tc>
      </w:tr>
      <w:tr w:rsidR="006832B1" w:rsidRPr="000207CC" w14:paraId="73C948C1" w14:textId="77777777" w:rsidTr="00F51868">
        <w:trPr>
          <w:trHeight w:hRule="exact" w:val="236"/>
        </w:trPr>
        <w:tc>
          <w:tcPr>
            <w:tcW w:w="3810" w:type="dxa"/>
            <w:tcBorders>
              <w:top w:val="none" w:sz="0" w:space="0" w:color="020000"/>
              <w:left w:val="none" w:sz="0" w:space="0" w:color="020000"/>
              <w:bottom w:val="none" w:sz="0" w:space="0" w:color="020000"/>
              <w:right w:val="none" w:sz="0" w:space="0" w:color="020000"/>
            </w:tcBorders>
            <w:vAlign w:val="center"/>
          </w:tcPr>
          <w:p w14:paraId="5F447FF4" w14:textId="77777777" w:rsidR="006832B1" w:rsidRPr="000207CC" w:rsidRDefault="006832B1" w:rsidP="000207CC">
            <w:pPr>
              <w:rPr>
                <w:sz w:val="22"/>
                <w:szCs w:val="22"/>
              </w:rPr>
            </w:pPr>
            <w:r w:rsidRPr="000207CC">
              <w:rPr>
                <w:sz w:val="22"/>
                <w:szCs w:val="22"/>
              </w:rPr>
              <w:t>A-</w:t>
            </w:r>
          </w:p>
        </w:tc>
        <w:tc>
          <w:tcPr>
            <w:tcW w:w="668" w:type="dxa"/>
            <w:tcBorders>
              <w:top w:val="none" w:sz="0" w:space="0" w:color="020000"/>
              <w:left w:val="none" w:sz="0" w:space="0" w:color="020000"/>
              <w:bottom w:val="none" w:sz="0" w:space="0" w:color="020000"/>
              <w:right w:val="none" w:sz="0" w:space="0" w:color="020000"/>
            </w:tcBorders>
          </w:tcPr>
          <w:p w14:paraId="1F006949"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61ED9DBD" w14:textId="7F6D4BC3" w:rsidR="006832B1" w:rsidRPr="000207CC" w:rsidRDefault="006832B1" w:rsidP="000207CC">
            <w:pPr>
              <w:rPr>
                <w:sz w:val="22"/>
                <w:szCs w:val="22"/>
              </w:rPr>
            </w:pPr>
            <w:r w:rsidRPr="000207CC">
              <w:rPr>
                <w:sz w:val="22"/>
                <w:szCs w:val="22"/>
              </w:rPr>
              <w:t>3.67</w:t>
            </w:r>
          </w:p>
        </w:tc>
      </w:tr>
      <w:tr w:rsidR="006832B1" w:rsidRPr="000207CC" w14:paraId="3306AB15" w14:textId="77777777" w:rsidTr="00F51868">
        <w:trPr>
          <w:trHeight w:hRule="exact" w:val="231"/>
        </w:trPr>
        <w:tc>
          <w:tcPr>
            <w:tcW w:w="3810" w:type="dxa"/>
            <w:tcBorders>
              <w:top w:val="none" w:sz="0" w:space="0" w:color="020000"/>
              <w:left w:val="none" w:sz="0" w:space="0" w:color="020000"/>
              <w:bottom w:val="none" w:sz="0" w:space="0" w:color="020000"/>
              <w:right w:val="none" w:sz="0" w:space="0" w:color="020000"/>
            </w:tcBorders>
            <w:vAlign w:val="center"/>
          </w:tcPr>
          <w:p w14:paraId="0BF8FFF0" w14:textId="77777777" w:rsidR="006832B1" w:rsidRPr="000207CC" w:rsidRDefault="006832B1" w:rsidP="000207CC">
            <w:pPr>
              <w:rPr>
                <w:sz w:val="22"/>
                <w:szCs w:val="22"/>
              </w:rPr>
            </w:pPr>
            <w:r w:rsidRPr="000207CC">
              <w:rPr>
                <w:sz w:val="22"/>
                <w:szCs w:val="22"/>
              </w:rPr>
              <w:t>B+</w:t>
            </w:r>
          </w:p>
        </w:tc>
        <w:tc>
          <w:tcPr>
            <w:tcW w:w="668" w:type="dxa"/>
            <w:tcBorders>
              <w:top w:val="none" w:sz="0" w:space="0" w:color="020000"/>
              <w:left w:val="none" w:sz="0" w:space="0" w:color="020000"/>
              <w:bottom w:val="none" w:sz="0" w:space="0" w:color="020000"/>
              <w:right w:val="none" w:sz="0" w:space="0" w:color="020000"/>
            </w:tcBorders>
          </w:tcPr>
          <w:p w14:paraId="70DE2FCA"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6A7F5C59" w14:textId="6DD3C94B" w:rsidR="006832B1" w:rsidRPr="000207CC" w:rsidRDefault="006832B1" w:rsidP="000207CC">
            <w:pPr>
              <w:rPr>
                <w:sz w:val="22"/>
                <w:szCs w:val="22"/>
              </w:rPr>
            </w:pPr>
            <w:r w:rsidRPr="000207CC">
              <w:rPr>
                <w:sz w:val="22"/>
                <w:szCs w:val="22"/>
              </w:rPr>
              <w:t>3.33</w:t>
            </w:r>
          </w:p>
        </w:tc>
      </w:tr>
      <w:tr w:rsidR="006832B1" w:rsidRPr="000207CC" w14:paraId="57E700CF" w14:textId="77777777" w:rsidTr="00F51868">
        <w:trPr>
          <w:trHeight w:hRule="exact" w:val="236"/>
        </w:trPr>
        <w:tc>
          <w:tcPr>
            <w:tcW w:w="3810" w:type="dxa"/>
            <w:tcBorders>
              <w:top w:val="none" w:sz="0" w:space="0" w:color="020000"/>
              <w:left w:val="none" w:sz="0" w:space="0" w:color="020000"/>
              <w:bottom w:val="none" w:sz="0" w:space="0" w:color="020000"/>
              <w:right w:val="none" w:sz="0" w:space="0" w:color="020000"/>
            </w:tcBorders>
            <w:vAlign w:val="center"/>
          </w:tcPr>
          <w:p w14:paraId="21DE1BEC" w14:textId="116020BD" w:rsidR="006832B1" w:rsidRPr="000207CC" w:rsidRDefault="006832B1" w:rsidP="00226443">
            <w:pPr>
              <w:rPr>
                <w:sz w:val="22"/>
                <w:szCs w:val="22"/>
              </w:rPr>
            </w:pPr>
            <w:r w:rsidRPr="000207CC">
              <w:rPr>
                <w:sz w:val="22"/>
                <w:szCs w:val="22"/>
              </w:rPr>
              <w:t>B</w:t>
            </w:r>
          </w:p>
        </w:tc>
        <w:tc>
          <w:tcPr>
            <w:tcW w:w="668" w:type="dxa"/>
            <w:tcBorders>
              <w:top w:val="none" w:sz="0" w:space="0" w:color="020000"/>
              <w:left w:val="none" w:sz="0" w:space="0" w:color="020000"/>
              <w:bottom w:val="none" w:sz="0" w:space="0" w:color="020000"/>
              <w:right w:val="none" w:sz="0" w:space="0" w:color="020000"/>
            </w:tcBorders>
          </w:tcPr>
          <w:p w14:paraId="1BBB6136"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60E1F7A9" w14:textId="16DC47CE" w:rsidR="006832B1" w:rsidRPr="000207CC" w:rsidRDefault="006832B1" w:rsidP="000207CC">
            <w:pPr>
              <w:rPr>
                <w:sz w:val="22"/>
                <w:szCs w:val="22"/>
              </w:rPr>
            </w:pPr>
            <w:r w:rsidRPr="000207CC">
              <w:rPr>
                <w:sz w:val="22"/>
                <w:szCs w:val="22"/>
              </w:rPr>
              <w:t>3.00</w:t>
            </w:r>
          </w:p>
        </w:tc>
      </w:tr>
      <w:tr w:rsidR="006832B1" w:rsidRPr="000207CC" w14:paraId="66596747" w14:textId="77777777" w:rsidTr="00F51868">
        <w:trPr>
          <w:trHeight w:hRule="exact" w:val="231"/>
        </w:trPr>
        <w:tc>
          <w:tcPr>
            <w:tcW w:w="3810" w:type="dxa"/>
            <w:tcBorders>
              <w:top w:val="none" w:sz="0" w:space="0" w:color="020000"/>
              <w:left w:val="none" w:sz="0" w:space="0" w:color="020000"/>
              <w:bottom w:val="none" w:sz="0" w:space="0" w:color="020000"/>
              <w:right w:val="none" w:sz="0" w:space="0" w:color="020000"/>
            </w:tcBorders>
            <w:vAlign w:val="center"/>
          </w:tcPr>
          <w:p w14:paraId="5416ED0D" w14:textId="77777777" w:rsidR="006832B1" w:rsidRPr="000207CC" w:rsidRDefault="006832B1" w:rsidP="000207CC">
            <w:pPr>
              <w:rPr>
                <w:sz w:val="22"/>
                <w:szCs w:val="22"/>
              </w:rPr>
            </w:pPr>
            <w:r w:rsidRPr="000207CC">
              <w:rPr>
                <w:sz w:val="22"/>
                <w:szCs w:val="22"/>
              </w:rPr>
              <w:t>B-</w:t>
            </w:r>
          </w:p>
        </w:tc>
        <w:tc>
          <w:tcPr>
            <w:tcW w:w="668" w:type="dxa"/>
            <w:tcBorders>
              <w:top w:val="none" w:sz="0" w:space="0" w:color="020000"/>
              <w:left w:val="none" w:sz="0" w:space="0" w:color="020000"/>
              <w:bottom w:val="none" w:sz="0" w:space="0" w:color="020000"/>
              <w:right w:val="none" w:sz="0" w:space="0" w:color="020000"/>
            </w:tcBorders>
          </w:tcPr>
          <w:p w14:paraId="04D26301"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0E90DC20" w14:textId="7E8D1102" w:rsidR="006832B1" w:rsidRPr="000207CC" w:rsidRDefault="006832B1" w:rsidP="000207CC">
            <w:pPr>
              <w:rPr>
                <w:sz w:val="22"/>
                <w:szCs w:val="22"/>
              </w:rPr>
            </w:pPr>
            <w:r w:rsidRPr="000207CC">
              <w:rPr>
                <w:sz w:val="22"/>
                <w:szCs w:val="22"/>
              </w:rPr>
              <w:t>2.67</w:t>
            </w:r>
          </w:p>
        </w:tc>
      </w:tr>
      <w:tr w:rsidR="006832B1" w:rsidRPr="000207CC" w14:paraId="07D2A8C5" w14:textId="77777777" w:rsidTr="00F51868">
        <w:trPr>
          <w:trHeight w:hRule="exact" w:val="236"/>
        </w:trPr>
        <w:tc>
          <w:tcPr>
            <w:tcW w:w="3810" w:type="dxa"/>
            <w:tcBorders>
              <w:top w:val="none" w:sz="0" w:space="0" w:color="020000"/>
              <w:left w:val="none" w:sz="0" w:space="0" w:color="020000"/>
              <w:bottom w:val="none" w:sz="0" w:space="0" w:color="020000"/>
              <w:right w:val="none" w:sz="0" w:space="0" w:color="020000"/>
            </w:tcBorders>
            <w:vAlign w:val="center"/>
          </w:tcPr>
          <w:p w14:paraId="0EDBFCB7" w14:textId="77777777" w:rsidR="006832B1" w:rsidRPr="000207CC" w:rsidRDefault="006832B1" w:rsidP="000207CC">
            <w:pPr>
              <w:rPr>
                <w:sz w:val="22"/>
                <w:szCs w:val="22"/>
              </w:rPr>
            </w:pPr>
            <w:r w:rsidRPr="000207CC">
              <w:rPr>
                <w:sz w:val="22"/>
                <w:szCs w:val="22"/>
              </w:rPr>
              <w:t>C+</w:t>
            </w:r>
          </w:p>
        </w:tc>
        <w:tc>
          <w:tcPr>
            <w:tcW w:w="668" w:type="dxa"/>
            <w:tcBorders>
              <w:top w:val="none" w:sz="0" w:space="0" w:color="020000"/>
              <w:left w:val="none" w:sz="0" w:space="0" w:color="020000"/>
              <w:bottom w:val="none" w:sz="0" w:space="0" w:color="020000"/>
              <w:right w:val="none" w:sz="0" w:space="0" w:color="020000"/>
            </w:tcBorders>
          </w:tcPr>
          <w:p w14:paraId="51854C11"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287ABDDE" w14:textId="162CD8C9" w:rsidR="006832B1" w:rsidRPr="000207CC" w:rsidRDefault="006832B1" w:rsidP="000207CC">
            <w:pPr>
              <w:rPr>
                <w:sz w:val="22"/>
                <w:szCs w:val="22"/>
              </w:rPr>
            </w:pPr>
            <w:r w:rsidRPr="000207CC">
              <w:rPr>
                <w:sz w:val="22"/>
                <w:szCs w:val="22"/>
              </w:rPr>
              <w:t>2.33</w:t>
            </w:r>
          </w:p>
        </w:tc>
      </w:tr>
      <w:tr w:rsidR="006832B1" w:rsidRPr="000207CC" w14:paraId="28F355E9" w14:textId="77777777" w:rsidTr="00F51868">
        <w:trPr>
          <w:trHeight w:hRule="exact" w:val="231"/>
        </w:trPr>
        <w:tc>
          <w:tcPr>
            <w:tcW w:w="3810" w:type="dxa"/>
            <w:tcBorders>
              <w:top w:val="none" w:sz="0" w:space="0" w:color="020000"/>
              <w:left w:val="none" w:sz="0" w:space="0" w:color="020000"/>
              <w:bottom w:val="none" w:sz="0" w:space="0" w:color="020000"/>
              <w:right w:val="none" w:sz="0" w:space="0" w:color="020000"/>
            </w:tcBorders>
            <w:vAlign w:val="center"/>
          </w:tcPr>
          <w:p w14:paraId="37A14D1B" w14:textId="73C5B3A3" w:rsidR="006832B1" w:rsidRPr="000207CC" w:rsidRDefault="006832B1" w:rsidP="00226443">
            <w:pPr>
              <w:rPr>
                <w:sz w:val="22"/>
                <w:szCs w:val="22"/>
              </w:rPr>
            </w:pPr>
            <w:r w:rsidRPr="000207CC">
              <w:rPr>
                <w:sz w:val="22"/>
                <w:szCs w:val="22"/>
              </w:rPr>
              <w:t>C</w:t>
            </w:r>
          </w:p>
        </w:tc>
        <w:tc>
          <w:tcPr>
            <w:tcW w:w="668" w:type="dxa"/>
            <w:tcBorders>
              <w:top w:val="none" w:sz="0" w:space="0" w:color="020000"/>
              <w:left w:val="none" w:sz="0" w:space="0" w:color="020000"/>
              <w:bottom w:val="none" w:sz="0" w:space="0" w:color="020000"/>
              <w:right w:val="none" w:sz="0" w:space="0" w:color="020000"/>
            </w:tcBorders>
          </w:tcPr>
          <w:p w14:paraId="5B037D4B"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4217DFD9" w14:textId="01C41919" w:rsidR="006832B1" w:rsidRPr="000207CC" w:rsidRDefault="006832B1" w:rsidP="000207CC">
            <w:pPr>
              <w:rPr>
                <w:sz w:val="22"/>
                <w:szCs w:val="22"/>
              </w:rPr>
            </w:pPr>
            <w:r w:rsidRPr="000207CC">
              <w:rPr>
                <w:sz w:val="22"/>
                <w:szCs w:val="22"/>
              </w:rPr>
              <w:t>2.00</w:t>
            </w:r>
          </w:p>
        </w:tc>
      </w:tr>
      <w:tr w:rsidR="006832B1" w:rsidRPr="000207CC" w14:paraId="52335420" w14:textId="77777777" w:rsidTr="00F51868">
        <w:trPr>
          <w:trHeight w:hRule="exact" w:val="236"/>
        </w:trPr>
        <w:tc>
          <w:tcPr>
            <w:tcW w:w="3810" w:type="dxa"/>
            <w:tcBorders>
              <w:top w:val="none" w:sz="0" w:space="0" w:color="020000"/>
              <w:left w:val="none" w:sz="0" w:space="0" w:color="020000"/>
              <w:bottom w:val="none" w:sz="0" w:space="0" w:color="020000"/>
              <w:right w:val="none" w:sz="0" w:space="0" w:color="020000"/>
            </w:tcBorders>
            <w:vAlign w:val="center"/>
          </w:tcPr>
          <w:p w14:paraId="1A338977" w14:textId="77777777" w:rsidR="006832B1" w:rsidRPr="000207CC" w:rsidRDefault="006832B1" w:rsidP="000207CC">
            <w:pPr>
              <w:rPr>
                <w:sz w:val="22"/>
                <w:szCs w:val="22"/>
              </w:rPr>
            </w:pPr>
            <w:r w:rsidRPr="000207CC">
              <w:rPr>
                <w:sz w:val="22"/>
                <w:szCs w:val="22"/>
              </w:rPr>
              <w:t>C-</w:t>
            </w:r>
          </w:p>
        </w:tc>
        <w:tc>
          <w:tcPr>
            <w:tcW w:w="668" w:type="dxa"/>
            <w:tcBorders>
              <w:top w:val="none" w:sz="0" w:space="0" w:color="020000"/>
              <w:left w:val="none" w:sz="0" w:space="0" w:color="020000"/>
              <w:bottom w:val="none" w:sz="0" w:space="0" w:color="020000"/>
              <w:right w:val="none" w:sz="0" w:space="0" w:color="020000"/>
            </w:tcBorders>
          </w:tcPr>
          <w:p w14:paraId="51B0FB22"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462D4816" w14:textId="2FEA7C58" w:rsidR="006832B1" w:rsidRPr="000207CC" w:rsidRDefault="006832B1" w:rsidP="000207CC">
            <w:pPr>
              <w:rPr>
                <w:sz w:val="22"/>
                <w:szCs w:val="22"/>
              </w:rPr>
            </w:pPr>
            <w:r w:rsidRPr="000207CC">
              <w:rPr>
                <w:sz w:val="22"/>
                <w:szCs w:val="22"/>
              </w:rPr>
              <w:t>1.67</w:t>
            </w:r>
          </w:p>
        </w:tc>
      </w:tr>
      <w:tr w:rsidR="006832B1" w:rsidRPr="000207CC" w14:paraId="3D9579CB" w14:textId="77777777" w:rsidTr="00F51868">
        <w:trPr>
          <w:trHeight w:hRule="exact" w:val="231"/>
        </w:trPr>
        <w:tc>
          <w:tcPr>
            <w:tcW w:w="3810" w:type="dxa"/>
            <w:tcBorders>
              <w:top w:val="none" w:sz="0" w:space="0" w:color="020000"/>
              <w:left w:val="none" w:sz="0" w:space="0" w:color="020000"/>
              <w:bottom w:val="none" w:sz="0" w:space="0" w:color="020000"/>
              <w:right w:val="none" w:sz="0" w:space="0" w:color="020000"/>
            </w:tcBorders>
            <w:vAlign w:val="center"/>
          </w:tcPr>
          <w:p w14:paraId="162F2B31" w14:textId="77777777" w:rsidR="006832B1" w:rsidRPr="000207CC" w:rsidRDefault="006832B1" w:rsidP="000207CC">
            <w:pPr>
              <w:rPr>
                <w:sz w:val="22"/>
                <w:szCs w:val="22"/>
              </w:rPr>
            </w:pPr>
            <w:r w:rsidRPr="000207CC">
              <w:rPr>
                <w:sz w:val="22"/>
                <w:szCs w:val="22"/>
              </w:rPr>
              <w:t>D+</w:t>
            </w:r>
          </w:p>
        </w:tc>
        <w:tc>
          <w:tcPr>
            <w:tcW w:w="668" w:type="dxa"/>
            <w:tcBorders>
              <w:top w:val="none" w:sz="0" w:space="0" w:color="020000"/>
              <w:left w:val="none" w:sz="0" w:space="0" w:color="020000"/>
              <w:bottom w:val="none" w:sz="0" w:space="0" w:color="020000"/>
              <w:right w:val="none" w:sz="0" w:space="0" w:color="020000"/>
            </w:tcBorders>
          </w:tcPr>
          <w:p w14:paraId="2D7E3E54"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2A98A8EE" w14:textId="0D9F25EA" w:rsidR="006832B1" w:rsidRPr="000207CC" w:rsidRDefault="006832B1" w:rsidP="000207CC">
            <w:pPr>
              <w:rPr>
                <w:sz w:val="22"/>
                <w:szCs w:val="22"/>
              </w:rPr>
            </w:pPr>
            <w:r w:rsidRPr="000207CC">
              <w:rPr>
                <w:sz w:val="22"/>
                <w:szCs w:val="22"/>
              </w:rPr>
              <w:t>1.33</w:t>
            </w:r>
          </w:p>
        </w:tc>
      </w:tr>
      <w:tr w:rsidR="006832B1" w:rsidRPr="000207CC" w14:paraId="708ABF05" w14:textId="77777777" w:rsidTr="00F51868">
        <w:trPr>
          <w:trHeight w:hRule="exact" w:val="236"/>
        </w:trPr>
        <w:tc>
          <w:tcPr>
            <w:tcW w:w="3810" w:type="dxa"/>
            <w:tcBorders>
              <w:top w:val="none" w:sz="0" w:space="0" w:color="020000"/>
              <w:left w:val="none" w:sz="0" w:space="0" w:color="020000"/>
              <w:bottom w:val="none" w:sz="0" w:space="0" w:color="020000"/>
              <w:right w:val="none" w:sz="0" w:space="0" w:color="020000"/>
            </w:tcBorders>
            <w:vAlign w:val="center"/>
          </w:tcPr>
          <w:p w14:paraId="2A6E3797" w14:textId="151A707C" w:rsidR="006832B1" w:rsidRPr="000207CC" w:rsidRDefault="006832B1" w:rsidP="00226443">
            <w:pPr>
              <w:rPr>
                <w:sz w:val="22"/>
                <w:szCs w:val="22"/>
              </w:rPr>
            </w:pPr>
            <w:r w:rsidRPr="000207CC">
              <w:rPr>
                <w:sz w:val="22"/>
                <w:szCs w:val="22"/>
              </w:rPr>
              <w:t>D)</w:t>
            </w:r>
          </w:p>
        </w:tc>
        <w:tc>
          <w:tcPr>
            <w:tcW w:w="668" w:type="dxa"/>
            <w:tcBorders>
              <w:top w:val="none" w:sz="0" w:space="0" w:color="020000"/>
              <w:left w:val="none" w:sz="0" w:space="0" w:color="020000"/>
              <w:bottom w:val="none" w:sz="0" w:space="0" w:color="020000"/>
              <w:right w:val="none" w:sz="0" w:space="0" w:color="020000"/>
            </w:tcBorders>
          </w:tcPr>
          <w:p w14:paraId="6361E654"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61576356" w14:textId="5F29D875" w:rsidR="006832B1" w:rsidRPr="000207CC" w:rsidRDefault="006832B1" w:rsidP="000207CC">
            <w:pPr>
              <w:rPr>
                <w:sz w:val="22"/>
                <w:szCs w:val="22"/>
              </w:rPr>
            </w:pPr>
            <w:r w:rsidRPr="000207CC">
              <w:rPr>
                <w:sz w:val="22"/>
                <w:szCs w:val="22"/>
              </w:rPr>
              <w:t>1.00</w:t>
            </w:r>
          </w:p>
        </w:tc>
      </w:tr>
      <w:tr w:rsidR="006832B1" w:rsidRPr="000207CC" w14:paraId="3067E59E" w14:textId="77777777" w:rsidTr="00F51868">
        <w:trPr>
          <w:trHeight w:hRule="exact" w:val="231"/>
        </w:trPr>
        <w:tc>
          <w:tcPr>
            <w:tcW w:w="3810" w:type="dxa"/>
            <w:tcBorders>
              <w:top w:val="none" w:sz="0" w:space="0" w:color="020000"/>
              <w:left w:val="none" w:sz="0" w:space="0" w:color="020000"/>
              <w:bottom w:val="none" w:sz="0" w:space="0" w:color="020000"/>
              <w:right w:val="none" w:sz="0" w:space="0" w:color="020000"/>
            </w:tcBorders>
            <w:vAlign w:val="center"/>
          </w:tcPr>
          <w:p w14:paraId="15CF086C" w14:textId="77777777" w:rsidR="006832B1" w:rsidRPr="000207CC" w:rsidRDefault="006832B1" w:rsidP="000207CC">
            <w:pPr>
              <w:rPr>
                <w:sz w:val="22"/>
                <w:szCs w:val="22"/>
              </w:rPr>
            </w:pPr>
            <w:r w:rsidRPr="000207CC">
              <w:rPr>
                <w:sz w:val="22"/>
                <w:szCs w:val="22"/>
              </w:rPr>
              <w:t>D-</w:t>
            </w:r>
          </w:p>
        </w:tc>
        <w:tc>
          <w:tcPr>
            <w:tcW w:w="668" w:type="dxa"/>
            <w:tcBorders>
              <w:top w:val="none" w:sz="0" w:space="0" w:color="020000"/>
              <w:left w:val="none" w:sz="0" w:space="0" w:color="020000"/>
              <w:bottom w:val="none" w:sz="0" w:space="0" w:color="020000"/>
              <w:right w:val="none" w:sz="0" w:space="0" w:color="020000"/>
            </w:tcBorders>
          </w:tcPr>
          <w:p w14:paraId="2786227A"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4282D666" w14:textId="3DCE1EF3" w:rsidR="006832B1" w:rsidRPr="000207CC" w:rsidRDefault="006832B1" w:rsidP="000207CC">
            <w:pPr>
              <w:rPr>
                <w:sz w:val="22"/>
                <w:szCs w:val="22"/>
              </w:rPr>
            </w:pPr>
            <w:r w:rsidRPr="000207CC">
              <w:rPr>
                <w:sz w:val="22"/>
                <w:szCs w:val="22"/>
              </w:rPr>
              <w:t>0.67</w:t>
            </w:r>
          </w:p>
        </w:tc>
      </w:tr>
      <w:tr w:rsidR="006832B1" w:rsidRPr="000207CC" w14:paraId="586E44D9" w14:textId="77777777" w:rsidTr="00F51868">
        <w:trPr>
          <w:trHeight w:hRule="exact" w:val="295"/>
        </w:trPr>
        <w:tc>
          <w:tcPr>
            <w:tcW w:w="3810" w:type="dxa"/>
            <w:tcBorders>
              <w:top w:val="none" w:sz="0" w:space="0" w:color="020000"/>
              <w:left w:val="none" w:sz="0" w:space="0" w:color="020000"/>
              <w:bottom w:val="none" w:sz="0" w:space="0" w:color="020000"/>
              <w:right w:val="none" w:sz="0" w:space="0" w:color="020000"/>
            </w:tcBorders>
            <w:vAlign w:val="center"/>
          </w:tcPr>
          <w:p w14:paraId="1CE09AB8" w14:textId="77777777" w:rsidR="006832B1" w:rsidRPr="000207CC" w:rsidRDefault="006832B1" w:rsidP="000207CC">
            <w:pPr>
              <w:rPr>
                <w:sz w:val="22"/>
                <w:szCs w:val="22"/>
              </w:rPr>
            </w:pPr>
            <w:r w:rsidRPr="000207CC">
              <w:rPr>
                <w:sz w:val="22"/>
                <w:szCs w:val="22"/>
              </w:rPr>
              <w:t>E (Failure)</w:t>
            </w:r>
          </w:p>
        </w:tc>
        <w:tc>
          <w:tcPr>
            <w:tcW w:w="668" w:type="dxa"/>
            <w:tcBorders>
              <w:top w:val="none" w:sz="0" w:space="0" w:color="020000"/>
              <w:left w:val="none" w:sz="0" w:space="0" w:color="020000"/>
              <w:bottom w:val="none" w:sz="0" w:space="0" w:color="020000"/>
              <w:right w:val="none" w:sz="0" w:space="0" w:color="020000"/>
            </w:tcBorders>
          </w:tcPr>
          <w:p w14:paraId="7D979394" w14:textId="77777777" w:rsidR="006832B1" w:rsidRPr="000207CC" w:rsidRDefault="006832B1" w:rsidP="000207CC">
            <w:pPr>
              <w:rPr>
                <w:sz w:val="22"/>
                <w:szCs w:val="22"/>
              </w:rPr>
            </w:pPr>
          </w:p>
        </w:tc>
        <w:tc>
          <w:tcPr>
            <w:tcW w:w="547" w:type="dxa"/>
            <w:tcBorders>
              <w:top w:val="none" w:sz="0" w:space="0" w:color="020000"/>
              <w:left w:val="none" w:sz="0" w:space="0" w:color="020000"/>
              <w:bottom w:val="none" w:sz="0" w:space="0" w:color="020000"/>
              <w:right w:val="none" w:sz="0" w:space="0" w:color="020000"/>
            </w:tcBorders>
            <w:vAlign w:val="center"/>
          </w:tcPr>
          <w:p w14:paraId="6F9C40C9" w14:textId="5FE55FC3" w:rsidR="006832B1" w:rsidRPr="000207CC" w:rsidRDefault="006832B1" w:rsidP="000207CC">
            <w:pPr>
              <w:rPr>
                <w:sz w:val="22"/>
                <w:szCs w:val="22"/>
              </w:rPr>
            </w:pPr>
            <w:r w:rsidRPr="000207CC">
              <w:rPr>
                <w:sz w:val="22"/>
                <w:szCs w:val="22"/>
              </w:rPr>
              <w:t>0.00</w:t>
            </w:r>
          </w:p>
        </w:tc>
      </w:tr>
    </w:tbl>
    <w:p w14:paraId="19540CFB" w14:textId="77777777" w:rsidR="000207CC" w:rsidRPr="000207CC" w:rsidRDefault="000207CC" w:rsidP="000207CC">
      <w:pPr>
        <w:rPr>
          <w:sz w:val="22"/>
          <w:szCs w:val="22"/>
        </w:rPr>
      </w:pPr>
    </w:p>
    <w:p w14:paraId="4882ABFC" w14:textId="473FF134" w:rsidR="000207CC" w:rsidRPr="000207CC" w:rsidRDefault="000207CC" w:rsidP="000207CC">
      <w:pPr>
        <w:rPr>
          <w:sz w:val="22"/>
          <w:szCs w:val="22"/>
        </w:rPr>
      </w:pPr>
      <w:r w:rsidRPr="000207CC">
        <w:rPr>
          <w:sz w:val="22"/>
          <w:szCs w:val="22"/>
        </w:rPr>
        <w:t xml:space="preserve">The law school grading policy is available </w:t>
      </w:r>
      <w:r w:rsidR="008E1AF4">
        <w:rPr>
          <w:sz w:val="22"/>
          <w:szCs w:val="22"/>
        </w:rPr>
        <w:t xml:space="preserve">at </w:t>
      </w:r>
      <w:hyperlink r:id="rId10" w:history="1">
        <w:r w:rsidR="008E1AF4" w:rsidRPr="00754393">
          <w:rPr>
            <w:rStyle w:val="Hyperlink"/>
            <w:sz w:val="22"/>
            <w:szCs w:val="22"/>
          </w:rPr>
          <w:t>https://www.law.ufl.edu/life-at-uf-law/office-of-student-affairs/current-students/uf-law-student-handbook-and-academic-policies</w:t>
        </w:r>
      </w:hyperlink>
      <w:r w:rsidRPr="000207CC">
        <w:rPr>
          <w:sz w:val="22"/>
          <w:szCs w:val="22"/>
        </w:rPr>
        <w:t>.</w:t>
      </w:r>
      <w:r w:rsidRPr="000207CC">
        <w:rPr>
          <w:b/>
          <w:sz w:val="22"/>
          <w:szCs w:val="22"/>
          <w:u w:val="single"/>
        </w:rPr>
        <w:t xml:space="preserve"> Note that the mandatory mean does not apply to LL.M. students. </w:t>
      </w:r>
    </w:p>
    <w:p w14:paraId="208284DE" w14:textId="77777777" w:rsidR="000207CC" w:rsidRPr="000207CC" w:rsidRDefault="000207CC" w:rsidP="000207CC">
      <w:pPr>
        <w:rPr>
          <w:sz w:val="22"/>
          <w:szCs w:val="22"/>
        </w:rPr>
      </w:pPr>
    </w:p>
    <w:p w14:paraId="206235F6" w14:textId="13369BD9" w:rsidR="00242088" w:rsidRDefault="001C0EA6" w:rsidP="00B942A3">
      <w:pPr>
        <w:spacing w:before="120" w:after="200"/>
        <w:rPr>
          <w:sz w:val="22"/>
          <w:szCs w:val="22"/>
        </w:rPr>
      </w:pPr>
      <w:r w:rsidRPr="00F335E2">
        <w:rPr>
          <w:b/>
          <w:sz w:val="22"/>
          <w:szCs w:val="22"/>
          <w:u w:val="single"/>
        </w:rPr>
        <w:t>CLASS ATTENDANCE POLICY</w:t>
      </w:r>
      <w:r w:rsidRPr="000951FF">
        <w:rPr>
          <w:b/>
          <w:sz w:val="22"/>
          <w:szCs w:val="22"/>
        </w:rPr>
        <w:t>:</w:t>
      </w:r>
      <w:r w:rsidR="000207CC" w:rsidRPr="00226443">
        <w:rPr>
          <w:sz w:val="22"/>
          <w:szCs w:val="22"/>
        </w:rPr>
        <w:t xml:space="preserve"> </w:t>
      </w:r>
      <w:r w:rsidRPr="00F335E2">
        <w:rPr>
          <w:sz w:val="22"/>
          <w:szCs w:val="22"/>
        </w:rPr>
        <w:t xml:space="preserve">Attendance in class is required by both the ABA and the Law School. Attendance will be taken at each class meeting.  Students are allowed </w:t>
      </w:r>
      <w:r w:rsidR="00CC16EF">
        <w:rPr>
          <w:sz w:val="22"/>
          <w:szCs w:val="22"/>
        </w:rPr>
        <w:t xml:space="preserve">two </w:t>
      </w:r>
      <w:r w:rsidR="00226443">
        <w:rPr>
          <w:sz w:val="22"/>
          <w:szCs w:val="22"/>
        </w:rPr>
        <w:t xml:space="preserve">(2) </w:t>
      </w:r>
      <w:r w:rsidRPr="00F335E2">
        <w:rPr>
          <w:sz w:val="22"/>
          <w:szCs w:val="22"/>
        </w:rPr>
        <w:t xml:space="preserve">absences </w:t>
      </w:r>
      <w:proofErr w:type="gramStart"/>
      <w:r w:rsidRPr="00F335E2">
        <w:rPr>
          <w:sz w:val="22"/>
          <w:szCs w:val="22"/>
        </w:rPr>
        <w:t>during the course of</w:t>
      </w:r>
      <w:proofErr w:type="gramEnd"/>
      <w:r w:rsidRPr="00F335E2">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1"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6FE070EB" w14:textId="565E2455" w:rsidR="00AA2DEF" w:rsidRPr="00F14D25" w:rsidRDefault="00AA2DEF" w:rsidP="00AA2DEF">
      <w:pPr>
        <w:rPr>
          <w:color w:val="201F1E"/>
          <w:sz w:val="22"/>
          <w:szCs w:val="22"/>
          <w:bdr w:val="none" w:sz="0" w:space="0" w:color="auto" w:frame="1"/>
          <w:shd w:val="clear" w:color="auto" w:fill="FFFFFF"/>
        </w:rPr>
      </w:pPr>
      <w:r w:rsidRPr="00AA2DEF">
        <w:rPr>
          <w:b/>
          <w:bCs/>
          <w:color w:val="201F1E"/>
          <w:sz w:val="22"/>
          <w:szCs w:val="22"/>
          <w:u w:val="single"/>
          <w:bdr w:val="none" w:sz="0" w:space="0" w:color="auto" w:frame="1"/>
          <w:shd w:val="clear" w:color="auto" w:fill="FFFFFF"/>
        </w:rPr>
        <w:t xml:space="preserve">UF </w:t>
      </w:r>
      <w:r>
        <w:rPr>
          <w:b/>
          <w:bCs/>
          <w:color w:val="201F1E"/>
          <w:sz w:val="22"/>
          <w:szCs w:val="22"/>
          <w:u w:val="single"/>
          <w:bdr w:val="none" w:sz="0" w:space="0" w:color="auto" w:frame="1"/>
          <w:shd w:val="clear" w:color="auto" w:fill="FFFFFF"/>
        </w:rPr>
        <w:t xml:space="preserve">LEVIN </w:t>
      </w:r>
      <w:r w:rsidRPr="00AA2DEF">
        <w:rPr>
          <w:b/>
          <w:bCs/>
          <w:color w:val="201F1E"/>
          <w:sz w:val="22"/>
          <w:szCs w:val="22"/>
          <w:u w:val="single"/>
          <w:bdr w:val="none" w:sz="0" w:space="0" w:color="auto" w:frame="1"/>
          <w:shd w:val="clear" w:color="auto" w:fill="FFFFFF"/>
        </w:rPr>
        <w:t xml:space="preserve">COLLEGE OF LAW </w:t>
      </w:r>
      <w:r w:rsidR="003C6E38">
        <w:rPr>
          <w:b/>
          <w:bCs/>
          <w:color w:val="201F1E"/>
          <w:sz w:val="22"/>
          <w:szCs w:val="22"/>
          <w:u w:val="single"/>
          <w:bdr w:val="none" w:sz="0" w:space="0" w:color="auto" w:frame="1"/>
          <w:shd w:val="clear" w:color="auto" w:fill="FFFFFF"/>
        </w:rPr>
        <w:t xml:space="preserve">STANDARD SYLLABUS </w:t>
      </w:r>
      <w:r w:rsidRPr="00AA2DEF">
        <w:rPr>
          <w:b/>
          <w:bCs/>
          <w:color w:val="201F1E"/>
          <w:sz w:val="22"/>
          <w:szCs w:val="22"/>
          <w:u w:val="single"/>
          <w:bdr w:val="none" w:sz="0" w:space="0" w:color="auto" w:frame="1"/>
          <w:shd w:val="clear" w:color="auto" w:fill="FFFFFF"/>
        </w:rPr>
        <w:t>POLICIES</w:t>
      </w:r>
      <w:r w:rsidRPr="000951FF">
        <w:rPr>
          <w:b/>
          <w:bCs/>
          <w:color w:val="201F1E"/>
          <w:sz w:val="22"/>
          <w:szCs w:val="22"/>
          <w:bdr w:val="none" w:sz="0" w:space="0" w:color="auto" w:frame="1"/>
          <w:shd w:val="clear" w:color="auto" w:fill="FFFFFF"/>
        </w:rPr>
        <w:t>:</w:t>
      </w:r>
      <w:r w:rsidR="00226443" w:rsidRPr="00226443">
        <w:rPr>
          <w:bCs/>
          <w:i/>
          <w:color w:val="201F1E"/>
          <w:sz w:val="22"/>
          <w:szCs w:val="22"/>
          <w:bdr w:val="none" w:sz="0" w:space="0" w:color="auto" w:frame="1"/>
          <w:shd w:val="clear" w:color="auto" w:fill="FFFFFF"/>
        </w:rPr>
        <w:t xml:space="preserve"> </w:t>
      </w:r>
      <w:r w:rsidRPr="00386722">
        <w:rPr>
          <w:color w:val="201F1E"/>
          <w:sz w:val="22"/>
          <w:szCs w:val="22"/>
          <w:bdr w:val="none" w:sz="0" w:space="0" w:color="auto" w:frame="1"/>
          <w:shd w:val="clear" w:color="auto" w:fill="FFFFFF"/>
        </w:rPr>
        <w:t xml:space="preserve">Other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hyperlink r:id="rId12" w:tgtFrame="_blank" w:history="1">
        <w:r w:rsidR="00F14D25" w:rsidRPr="00F14D25">
          <w:rPr>
            <w:rStyle w:val="Hyperlink"/>
            <w:sz w:val="22"/>
            <w:szCs w:val="22"/>
            <w:bdr w:val="none" w:sz="0" w:space="0" w:color="auto" w:frame="1"/>
            <w:shd w:val="clear" w:color="auto" w:fill="FFFFFF"/>
          </w:rPr>
          <w:t>https://ufl.instructure.com/courses/427635/files/74674656?wrap=1</w:t>
        </w:r>
      </w:hyperlink>
      <w:r w:rsidR="00F14D25" w:rsidRPr="00F14D25">
        <w:rPr>
          <w:sz w:val="22"/>
          <w:szCs w:val="22"/>
        </w:rPr>
        <w:t>.</w:t>
      </w:r>
    </w:p>
    <w:p w14:paraId="1D6709E2" w14:textId="77777777" w:rsidR="00AA2DEF" w:rsidRPr="00F14D25" w:rsidRDefault="00AA2DEF" w:rsidP="00AA2DEF">
      <w:pPr>
        <w:rPr>
          <w:color w:val="201F1E"/>
          <w:sz w:val="22"/>
          <w:szCs w:val="22"/>
          <w:bdr w:val="none" w:sz="0" w:space="0" w:color="auto" w:frame="1"/>
          <w:shd w:val="clear" w:color="auto" w:fill="FFFFFF"/>
        </w:rPr>
      </w:pPr>
    </w:p>
    <w:p w14:paraId="204705B0" w14:textId="3F9A2ACA" w:rsidR="00AA2DEF" w:rsidRDefault="00242088" w:rsidP="00242088">
      <w:pPr>
        <w:rPr>
          <w:rFonts w:eastAsia="Baskerville Old Face"/>
          <w:sz w:val="22"/>
          <w:szCs w:val="22"/>
        </w:rPr>
      </w:pPr>
      <w:r w:rsidRPr="00F335E2">
        <w:rPr>
          <w:b/>
          <w:sz w:val="22"/>
          <w:szCs w:val="22"/>
          <w:u w:val="single"/>
        </w:rPr>
        <w:t>ABA OUT-OF-CLASS HOURS REQUIREMENTS</w:t>
      </w:r>
      <w:r w:rsidR="000951FF">
        <w:rPr>
          <w:b/>
          <w:sz w:val="22"/>
          <w:szCs w:val="22"/>
        </w:rPr>
        <w:t xml:space="preserve">: </w:t>
      </w:r>
      <w:r w:rsidRPr="00F335E2">
        <w:rPr>
          <w:rFonts w:eastAsia="Baskerville Old Face"/>
          <w:sz w:val="22"/>
          <w:szCs w:val="22"/>
        </w:rPr>
        <w:t>ABA Standard 310 requires that students devote 120 minutes to out-of-class preparation for every “classroom hour” of in-class instruction</w:t>
      </w:r>
      <w:r w:rsidRPr="00CC16EF">
        <w:rPr>
          <w:rFonts w:eastAsia="Baskerville Old Face"/>
          <w:sz w:val="22"/>
          <w:szCs w:val="22"/>
        </w:rPr>
        <w:t xml:space="preserve">. Each </w:t>
      </w:r>
      <w:r w:rsidR="00B942A3" w:rsidRPr="00CC16EF">
        <w:rPr>
          <w:rFonts w:eastAsia="Baskerville Old Face"/>
          <w:sz w:val="22"/>
          <w:szCs w:val="22"/>
        </w:rPr>
        <w:t xml:space="preserve">weekly </w:t>
      </w:r>
      <w:r w:rsidRPr="00CC16EF">
        <w:rPr>
          <w:rFonts w:eastAsia="Baskerville Old Face"/>
          <w:sz w:val="22"/>
          <w:szCs w:val="22"/>
        </w:rPr>
        <w:t xml:space="preserve">class is approximately 2 hours in length, requiring at least </w:t>
      </w:r>
      <w:r w:rsidRPr="00CC16EF">
        <w:rPr>
          <w:rFonts w:eastAsia="Baskerville Old Face"/>
          <w:b/>
          <w:bCs/>
          <w:sz w:val="22"/>
          <w:szCs w:val="22"/>
        </w:rPr>
        <w:t>4 hours of preparation</w:t>
      </w:r>
      <w:r w:rsidRPr="00CC16EF">
        <w:rPr>
          <w:rFonts w:eastAsia="Baskerville Old Face"/>
          <w:sz w:val="22"/>
          <w:szCs w:val="22"/>
        </w:rPr>
        <w:t xml:space="preserve"> outside of class including reading the assigned materials </w:t>
      </w:r>
      <w:r w:rsidR="00CC16EF" w:rsidRPr="00CC16EF">
        <w:rPr>
          <w:rFonts w:eastAsia="Baskerville Old Face"/>
          <w:sz w:val="22"/>
          <w:szCs w:val="22"/>
        </w:rPr>
        <w:t xml:space="preserve">and </w:t>
      </w:r>
      <w:r w:rsidRPr="00CC16EF">
        <w:rPr>
          <w:rFonts w:eastAsia="Baskerville Old Face"/>
          <w:sz w:val="22"/>
          <w:szCs w:val="22"/>
        </w:rPr>
        <w:t xml:space="preserve">writing critical analyses. </w:t>
      </w:r>
    </w:p>
    <w:p w14:paraId="3FA25860" w14:textId="2DCB1A47" w:rsidR="002B6D6E" w:rsidRDefault="002B6D6E" w:rsidP="00242088">
      <w:pPr>
        <w:rPr>
          <w:rFonts w:eastAsia="Baskerville Old Face"/>
          <w:sz w:val="22"/>
          <w:szCs w:val="22"/>
        </w:rPr>
      </w:pPr>
    </w:p>
    <w:p w14:paraId="541A37D0" w14:textId="77777777" w:rsidR="00352430" w:rsidRDefault="00352430" w:rsidP="001C0EA6">
      <w:pPr>
        <w:rPr>
          <w:b/>
          <w:sz w:val="22"/>
          <w:szCs w:val="22"/>
          <w:u w:val="single"/>
        </w:rPr>
      </w:pPr>
    </w:p>
    <w:p w14:paraId="7BD6CB1D" w14:textId="77777777" w:rsidR="00352430" w:rsidRDefault="00352430" w:rsidP="001C0EA6">
      <w:pPr>
        <w:rPr>
          <w:b/>
          <w:sz w:val="22"/>
          <w:szCs w:val="22"/>
          <w:u w:val="single"/>
        </w:rPr>
      </w:pPr>
    </w:p>
    <w:p w14:paraId="0CCF777B" w14:textId="77777777" w:rsidR="00352430" w:rsidRDefault="00352430" w:rsidP="001C0EA6">
      <w:pPr>
        <w:rPr>
          <w:b/>
          <w:sz w:val="22"/>
          <w:szCs w:val="22"/>
          <w:u w:val="single"/>
        </w:rPr>
      </w:pPr>
    </w:p>
    <w:p w14:paraId="67C77DFF" w14:textId="77777777" w:rsidR="00352430" w:rsidRDefault="00352430" w:rsidP="001C0EA6">
      <w:pPr>
        <w:rPr>
          <w:b/>
          <w:sz w:val="22"/>
          <w:szCs w:val="22"/>
          <w:u w:val="single"/>
        </w:rPr>
      </w:pPr>
    </w:p>
    <w:p w14:paraId="369B8537" w14:textId="77777777" w:rsidR="00352430" w:rsidRDefault="00352430" w:rsidP="001C0EA6">
      <w:pPr>
        <w:rPr>
          <w:b/>
          <w:sz w:val="22"/>
          <w:szCs w:val="22"/>
          <w:u w:val="single"/>
        </w:rPr>
      </w:pPr>
    </w:p>
    <w:p w14:paraId="2C826259" w14:textId="77777777" w:rsidR="00352430" w:rsidRDefault="00352430" w:rsidP="001C0EA6">
      <w:pPr>
        <w:rPr>
          <w:b/>
          <w:sz w:val="22"/>
          <w:szCs w:val="22"/>
          <w:u w:val="single"/>
        </w:rPr>
      </w:pPr>
    </w:p>
    <w:p w14:paraId="3400467B" w14:textId="77777777" w:rsidR="00352430" w:rsidRDefault="00352430" w:rsidP="001C0EA6">
      <w:pPr>
        <w:rPr>
          <w:b/>
          <w:sz w:val="22"/>
          <w:szCs w:val="22"/>
          <w:u w:val="single"/>
        </w:rPr>
      </w:pPr>
    </w:p>
    <w:p w14:paraId="04AD6AA2" w14:textId="77777777" w:rsidR="00352430" w:rsidRDefault="00352430" w:rsidP="001C0EA6">
      <w:pPr>
        <w:rPr>
          <w:b/>
          <w:sz w:val="22"/>
          <w:szCs w:val="22"/>
          <w:u w:val="single"/>
        </w:rPr>
      </w:pPr>
    </w:p>
    <w:p w14:paraId="595E471D" w14:textId="0F09C3E9"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58AD65FA" w14:textId="5045310C" w:rsidR="00CC16EF" w:rsidRDefault="001C0EA6" w:rsidP="001C0EA6">
      <w:pPr>
        <w:rPr>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p>
    <w:p w14:paraId="4E9979F8" w14:textId="77777777" w:rsidR="00CC16EF" w:rsidRPr="00CC16EF" w:rsidRDefault="00CC16EF" w:rsidP="00CC16EF">
      <w:pPr>
        <w:rPr>
          <w:sz w:val="22"/>
          <w:szCs w:val="22"/>
        </w:rPr>
      </w:pPr>
    </w:p>
    <w:tbl>
      <w:tblPr>
        <w:tblW w:w="10080" w:type="dxa"/>
        <w:tblInd w:w="-6" w:type="dxa"/>
        <w:tblLayout w:type="fixed"/>
        <w:tblCellMar>
          <w:left w:w="0" w:type="dxa"/>
          <w:right w:w="0" w:type="dxa"/>
        </w:tblCellMar>
        <w:tblLook w:val="04A0" w:firstRow="1" w:lastRow="0" w:firstColumn="1" w:lastColumn="0" w:noHBand="0" w:noVBand="1"/>
      </w:tblPr>
      <w:tblGrid>
        <w:gridCol w:w="20"/>
        <w:gridCol w:w="874"/>
        <w:gridCol w:w="6"/>
        <w:gridCol w:w="1800"/>
        <w:gridCol w:w="18"/>
        <w:gridCol w:w="7362"/>
      </w:tblGrid>
      <w:tr w:rsidR="00CC16EF" w:rsidRPr="00CC16EF" w14:paraId="36C0B4BB" w14:textId="77777777" w:rsidTr="0055422B">
        <w:trPr>
          <w:gridBefore w:val="1"/>
          <w:wBefore w:w="20" w:type="dxa"/>
          <w:trHeight w:hRule="exact" w:val="264"/>
        </w:trPr>
        <w:tc>
          <w:tcPr>
            <w:tcW w:w="874" w:type="dxa"/>
            <w:tcBorders>
              <w:top w:val="single" w:sz="5" w:space="0" w:color="000000"/>
              <w:left w:val="single" w:sz="5" w:space="0" w:color="000000"/>
              <w:bottom w:val="single" w:sz="5" w:space="0" w:color="000000"/>
              <w:right w:val="single" w:sz="5" w:space="0" w:color="000000"/>
            </w:tcBorders>
            <w:vAlign w:val="center"/>
          </w:tcPr>
          <w:p w14:paraId="70E8FA94" w14:textId="77777777" w:rsidR="00CC16EF" w:rsidRPr="00CC16EF" w:rsidRDefault="00CC16EF" w:rsidP="00CC16EF">
            <w:pPr>
              <w:rPr>
                <w:sz w:val="22"/>
                <w:szCs w:val="22"/>
              </w:rPr>
            </w:pPr>
            <w:r w:rsidRPr="00CC16EF">
              <w:rPr>
                <w:sz w:val="22"/>
                <w:szCs w:val="22"/>
              </w:rPr>
              <w:t>Class</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34E1F7A7" w14:textId="77777777" w:rsidR="00CC16EF" w:rsidRPr="00CC16EF" w:rsidRDefault="00CC16EF" w:rsidP="00CC16EF">
            <w:pPr>
              <w:rPr>
                <w:sz w:val="22"/>
                <w:szCs w:val="22"/>
              </w:rPr>
            </w:pPr>
            <w:r w:rsidRPr="00CC16EF">
              <w:rPr>
                <w:sz w:val="22"/>
                <w:szCs w:val="22"/>
              </w:rPr>
              <w:t>Date</w:t>
            </w:r>
          </w:p>
        </w:tc>
        <w:tc>
          <w:tcPr>
            <w:tcW w:w="7362" w:type="dxa"/>
            <w:tcBorders>
              <w:top w:val="single" w:sz="5" w:space="0" w:color="000000"/>
              <w:left w:val="single" w:sz="5" w:space="0" w:color="000000"/>
              <w:bottom w:val="single" w:sz="5" w:space="0" w:color="000000"/>
              <w:right w:val="single" w:sz="5" w:space="0" w:color="000000"/>
            </w:tcBorders>
          </w:tcPr>
          <w:p w14:paraId="5BE68D1F" w14:textId="77777777" w:rsidR="00CC16EF" w:rsidRPr="00CC16EF" w:rsidRDefault="00CC16EF" w:rsidP="00CC16EF">
            <w:pPr>
              <w:rPr>
                <w:sz w:val="22"/>
                <w:szCs w:val="22"/>
              </w:rPr>
            </w:pPr>
            <w:r w:rsidRPr="00CC16EF">
              <w:rPr>
                <w:sz w:val="22"/>
                <w:szCs w:val="22"/>
              </w:rPr>
              <w:t xml:space="preserve"> </w:t>
            </w:r>
          </w:p>
        </w:tc>
      </w:tr>
      <w:tr w:rsidR="00CC16EF" w:rsidRPr="00CC16EF" w14:paraId="574A17DF" w14:textId="77777777" w:rsidTr="0055422B">
        <w:trPr>
          <w:gridBefore w:val="1"/>
          <w:wBefore w:w="20" w:type="dxa"/>
          <w:trHeight w:hRule="exact" w:val="2255"/>
        </w:trPr>
        <w:tc>
          <w:tcPr>
            <w:tcW w:w="874" w:type="dxa"/>
            <w:tcBorders>
              <w:top w:val="single" w:sz="5" w:space="0" w:color="000000"/>
              <w:left w:val="single" w:sz="5" w:space="0" w:color="000000"/>
              <w:bottom w:val="single" w:sz="5" w:space="0" w:color="000000"/>
              <w:right w:val="single" w:sz="5" w:space="0" w:color="000000"/>
            </w:tcBorders>
          </w:tcPr>
          <w:p w14:paraId="19E234F1" w14:textId="77777777" w:rsidR="00CC16EF" w:rsidRPr="00CC16EF" w:rsidRDefault="00CC16EF" w:rsidP="00CC16EF">
            <w:pPr>
              <w:rPr>
                <w:sz w:val="22"/>
                <w:szCs w:val="22"/>
              </w:rPr>
            </w:pPr>
            <w:r w:rsidRPr="00CC16EF">
              <w:rPr>
                <w:sz w:val="22"/>
                <w:szCs w:val="22"/>
              </w:rPr>
              <w:t xml:space="preserve"> </w:t>
            </w:r>
          </w:p>
        </w:tc>
        <w:tc>
          <w:tcPr>
            <w:tcW w:w="1824" w:type="dxa"/>
            <w:gridSpan w:val="3"/>
            <w:tcBorders>
              <w:top w:val="single" w:sz="5" w:space="0" w:color="000000"/>
              <w:left w:val="single" w:sz="5" w:space="0" w:color="000000"/>
              <w:bottom w:val="single" w:sz="5" w:space="0" w:color="000000"/>
              <w:right w:val="single" w:sz="5" w:space="0" w:color="000000"/>
            </w:tcBorders>
          </w:tcPr>
          <w:p w14:paraId="1615AE36" w14:textId="77777777" w:rsidR="00CC16EF" w:rsidRPr="00CC16EF" w:rsidRDefault="00CC16EF" w:rsidP="00CC16EF">
            <w:pPr>
              <w:rPr>
                <w:sz w:val="22"/>
                <w:szCs w:val="22"/>
              </w:rPr>
            </w:pPr>
            <w:r w:rsidRPr="00CC16EF">
              <w:rPr>
                <w:sz w:val="22"/>
                <w:szCs w:val="22"/>
              </w:rPr>
              <w:t xml:space="preserve"> </w:t>
            </w:r>
          </w:p>
        </w:tc>
        <w:tc>
          <w:tcPr>
            <w:tcW w:w="7362" w:type="dxa"/>
            <w:tcBorders>
              <w:top w:val="single" w:sz="5" w:space="0" w:color="000000"/>
              <w:left w:val="single" w:sz="5" w:space="0" w:color="000000"/>
              <w:bottom w:val="single" w:sz="5" w:space="0" w:color="000000"/>
              <w:right w:val="single" w:sz="5" w:space="0" w:color="000000"/>
            </w:tcBorders>
            <w:vAlign w:val="center"/>
          </w:tcPr>
          <w:p w14:paraId="58C90AFB" w14:textId="77777777" w:rsidR="00CC16EF" w:rsidRPr="00CC16EF" w:rsidRDefault="00CC16EF" w:rsidP="00CC16EF">
            <w:pPr>
              <w:rPr>
                <w:b/>
                <w:sz w:val="22"/>
                <w:szCs w:val="22"/>
              </w:rPr>
            </w:pPr>
            <w:r w:rsidRPr="00CC16EF">
              <w:rPr>
                <w:b/>
                <w:sz w:val="22"/>
                <w:szCs w:val="22"/>
              </w:rPr>
              <w:t>I. Background and Basic Principles (Classes One and Two)</w:t>
            </w:r>
          </w:p>
          <w:p w14:paraId="33B73652" w14:textId="5743D459" w:rsidR="00CC16EF" w:rsidRPr="00CC16EF" w:rsidRDefault="00CC16EF" w:rsidP="00CC16EF">
            <w:pPr>
              <w:rPr>
                <w:sz w:val="22"/>
                <w:szCs w:val="22"/>
              </w:rPr>
            </w:pPr>
            <w:r w:rsidRPr="00CC16EF">
              <w:rPr>
                <w:sz w:val="22"/>
                <w:szCs w:val="22"/>
              </w:rPr>
              <w:t>Origins and Fundamentals of the US Pension and Retirement System</w:t>
            </w:r>
            <w:r>
              <w:rPr>
                <w:sz w:val="22"/>
                <w:szCs w:val="22"/>
              </w:rPr>
              <w:t xml:space="preserve">, focusing on </w:t>
            </w:r>
            <w:r w:rsidRPr="00CC16EF">
              <w:rPr>
                <w:sz w:val="22"/>
                <w:szCs w:val="22"/>
              </w:rPr>
              <w:t xml:space="preserve">private sources of retirement </w:t>
            </w:r>
            <w:proofErr w:type="gramStart"/>
            <w:r w:rsidRPr="00CC16EF">
              <w:rPr>
                <w:sz w:val="22"/>
                <w:szCs w:val="22"/>
              </w:rPr>
              <w:t>income</w:t>
            </w:r>
            <w:proofErr w:type="gramEnd"/>
          </w:p>
          <w:p w14:paraId="16ABBA4A" w14:textId="77777777" w:rsidR="00CC16EF" w:rsidRPr="00CC16EF" w:rsidRDefault="00CC16EF" w:rsidP="00CC16EF">
            <w:pPr>
              <w:rPr>
                <w:sz w:val="22"/>
                <w:szCs w:val="22"/>
              </w:rPr>
            </w:pPr>
            <w:r w:rsidRPr="00CC16EF">
              <w:rPr>
                <w:sz w:val="22"/>
                <w:szCs w:val="22"/>
              </w:rPr>
              <w:t>Basics of Tax Deferral and Timing</w:t>
            </w:r>
          </w:p>
          <w:p w14:paraId="55165BD5" w14:textId="77777777" w:rsidR="00CC16EF" w:rsidRPr="00CC16EF" w:rsidRDefault="00CC16EF" w:rsidP="00CC16EF">
            <w:pPr>
              <w:rPr>
                <w:sz w:val="22"/>
                <w:szCs w:val="22"/>
              </w:rPr>
            </w:pPr>
            <w:r w:rsidRPr="00CC16EF">
              <w:rPr>
                <w:sz w:val="22"/>
                <w:szCs w:val="22"/>
              </w:rPr>
              <w:t>Typology of Retirement Plans – Defined Benefit and Defined Contribution Plans</w:t>
            </w:r>
          </w:p>
          <w:p w14:paraId="55CDE7FF" w14:textId="77777777" w:rsidR="00CC16EF" w:rsidRPr="00CC16EF" w:rsidRDefault="00CC16EF" w:rsidP="00CC16EF">
            <w:pPr>
              <w:rPr>
                <w:sz w:val="22"/>
                <w:szCs w:val="22"/>
              </w:rPr>
            </w:pPr>
            <w:r w:rsidRPr="00CC16EF">
              <w:rPr>
                <w:sz w:val="22"/>
                <w:szCs w:val="22"/>
              </w:rPr>
              <w:t>Origins of ERISA</w:t>
            </w:r>
          </w:p>
        </w:tc>
      </w:tr>
      <w:tr w:rsidR="00CC16EF" w:rsidRPr="00CC16EF" w14:paraId="17D86A7E" w14:textId="77777777" w:rsidTr="0055422B">
        <w:trPr>
          <w:gridBefore w:val="1"/>
          <w:wBefore w:w="20" w:type="dxa"/>
          <w:trHeight w:hRule="exact" w:val="7509"/>
        </w:trPr>
        <w:tc>
          <w:tcPr>
            <w:tcW w:w="874" w:type="dxa"/>
            <w:tcBorders>
              <w:top w:val="single" w:sz="5" w:space="0" w:color="000000"/>
              <w:left w:val="single" w:sz="5" w:space="0" w:color="000000"/>
              <w:bottom w:val="single" w:sz="5" w:space="0" w:color="000000"/>
              <w:right w:val="single" w:sz="5" w:space="0" w:color="000000"/>
            </w:tcBorders>
            <w:vAlign w:val="center"/>
          </w:tcPr>
          <w:p w14:paraId="5082B7FA" w14:textId="77777777" w:rsidR="00CC16EF" w:rsidRPr="00CC16EF" w:rsidRDefault="00CC16EF" w:rsidP="00CC16EF">
            <w:pPr>
              <w:rPr>
                <w:sz w:val="22"/>
                <w:szCs w:val="22"/>
              </w:rPr>
            </w:pPr>
            <w:r w:rsidRPr="00CC16EF">
              <w:rPr>
                <w:sz w:val="22"/>
                <w:szCs w:val="22"/>
              </w:rPr>
              <w:t>1</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41D8D639" w14:textId="77777777" w:rsidR="00CC16EF" w:rsidRPr="00CC16EF" w:rsidRDefault="00CC16EF" w:rsidP="00CC16EF">
            <w:pPr>
              <w:rPr>
                <w:sz w:val="22"/>
                <w:szCs w:val="22"/>
              </w:rPr>
            </w:pPr>
            <w:r w:rsidRPr="00CC16EF">
              <w:rPr>
                <w:sz w:val="22"/>
                <w:szCs w:val="22"/>
              </w:rPr>
              <w:t>Jan 17</w:t>
            </w:r>
          </w:p>
        </w:tc>
        <w:tc>
          <w:tcPr>
            <w:tcW w:w="7362" w:type="dxa"/>
            <w:tcBorders>
              <w:top w:val="single" w:sz="5" w:space="0" w:color="000000"/>
              <w:left w:val="single" w:sz="5" w:space="0" w:color="000000"/>
              <w:bottom w:val="single" w:sz="5" w:space="0" w:color="000000"/>
              <w:right w:val="single" w:sz="5" w:space="0" w:color="000000"/>
            </w:tcBorders>
          </w:tcPr>
          <w:p w14:paraId="4D298835" w14:textId="77777777" w:rsidR="00226443" w:rsidRDefault="00226443" w:rsidP="00CC16EF">
            <w:pPr>
              <w:rPr>
                <w:sz w:val="22"/>
                <w:szCs w:val="22"/>
              </w:rPr>
            </w:pPr>
          </w:p>
          <w:p w14:paraId="369F31D5" w14:textId="1B74067C" w:rsidR="00CC16EF" w:rsidRPr="00CC16EF" w:rsidRDefault="00CC16EF" w:rsidP="00CC16EF">
            <w:pPr>
              <w:rPr>
                <w:sz w:val="22"/>
                <w:szCs w:val="22"/>
              </w:rPr>
            </w:pPr>
            <w:r w:rsidRPr="00CC16EF">
              <w:rPr>
                <w:sz w:val="22"/>
                <w:szCs w:val="22"/>
              </w:rPr>
              <w:t xml:space="preserve">For the first class read the Halperin article on Employer-Based Retirement Income, and the </w:t>
            </w:r>
            <w:proofErr w:type="spellStart"/>
            <w:r w:rsidRPr="00CC16EF">
              <w:rPr>
                <w:sz w:val="22"/>
                <w:szCs w:val="22"/>
              </w:rPr>
              <w:t>JCT</w:t>
            </w:r>
            <w:proofErr w:type="spellEnd"/>
            <w:r w:rsidRPr="00CC16EF">
              <w:rPr>
                <w:sz w:val="22"/>
                <w:szCs w:val="22"/>
              </w:rPr>
              <w:t xml:space="preserve"> Enron report materials (2 items) both available on the web site (this is just for background, so you can skim it).</w:t>
            </w:r>
          </w:p>
          <w:p w14:paraId="7A53CB0B" w14:textId="77777777" w:rsidR="00BC3964" w:rsidRDefault="00BC3964" w:rsidP="00BC3964">
            <w:pPr>
              <w:rPr>
                <w:sz w:val="22"/>
                <w:szCs w:val="22"/>
              </w:rPr>
            </w:pPr>
          </w:p>
          <w:p w14:paraId="017A6BF3" w14:textId="4E9154E3" w:rsidR="00BC3964" w:rsidRDefault="00CC16EF" w:rsidP="00BC3964">
            <w:pPr>
              <w:rPr>
                <w:sz w:val="22"/>
                <w:szCs w:val="22"/>
              </w:rPr>
            </w:pPr>
            <w:r w:rsidRPr="00CC16EF">
              <w:rPr>
                <w:sz w:val="22"/>
                <w:szCs w:val="22"/>
              </w:rPr>
              <w:t>We will discuss the context of executive deferred compensation against the backdrop of plans available to rank</w:t>
            </w:r>
            <w:r w:rsidR="00BC3964">
              <w:rPr>
                <w:sz w:val="22"/>
                <w:szCs w:val="22"/>
              </w:rPr>
              <w:t>-</w:t>
            </w:r>
            <w:r w:rsidRPr="00CC16EF">
              <w:rPr>
                <w:sz w:val="22"/>
                <w:szCs w:val="22"/>
              </w:rPr>
              <w:t>and</w:t>
            </w:r>
            <w:r w:rsidR="00BC3964">
              <w:rPr>
                <w:sz w:val="22"/>
                <w:szCs w:val="22"/>
              </w:rPr>
              <w:t>-</w:t>
            </w:r>
            <w:r w:rsidRPr="00CC16EF">
              <w:rPr>
                <w:sz w:val="22"/>
                <w:szCs w:val="22"/>
              </w:rPr>
              <w:t xml:space="preserve">file employees during the first class, using the Enron plans as a case study. We will then start discussing the basics of deferral - in the Unit </w:t>
            </w:r>
            <w:r w:rsidR="00BC3964">
              <w:rPr>
                <w:sz w:val="22"/>
                <w:szCs w:val="22"/>
              </w:rPr>
              <w:t>I</w:t>
            </w:r>
            <w:r w:rsidRPr="00CC16EF">
              <w:rPr>
                <w:sz w:val="22"/>
                <w:szCs w:val="22"/>
              </w:rPr>
              <w:t xml:space="preserve"> Reading Materials, read pp. </w:t>
            </w:r>
            <w:r w:rsidR="00BC3964">
              <w:rPr>
                <w:sz w:val="22"/>
                <w:szCs w:val="22"/>
              </w:rPr>
              <w:t>4</w:t>
            </w:r>
            <w:r w:rsidRPr="00CC16EF">
              <w:rPr>
                <w:sz w:val="22"/>
                <w:szCs w:val="22"/>
              </w:rPr>
              <w:t>-</w:t>
            </w:r>
            <w:r w:rsidR="00BC3964">
              <w:rPr>
                <w:sz w:val="22"/>
                <w:szCs w:val="22"/>
              </w:rPr>
              <w:t>44</w:t>
            </w:r>
            <w:r w:rsidRPr="00CC16EF">
              <w:rPr>
                <w:sz w:val="22"/>
                <w:szCs w:val="22"/>
              </w:rPr>
              <w:t xml:space="preserve"> - the </w:t>
            </w:r>
            <w:proofErr w:type="spellStart"/>
            <w:r w:rsidRPr="00CC16EF">
              <w:rPr>
                <w:sz w:val="22"/>
                <w:szCs w:val="22"/>
              </w:rPr>
              <w:t>JCT</w:t>
            </w:r>
            <w:proofErr w:type="spellEnd"/>
            <w:r w:rsidRPr="00CC16EF">
              <w:rPr>
                <w:sz w:val="22"/>
                <w:szCs w:val="22"/>
              </w:rPr>
              <w:t xml:space="preserve"> description of nonqualified deferred comp (again, this is for background, so you can skim it), the posted rulings, especially Rev. Rul. 60-31, which we will spend quite a bit of time on, and the first</w:t>
            </w:r>
            <w:r w:rsidR="00BC3964" w:rsidRPr="00CC16EF">
              <w:rPr>
                <w:sz w:val="22"/>
                <w:szCs w:val="22"/>
              </w:rPr>
              <w:t xml:space="preserve"> Albertsons’ 9th Circuit decision - also review the Code and Regulation sections cited in Rev. Rul. 60-31. There are no problems for the first class.</w:t>
            </w:r>
          </w:p>
          <w:p w14:paraId="508BF58F" w14:textId="77777777" w:rsidR="00BC3964" w:rsidRPr="00CC16EF" w:rsidRDefault="00BC3964" w:rsidP="00BC3964">
            <w:pPr>
              <w:rPr>
                <w:sz w:val="22"/>
                <w:szCs w:val="22"/>
              </w:rPr>
            </w:pPr>
            <w:r w:rsidRPr="00CC16EF">
              <w:rPr>
                <w:sz w:val="22"/>
                <w:szCs w:val="22"/>
              </w:rPr>
              <w:t>READING:</w:t>
            </w:r>
          </w:p>
          <w:p w14:paraId="24585634" w14:textId="2B515F25" w:rsidR="00BC3964" w:rsidRDefault="00BC3964" w:rsidP="00BC3964">
            <w:pPr>
              <w:rPr>
                <w:sz w:val="22"/>
                <w:szCs w:val="22"/>
              </w:rPr>
            </w:pPr>
            <w:r w:rsidRPr="00CC16EF">
              <w:rPr>
                <w:sz w:val="22"/>
                <w:szCs w:val="22"/>
              </w:rPr>
              <w:t>Skim Chapter</w:t>
            </w:r>
            <w:r>
              <w:rPr>
                <w:sz w:val="22"/>
                <w:szCs w:val="22"/>
              </w:rPr>
              <w:t>s</w:t>
            </w:r>
            <w:r w:rsidRPr="00CC16EF">
              <w:rPr>
                <w:sz w:val="22"/>
                <w:szCs w:val="22"/>
              </w:rPr>
              <w:t xml:space="preserve"> 1</w:t>
            </w:r>
            <w:r w:rsidR="00BA4D3A">
              <w:rPr>
                <w:sz w:val="22"/>
                <w:szCs w:val="22"/>
              </w:rPr>
              <w:t>, 2</w:t>
            </w:r>
            <w:r w:rsidRPr="00CC16EF">
              <w:rPr>
                <w:sz w:val="22"/>
                <w:szCs w:val="22"/>
              </w:rPr>
              <w:t xml:space="preserve"> </w:t>
            </w:r>
            <w:r>
              <w:rPr>
                <w:sz w:val="22"/>
                <w:szCs w:val="22"/>
              </w:rPr>
              <w:t xml:space="preserve">and 3 </w:t>
            </w:r>
            <w:r w:rsidRPr="00CC16EF">
              <w:rPr>
                <w:sz w:val="22"/>
                <w:szCs w:val="22"/>
              </w:rPr>
              <w:t>of text (background).</w:t>
            </w:r>
          </w:p>
          <w:p w14:paraId="6BEFD35E" w14:textId="095EABD9" w:rsidR="00BC3964" w:rsidRPr="00CC16EF" w:rsidRDefault="00BC3964" w:rsidP="00BC3964">
            <w:pPr>
              <w:rPr>
                <w:sz w:val="22"/>
                <w:szCs w:val="22"/>
              </w:rPr>
            </w:pPr>
            <w:r w:rsidRPr="00CC16EF">
              <w:rPr>
                <w:sz w:val="22"/>
                <w:szCs w:val="22"/>
              </w:rPr>
              <w:t>Read the first two rulings in the supplemental course materials posted at the course website.</w:t>
            </w:r>
          </w:p>
          <w:p w14:paraId="6A8CAC1D" w14:textId="77777777" w:rsidR="00BC3964" w:rsidRPr="00CC16EF" w:rsidRDefault="00BC3964" w:rsidP="00BC3964">
            <w:pPr>
              <w:rPr>
                <w:b/>
                <w:sz w:val="22"/>
                <w:szCs w:val="22"/>
              </w:rPr>
            </w:pPr>
            <w:r w:rsidRPr="00CC16EF">
              <w:rPr>
                <w:b/>
                <w:sz w:val="22"/>
                <w:szCs w:val="22"/>
              </w:rPr>
              <w:t>Code and Reg Assignment:</w:t>
            </w:r>
          </w:p>
          <w:p w14:paraId="31B3D530" w14:textId="77777777" w:rsidR="00BC3964" w:rsidRPr="00CC16EF" w:rsidRDefault="00BC3964" w:rsidP="00BC3964">
            <w:pPr>
              <w:rPr>
                <w:b/>
                <w:sz w:val="22"/>
                <w:szCs w:val="22"/>
              </w:rPr>
            </w:pPr>
            <w:r w:rsidRPr="00CC16EF">
              <w:rPr>
                <w:b/>
                <w:sz w:val="22"/>
                <w:szCs w:val="22"/>
              </w:rPr>
              <w:t>Basics of Deferral:</w:t>
            </w:r>
          </w:p>
          <w:p w14:paraId="5B06678E" w14:textId="77777777" w:rsidR="00BC3964" w:rsidRPr="00CC16EF" w:rsidRDefault="00BC3964" w:rsidP="00BC3964">
            <w:pPr>
              <w:rPr>
                <w:b/>
                <w:sz w:val="22"/>
                <w:szCs w:val="22"/>
              </w:rPr>
            </w:pPr>
            <w:r w:rsidRPr="00CC16EF">
              <w:rPr>
                <w:b/>
                <w:sz w:val="22"/>
                <w:szCs w:val="22"/>
              </w:rPr>
              <w:t xml:space="preserve">Code: </w:t>
            </w:r>
            <w:r w:rsidRPr="00CC16EF">
              <w:rPr>
                <w:sz w:val="22"/>
                <w:szCs w:val="22"/>
              </w:rPr>
              <w:t>§§451; 83(a), (h); 402(b)(1), (3); 403(c); 404(a)(1)(A), (a)(3), (a)(4), (a)(5)</w:t>
            </w:r>
          </w:p>
          <w:p w14:paraId="1FBF999D" w14:textId="77777777" w:rsidR="00BC3964" w:rsidRPr="00CC16EF" w:rsidRDefault="00BC3964" w:rsidP="00BC3964">
            <w:pPr>
              <w:rPr>
                <w:b/>
                <w:sz w:val="22"/>
                <w:szCs w:val="22"/>
              </w:rPr>
            </w:pPr>
            <w:r w:rsidRPr="00CC16EF">
              <w:rPr>
                <w:b/>
                <w:sz w:val="22"/>
                <w:szCs w:val="22"/>
              </w:rPr>
              <w:t xml:space="preserve">Regs: </w:t>
            </w:r>
            <w:r w:rsidRPr="00CC16EF">
              <w:rPr>
                <w:sz w:val="22"/>
                <w:szCs w:val="22"/>
              </w:rPr>
              <w:t>§§1.83-3(a), -3(c), -3(e); -6(a)</w:t>
            </w:r>
          </w:p>
          <w:p w14:paraId="1474EC83" w14:textId="77777777" w:rsidR="00BC3964" w:rsidRPr="00CC16EF" w:rsidRDefault="00BC3964" w:rsidP="00BC3964">
            <w:pPr>
              <w:rPr>
                <w:sz w:val="22"/>
                <w:szCs w:val="22"/>
              </w:rPr>
            </w:pPr>
            <w:r w:rsidRPr="00CC16EF">
              <w:rPr>
                <w:sz w:val="22"/>
                <w:szCs w:val="22"/>
              </w:rPr>
              <w:t>§§1.402(b)-1(b)(1)</w:t>
            </w:r>
          </w:p>
          <w:p w14:paraId="64A21436" w14:textId="77777777" w:rsidR="00BC3964" w:rsidRPr="00CC16EF" w:rsidRDefault="00BC3964" w:rsidP="00BC3964">
            <w:pPr>
              <w:rPr>
                <w:sz w:val="22"/>
                <w:szCs w:val="22"/>
              </w:rPr>
            </w:pPr>
            <w:r w:rsidRPr="00CC16EF">
              <w:rPr>
                <w:sz w:val="22"/>
                <w:szCs w:val="22"/>
              </w:rPr>
              <w:t>§§1.404(a)-1(c), -12(a), (b)(1) and (2); §§1.404(b)-1T Q&amp;A 1&amp;2; 1.404(d)-1T</w:t>
            </w:r>
          </w:p>
          <w:p w14:paraId="38EE456B" w14:textId="13DE384F" w:rsidR="00BC3964" w:rsidRPr="00CC16EF" w:rsidRDefault="00BC3964" w:rsidP="00BC3964">
            <w:pPr>
              <w:rPr>
                <w:sz w:val="22"/>
                <w:szCs w:val="22"/>
              </w:rPr>
            </w:pPr>
            <w:r w:rsidRPr="00CC16EF">
              <w:rPr>
                <w:sz w:val="22"/>
                <w:szCs w:val="22"/>
              </w:rPr>
              <w:t>§§1.451-1(a)</w:t>
            </w:r>
            <w:r w:rsidR="00C177FB">
              <w:rPr>
                <w:sz w:val="22"/>
                <w:szCs w:val="22"/>
              </w:rPr>
              <w:t>;</w:t>
            </w:r>
            <w:r w:rsidRPr="00CC16EF">
              <w:rPr>
                <w:sz w:val="22"/>
                <w:szCs w:val="22"/>
              </w:rPr>
              <w:t xml:space="preserve"> -2(a), (b)</w:t>
            </w:r>
          </w:p>
          <w:p w14:paraId="27E9DFA2" w14:textId="77777777" w:rsidR="00BC3964" w:rsidRPr="00CC16EF" w:rsidRDefault="00BC3964" w:rsidP="00BC3964">
            <w:pPr>
              <w:rPr>
                <w:b/>
                <w:sz w:val="22"/>
                <w:szCs w:val="22"/>
              </w:rPr>
            </w:pPr>
            <w:r w:rsidRPr="00CC16EF">
              <w:rPr>
                <w:b/>
                <w:sz w:val="22"/>
                <w:szCs w:val="22"/>
              </w:rPr>
              <w:t>Basics of Qualified Plans</w:t>
            </w:r>
          </w:p>
          <w:p w14:paraId="52350173" w14:textId="77777777" w:rsidR="00BC3964" w:rsidRPr="00CC16EF" w:rsidRDefault="00BC3964" w:rsidP="00BC3964">
            <w:pPr>
              <w:rPr>
                <w:b/>
                <w:sz w:val="22"/>
                <w:szCs w:val="22"/>
              </w:rPr>
            </w:pPr>
            <w:r w:rsidRPr="00CC16EF">
              <w:rPr>
                <w:b/>
                <w:sz w:val="22"/>
                <w:szCs w:val="22"/>
              </w:rPr>
              <w:t xml:space="preserve">Code: </w:t>
            </w:r>
            <w:r w:rsidRPr="00CC16EF">
              <w:rPr>
                <w:sz w:val="22"/>
                <w:szCs w:val="22"/>
              </w:rPr>
              <w:t>§§ 401(a)(1), (2), (3), (4), (5), (7), (8), (9), (11), (13), (14), (16), (17), (26), (27</w:t>
            </w:r>
            <w:proofErr w:type="gramStart"/>
            <w:r w:rsidRPr="00CC16EF">
              <w:rPr>
                <w:sz w:val="22"/>
                <w:szCs w:val="22"/>
              </w:rPr>
              <w:t>);</w:t>
            </w:r>
            <w:proofErr w:type="gramEnd"/>
          </w:p>
          <w:p w14:paraId="56856A13" w14:textId="79E60E69" w:rsidR="00BC3964" w:rsidRDefault="00BC3964" w:rsidP="00BC3964">
            <w:pPr>
              <w:rPr>
                <w:sz w:val="22"/>
                <w:szCs w:val="22"/>
              </w:rPr>
            </w:pPr>
            <w:r w:rsidRPr="00CC16EF">
              <w:rPr>
                <w:sz w:val="22"/>
                <w:szCs w:val="22"/>
              </w:rPr>
              <w:t>§72(t)(1), (2)(A); §4975(a</w:t>
            </w:r>
            <w:proofErr w:type="gramStart"/>
            <w:r w:rsidRPr="00CC16EF">
              <w:rPr>
                <w:sz w:val="22"/>
                <w:szCs w:val="22"/>
              </w:rPr>
              <w:t>),(</w:t>
            </w:r>
            <w:proofErr w:type="gramEnd"/>
            <w:r w:rsidRPr="00CC16EF">
              <w:rPr>
                <w:sz w:val="22"/>
                <w:szCs w:val="22"/>
              </w:rPr>
              <w:t>b),(c), (e)(2)</w:t>
            </w:r>
          </w:p>
          <w:p w14:paraId="09C3C610" w14:textId="6CBB081C" w:rsidR="00352430" w:rsidRDefault="00352430" w:rsidP="00BC3964">
            <w:pPr>
              <w:rPr>
                <w:sz w:val="22"/>
                <w:szCs w:val="22"/>
              </w:rPr>
            </w:pPr>
          </w:p>
          <w:p w14:paraId="5E330C96" w14:textId="646AA076" w:rsidR="00352430" w:rsidRDefault="00352430" w:rsidP="00BC3964">
            <w:pPr>
              <w:rPr>
                <w:sz w:val="22"/>
                <w:szCs w:val="22"/>
              </w:rPr>
            </w:pPr>
          </w:p>
          <w:p w14:paraId="699AC21B" w14:textId="34DFA9DB" w:rsidR="00352430" w:rsidRDefault="00352430" w:rsidP="00BC3964">
            <w:pPr>
              <w:rPr>
                <w:sz w:val="22"/>
                <w:szCs w:val="22"/>
              </w:rPr>
            </w:pPr>
          </w:p>
          <w:p w14:paraId="03840649" w14:textId="77777777" w:rsidR="00352430" w:rsidRPr="00CC16EF" w:rsidRDefault="00352430" w:rsidP="00BC3964">
            <w:pPr>
              <w:rPr>
                <w:sz w:val="22"/>
                <w:szCs w:val="22"/>
              </w:rPr>
            </w:pPr>
          </w:p>
          <w:p w14:paraId="3854BE3C" w14:textId="69470B9A" w:rsidR="00CC16EF" w:rsidRDefault="00BC3964" w:rsidP="00BC3964">
            <w:pPr>
              <w:rPr>
                <w:sz w:val="22"/>
                <w:szCs w:val="22"/>
              </w:rPr>
            </w:pPr>
            <w:r w:rsidRPr="00CC16EF">
              <w:rPr>
                <w:b/>
                <w:sz w:val="22"/>
                <w:szCs w:val="22"/>
              </w:rPr>
              <w:t xml:space="preserve">Regs: </w:t>
            </w:r>
            <w:r w:rsidRPr="00CC16EF">
              <w:rPr>
                <w:sz w:val="22"/>
                <w:szCs w:val="22"/>
              </w:rPr>
              <w:t>§§ 1.401-1; 1.401-2</w:t>
            </w:r>
          </w:p>
          <w:p w14:paraId="6594EFC8" w14:textId="1DBFA785" w:rsidR="00A1058F" w:rsidRDefault="00A1058F" w:rsidP="00BC3964">
            <w:pPr>
              <w:rPr>
                <w:sz w:val="22"/>
                <w:szCs w:val="22"/>
              </w:rPr>
            </w:pPr>
          </w:p>
          <w:p w14:paraId="5C8A6751" w14:textId="77777777" w:rsidR="00A1058F" w:rsidRDefault="00A1058F" w:rsidP="00BC3964">
            <w:pPr>
              <w:rPr>
                <w:sz w:val="22"/>
                <w:szCs w:val="22"/>
              </w:rPr>
            </w:pPr>
          </w:p>
          <w:p w14:paraId="14478C27" w14:textId="286EA8F6" w:rsidR="00BC3964" w:rsidRPr="00CC16EF" w:rsidRDefault="00BC3964" w:rsidP="00CC16EF">
            <w:pPr>
              <w:rPr>
                <w:sz w:val="22"/>
                <w:szCs w:val="22"/>
              </w:rPr>
            </w:pPr>
          </w:p>
        </w:tc>
      </w:tr>
      <w:tr w:rsidR="00CC16EF" w:rsidRPr="00CC16EF" w14:paraId="529D6E1E" w14:textId="77777777" w:rsidTr="0055422B">
        <w:trPr>
          <w:gridBefore w:val="1"/>
          <w:wBefore w:w="20" w:type="dxa"/>
          <w:trHeight w:hRule="exact" w:val="2028"/>
        </w:trPr>
        <w:tc>
          <w:tcPr>
            <w:tcW w:w="874" w:type="dxa"/>
            <w:tcBorders>
              <w:top w:val="single" w:sz="5" w:space="0" w:color="000000"/>
              <w:left w:val="single" w:sz="5" w:space="0" w:color="000000"/>
              <w:bottom w:val="single" w:sz="5" w:space="0" w:color="000000"/>
              <w:right w:val="single" w:sz="5" w:space="0" w:color="000000"/>
            </w:tcBorders>
            <w:vAlign w:val="center"/>
          </w:tcPr>
          <w:p w14:paraId="1F1E535F" w14:textId="77777777" w:rsidR="00CC16EF" w:rsidRPr="00CC16EF" w:rsidRDefault="00CC16EF" w:rsidP="00CC16EF">
            <w:pPr>
              <w:rPr>
                <w:sz w:val="22"/>
                <w:szCs w:val="22"/>
              </w:rPr>
            </w:pPr>
            <w:r w:rsidRPr="00CC16EF">
              <w:rPr>
                <w:sz w:val="22"/>
                <w:szCs w:val="22"/>
              </w:rPr>
              <w:lastRenderedPageBreak/>
              <w:t>2</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69712239" w14:textId="77777777" w:rsidR="00CC16EF" w:rsidRPr="00CC16EF" w:rsidRDefault="00CC16EF" w:rsidP="00CC16EF">
            <w:pPr>
              <w:rPr>
                <w:sz w:val="22"/>
                <w:szCs w:val="22"/>
              </w:rPr>
            </w:pPr>
            <w:r w:rsidRPr="00CC16EF">
              <w:rPr>
                <w:sz w:val="22"/>
                <w:szCs w:val="22"/>
              </w:rPr>
              <w:t>Jan 24</w:t>
            </w:r>
          </w:p>
        </w:tc>
        <w:tc>
          <w:tcPr>
            <w:tcW w:w="7362" w:type="dxa"/>
            <w:tcBorders>
              <w:top w:val="single" w:sz="5" w:space="0" w:color="000000"/>
              <w:left w:val="single" w:sz="5" w:space="0" w:color="000000"/>
              <w:bottom w:val="single" w:sz="5" w:space="0" w:color="000000"/>
              <w:right w:val="single" w:sz="5" w:space="0" w:color="000000"/>
            </w:tcBorders>
          </w:tcPr>
          <w:p w14:paraId="29CE94BD" w14:textId="77777777" w:rsidR="00C177FB" w:rsidRDefault="00C177FB" w:rsidP="00BA4D3A">
            <w:pPr>
              <w:rPr>
                <w:sz w:val="22"/>
                <w:szCs w:val="22"/>
              </w:rPr>
            </w:pPr>
          </w:p>
          <w:p w14:paraId="58F0248E" w14:textId="77777777" w:rsidR="00CC16EF" w:rsidRDefault="00CC16EF" w:rsidP="00BA4D3A">
            <w:pPr>
              <w:rPr>
                <w:sz w:val="22"/>
                <w:szCs w:val="22"/>
              </w:rPr>
            </w:pPr>
            <w:r w:rsidRPr="00CC16EF">
              <w:rPr>
                <w:sz w:val="22"/>
                <w:szCs w:val="22"/>
              </w:rPr>
              <w:t xml:space="preserve">We will </w:t>
            </w:r>
            <w:proofErr w:type="gramStart"/>
            <w:r w:rsidRPr="00CC16EF">
              <w:rPr>
                <w:sz w:val="22"/>
                <w:szCs w:val="22"/>
              </w:rPr>
              <w:t>continue on</w:t>
            </w:r>
            <w:proofErr w:type="gramEnd"/>
            <w:r w:rsidRPr="00CC16EF">
              <w:rPr>
                <w:sz w:val="22"/>
                <w:szCs w:val="22"/>
              </w:rPr>
              <w:t xml:space="preserve"> the material previously assigned, finishing the rulings up to the Minor case, and then looking at Minor and Albertsons. We will finish the Unit One materials by doing Problems I-1 through I-4. These problems involve most of the remaining materials in Unit One, so do a close reading of the rulings in developing your answers. For our purposes </w:t>
            </w:r>
            <w:proofErr w:type="gramStart"/>
            <w:r w:rsidRPr="00CC16EF">
              <w:rPr>
                <w:sz w:val="22"/>
                <w:szCs w:val="22"/>
              </w:rPr>
              <w:t>at the moment</w:t>
            </w:r>
            <w:proofErr w:type="gramEnd"/>
            <w:r w:rsidRPr="00CC16EF">
              <w:rPr>
                <w:sz w:val="22"/>
                <w:szCs w:val="22"/>
              </w:rPr>
              <w:t>, ignore the existence of Section 409A, as we want to lay the foundation for examining that by looking at what the law required prior to the passage of 409A.</w:t>
            </w:r>
          </w:p>
          <w:p w14:paraId="343AE62F" w14:textId="44AA6BA3" w:rsidR="00A1058F" w:rsidRPr="00CC16EF" w:rsidRDefault="00A1058F" w:rsidP="00BA4D3A">
            <w:pPr>
              <w:rPr>
                <w:sz w:val="22"/>
                <w:szCs w:val="22"/>
              </w:rPr>
            </w:pPr>
          </w:p>
        </w:tc>
      </w:tr>
      <w:tr w:rsidR="00CC16EF" w:rsidRPr="00CC16EF" w14:paraId="4C41BEAA" w14:textId="77777777" w:rsidTr="0055422B">
        <w:trPr>
          <w:gridBefore w:val="1"/>
          <w:wBefore w:w="20" w:type="dxa"/>
          <w:trHeight w:hRule="exact" w:val="2514"/>
        </w:trPr>
        <w:tc>
          <w:tcPr>
            <w:tcW w:w="874" w:type="dxa"/>
            <w:tcBorders>
              <w:top w:val="single" w:sz="5" w:space="0" w:color="000000"/>
              <w:left w:val="single" w:sz="5" w:space="0" w:color="000000"/>
              <w:bottom w:val="single" w:sz="5" w:space="0" w:color="000000"/>
              <w:right w:val="single" w:sz="5" w:space="0" w:color="000000"/>
            </w:tcBorders>
          </w:tcPr>
          <w:p w14:paraId="7C9654F4" w14:textId="77777777" w:rsidR="00CC16EF" w:rsidRPr="00CC16EF" w:rsidRDefault="00CC16EF" w:rsidP="00CC16EF">
            <w:pPr>
              <w:rPr>
                <w:sz w:val="22"/>
                <w:szCs w:val="22"/>
              </w:rPr>
            </w:pPr>
            <w:r w:rsidRPr="00CC16EF">
              <w:rPr>
                <w:sz w:val="22"/>
                <w:szCs w:val="22"/>
              </w:rPr>
              <w:t xml:space="preserve"> </w:t>
            </w:r>
          </w:p>
        </w:tc>
        <w:tc>
          <w:tcPr>
            <w:tcW w:w="1824" w:type="dxa"/>
            <w:gridSpan w:val="3"/>
            <w:tcBorders>
              <w:top w:val="single" w:sz="5" w:space="0" w:color="000000"/>
              <w:left w:val="single" w:sz="5" w:space="0" w:color="000000"/>
              <w:bottom w:val="single" w:sz="5" w:space="0" w:color="000000"/>
              <w:right w:val="single" w:sz="5" w:space="0" w:color="000000"/>
            </w:tcBorders>
          </w:tcPr>
          <w:p w14:paraId="2E460F99" w14:textId="77777777" w:rsidR="00CC16EF" w:rsidRPr="00CC16EF" w:rsidRDefault="00CC16EF" w:rsidP="00CC16EF">
            <w:pPr>
              <w:rPr>
                <w:sz w:val="22"/>
                <w:szCs w:val="22"/>
              </w:rPr>
            </w:pPr>
            <w:r w:rsidRPr="00CC16EF">
              <w:rPr>
                <w:sz w:val="22"/>
                <w:szCs w:val="22"/>
              </w:rPr>
              <w:t xml:space="preserve"> </w:t>
            </w:r>
          </w:p>
        </w:tc>
        <w:tc>
          <w:tcPr>
            <w:tcW w:w="7362" w:type="dxa"/>
            <w:tcBorders>
              <w:top w:val="single" w:sz="5" w:space="0" w:color="000000"/>
              <w:left w:val="single" w:sz="5" w:space="0" w:color="000000"/>
              <w:bottom w:val="single" w:sz="5" w:space="0" w:color="000000"/>
              <w:right w:val="single" w:sz="5" w:space="0" w:color="000000"/>
            </w:tcBorders>
            <w:vAlign w:val="bottom"/>
          </w:tcPr>
          <w:p w14:paraId="50D13D45" w14:textId="31865861" w:rsidR="00CC16EF" w:rsidRPr="00CC16EF" w:rsidRDefault="00CC16EF" w:rsidP="00CC16EF">
            <w:pPr>
              <w:rPr>
                <w:b/>
                <w:sz w:val="22"/>
                <w:szCs w:val="22"/>
              </w:rPr>
            </w:pPr>
            <w:r w:rsidRPr="00CC16EF">
              <w:rPr>
                <w:b/>
                <w:sz w:val="22"/>
                <w:szCs w:val="22"/>
              </w:rPr>
              <w:t xml:space="preserve">II. Tax Treatment of Qualified Pension and </w:t>
            </w:r>
            <w:proofErr w:type="gramStart"/>
            <w:r w:rsidRPr="00CC16EF">
              <w:rPr>
                <w:b/>
                <w:sz w:val="22"/>
                <w:szCs w:val="22"/>
              </w:rPr>
              <w:t>Profit Sharing</w:t>
            </w:r>
            <w:proofErr w:type="gramEnd"/>
            <w:r w:rsidRPr="00CC16EF">
              <w:rPr>
                <w:b/>
                <w:sz w:val="22"/>
                <w:szCs w:val="22"/>
              </w:rPr>
              <w:t xml:space="preserve"> Plans; Selected ERISA</w:t>
            </w:r>
            <w:r w:rsidR="00C177FB">
              <w:rPr>
                <w:b/>
                <w:sz w:val="22"/>
                <w:szCs w:val="22"/>
              </w:rPr>
              <w:noBreakHyphen/>
            </w:r>
            <w:r w:rsidRPr="00CC16EF">
              <w:rPr>
                <w:b/>
                <w:sz w:val="22"/>
                <w:szCs w:val="22"/>
              </w:rPr>
              <w:t>Based Plan Requirements (Classes Three – Nine)</w:t>
            </w:r>
          </w:p>
          <w:p w14:paraId="06284DFF" w14:textId="77777777" w:rsidR="00CC16EF" w:rsidRPr="00CC16EF" w:rsidRDefault="00CC16EF" w:rsidP="00CC16EF">
            <w:pPr>
              <w:numPr>
                <w:ilvl w:val="0"/>
                <w:numId w:val="42"/>
              </w:numPr>
              <w:tabs>
                <w:tab w:val="clear" w:pos="288"/>
              </w:tabs>
              <w:rPr>
                <w:sz w:val="22"/>
                <w:szCs w:val="22"/>
              </w:rPr>
            </w:pPr>
            <w:r w:rsidRPr="00CC16EF">
              <w:rPr>
                <w:sz w:val="22"/>
                <w:szCs w:val="22"/>
              </w:rPr>
              <w:t>Definitions; Qualification Rules and Agency Administration</w:t>
            </w:r>
          </w:p>
          <w:p w14:paraId="5344DF84" w14:textId="77777777" w:rsidR="00CC16EF" w:rsidRPr="00CC16EF" w:rsidRDefault="00CC16EF" w:rsidP="00CC16EF">
            <w:pPr>
              <w:numPr>
                <w:ilvl w:val="0"/>
                <w:numId w:val="42"/>
              </w:numPr>
              <w:tabs>
                <w:tab w:val="clear" w:pos="288"/>
              </w:tabs>
              <w:rPr>
                <w:sz w:val="22"/>
                <w:szCs w:val="22"/>
              </w:rPr>
            </w:pPr>
            <w:r w:rsidRPr="00CC16EF">
              <w:rPr>
                <w:sz w:val="22"/>
                <w:szCs w:val="22"/>
              </w:rPr>
              <w:t>Minimum Age and Service Rules</w:t>
            </w:r>
          </w:p>
          <w:p w14:paraId="143FA76B" w14:textId="77777777" w:rsidR="00CC16EF" w:rsidRPr="00CC16EF" w:rsidRDefault="00CC16EF" w:rsidP="00CC16EF">
            <w:pPr>
              <w:numPr>
                <w:ilvl w:val="0"/>
                <w:numId w:val="42"/>
              </w:numPr>
              <w:tabs>
                <w:tab w:val="clear" w:pos="288"/>
              </w:tabs>
              <w:rPr>
                <w:sz w:val="22"/>
                <w:szCs w:val="22"/>
              </w:rPr>
            </w:pPr>
            <w:r w:rsidRPr="00CC16EF">
              <w:rPr>
                <w:sz w:val="22"/>
                <w:szCs w:val="22"/>
              </w:rPr>
              <w:t>Vesting</w:t>
            </w:r>
          </w:p>
          <w:p w14:paraId="69066CE4" w14:textId="77777777" w:rsidR="00CC16EF" w:rsidRPr="00CC16EF" w:rsidRDefault="00CC16EF" w:rsidP="00CC16EF">
            <w:pPr>
              <w:numPr>
                <w:ilvl w:val="0"/>
                <w:numId w:val="42"/>
              </w:numPr>
              <w:tabs>
                <w:tab w:val="clear" w:pos="288"/>
              </w:tabs>
              <w:rPr>
                <w:sz w:val="22"/>
                <w:szCs w:val="22"/>
              </w:rPr>
            </w:pPr>
            <w:r w:rsidRPr="00CC16EF">
              <w:rPr>
                <w:sz w:val="22"/>
                <w:szCs w:val="22"/>
              </w:rPr>
              <w:t>Nondiscrimination in Coverage</w:t>
            </w:r>
          </w:p>
          <w:p w14:paraId="368C496F" w14:textId="77777777" w:rsidR="00CC16EF" w:rsidRPr="00CC16EF" w:rsidRDefault="00CC16EF" w:rsidP="00CC16EF">
            <w:pPr>
              <w:numPr>
                <w:ilvl w:val="0"/>
                <w:numId w:val="42"/>
              </w:numPr>
              <w:tabs>
                <w:tab w:val="clear" w:pos="288"/>
              </w:tabs>
              <w:rPr>
                <w:sz w:val="22"/>
                <w:szCs w:val="22"/>
              </w:rPr>
            </w:pPr>
            <w:r w:rsidRPr="00CC16EF">
              <w:rPr>
                <w:sz w:val="22"/>
                <w:szCs w:val="22"/>
              </w:rPr>
              <w:t>Nondiscrimination in Benefits and Allocations</w:t>
            </w:r>
          </w:p>
          <w:p w14:paraId="3EEA02AA" w14:textId="192F955C" w:rsidR="00CC16EF" w:rsidRPr="00CC16EF" w:rsidRDefault="00230F8B" w:rsidP="00CC16EF">
            <w:pPr>
              <w:rPr>
                <w:sz w:val="22"/>
                <w:szCs w:val="22"/>
              </w:rPr>
            </w:pPr>
            <w:r w:rsidRPr="00230F8B">
              <w:rPr>
                <w:rFonts w:asciiTheme="minorHAnsi" w:hAnsiTheme="minorHAnsi" w:cstheme="minorHAnsi"/>
                <w:sz w:val="25"/>
                <w:szCs w:val="25"/>
              </w:rPr>
              <w:t>F</w:t>
            </w:r>
            <w:r w:rsidR="00BA4D3A">
              <w:rPr>
                <w:sz w:val="22"/>
                <w:szCs w:val="22"/>
              </w:rPr>
              <w:t xml:space="preserve">.         </w:t>
            </w:r>
            <w:r w:rsidR="00CC16EF" w:rsidRPr="00CC16EF">
              <w:rPr>
                <w:sz w:val="22"/>
                <w:szCs w:val="22"/>
              </w:rPr>
              <w:t>Deductibility of Employer Contributions</w:t>
            </w:r>
          </w:p>
          <w:p w14:paraId="3274F758" w14:textId="71F53C74" w:rsidR="00CC16EF" w:rsidRPr="00CC16EF" w:rsidRDefault="00230F8B" w:rsidP="00CC16EF">
            <w:pPr>
              <w:rPr>
                <w:sz w:val="22"/>
                <w:szCs w:val="22"/>
              </w:rPr>
            </w:pPr>
            <w:r w:rsidRPr="00230F8B">
              <w:rPr>
                <w:rFonts w:asciiTheme="minorHAnsi" w:hAnsiTheme="minorHAnsi" w:cstheme="minorHAnsi"/>
                <w:sz w:val="25"/>
                <w:szCs w:val="25"/>
              </w:rPr>
              <w:t>G</w:t>
            </w:r>
            <w:r w:rsidR="00CC16EF" w:rsidRPr="00CC16EF">
              <w:rPr>
                <w:sz w:val="22"/>
                <w:szCs w:val="22"/>
              </w:rPr>
              <w:t xml:space="preserve">. </w:t>
            </w:r>
            <w:r w:rsidR="00BA4D3A">
              <w:rPr>
                <w:sz w:val="22"/>
                <w:szCs w:val="22"/>
              </w:rPr>
              <w:t xml:space="preserve">       </w:t>
            </w:r>
            <w:r w:rsidR="00CC16EF" w:rsidRPr="00CC16EF">
              <w:rPr>
                <w:sz w:val="22"/>
                <w:szCs w:val="22"/>
              </w:rPr>
              <w:t>Distributions Overview</w:t>
            </w:r>
          </w:p>
        </w:tc>
      </w:tr>
      <w:tr w:rsidR="00CC16EF" w:rsidRPr="00CC16EF" w14:paraId="22104870" w14:textId="77777777" w:rsidTr="0055422B">
        <w:trPr>
          <w:gridBefore w:val="1"/>
          <w:wBefore w:w="20" w:type="dxa"/>
          <w:trHeight w:hRule="exact" w:val="2136"/>
        </w:trPr>
        <w:tc>
          <w:tcPr>
            <w:tcW w:w="874" w:type="dxa"/>
            <w:tcBorders>
              <w:top w:val="single" w:sz="5" w:space="0" w:color="000000"/>
              <w:left w:val="single" w:sz="5" w:space="0" w:color="000000"/>
              <w:bottom w:val="single" w:sz="5" w:space="0" w:color="000000"/>
              <w:right w:val="single" w:sz="5" w:space="0" w:color="000000"/>
            </w:tcBorders>
            <w:vAlign w:val="center"/>
          </w:tcPr>
          <w:p w14:paraId="113C557B" w14:textId="77777777" w:rsidR="00CC16EF" w:rsidRPr="00CC16EF" w:rsidRDefault="00CC16EF" w:rsidP="00CC16EF">
            <w:pPr>
              <w:rPr>
                <w:sz w:val="22"/>
                <w:szCs w:val="22"/>
              </w:rPr>
            </w:pPr>
            <w:r w:rsidRPr="00CC16EF">
              <w:rPr>
                <w:sz w:val="22"/>
                <w:szCs w:val="22"/>
              </w:rPr>
              <w:t>3</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52A7FB5E" w14:textId="77777777" w:rsidR="00CC16EF" w:rsidRPr="00CC16EF" w:rsidRDefault="00CC16EF" w:rsidP="00CC16EF">
            <w:pPr>
              <w:rPr>
                <w:sz w:val="22"/>
                <w:szCs w:val="22"/>
              </w:rPr>
            </w:pPr>
            <w:r w:rsidRPr="00CC16EF">
              <w:rPr>
                <w:sz w:val="22"/>
                <w:szCs w:val="22"/>
              </w:rPr>
              <w:t>Jan 31</w:t>
            </w:r>
          </w:p>
        </w:tc>
        <w:tc>
          <w:tcPr>
            <w:tcW w:w="7362" w:type="dxa"/>
            <w:tcBorders>
              <w:top w:val="single" w:sz="5" w:space="0" w:color="000000"/>
              <w:left w:val="single" w:sz="5" w:space="0" w:color="000000"/>
              <w:bottom w:val="single" w:sz="5" w:space="0" w:color="000000"/>
              <w:right w:val="single" w:sz="5" w:space="0" w:color="000000"/>
            </w:tcBorders>
          </w:tcPr>
          <w:p w14:paraId="5F45DD43" w14:textId="77777777" w:rsidR="00BA4D3A" w:rsidRDefault="00BA4D3A" w:rsidP="00CC16EF">
            <w:pPr>
              <w:rPr>
                <w:sz w:val="22"/>
                <w:szCs w:val="22"/>
              </w:rPr>
            </w:pPr>
          </w:p>
          <w:p w14:paraId="15E36ADB" w14:textId="65FD236B" w:rsidR="00CC16EF" w:rsidRDefault="00BA4D3A" w:rsidP="00CC16EF">
            <w:pPr>
              <w:rPr>
                <w:sz w:val="22"/>
                <w:szCs w:val="22"/>
              </w:rPr>
            </w:pPr>
            <w:r>
              <w:rPr>
                <w:sz w:val="22"/>
                <w:szCs w:val="22"/>
              </w:rPr>
              <w:t xml:space="preserve">Minimum </w:t>
            </w:r>
            <w:r w:rsidR="007E0857">
              <w:rPr>
                <w:sz w:val="22"/>
                <w:szCs w:val="22"/>
              </w:rPr>
              <w:t>A</w:t>
            </w:r>
            <w:r w:rsidR="00CC16EF" w:rsidRPr="00CC16EF">
              <w:rPr>
                <w:sz w:val="22"/>
                <w:szCs w:val="22"/>
              </w:rPr>
              <w:t xml:space="preserve">ge and </w:t>
            </w:r>
            <w:r w:rsidR="007E0857">
              <w:rPr>
                <w:sz w:val="22"/>
                <w:szCs w:val="22"/>
              </w:rPr>
              <w:t>S</w:t>
            </w:r>
            <w:r w:rsidR="00CC16EF" w:rsidRPr="00CC16EF">
              <w:rPr>
                <w:sz w:val="22"/>
                <w:szCs w:val="22"/>
              </w:rPr>
              <w:t xml:space="preserve">ervice </w:t>
            </w:r>
            <w:r w:rsidR="007E0857">
              <w:rPr>
                <w:sz w:val="22"/>
                <w:szCs w:val="22"/>
              </w:rPr>
              <w:t>R</w:t>
            </w:r>
            <w:r w:rsidR="00CC16EF" w:rsidRPr="00CC16EF">
              <w:rPr>
                <w:sz w:val="22"/>
                <w:szCs w:val="22"/>
              </w:rPr>
              <w:t>ules</w:t>
            </w:r>
          </w:p>
          <w:p w14:paraId="0AF93368" w14:textId="77777777" w:rsidR="00BA4D3A" w:rsidRDefault="00BA4D3A" w:rsidP="00CC16EF">
            <w:pPr>
              <w:rPr>
                <w:sz w:val="22"/>
                <w:szCs w:val="22"/>
              </w:rPr>
            </w:pPr>
          </w:p>
          <w:p w14:paraId="774CE947" w14:textId="77777777" w:rsidR="00BA4D3A" w:rsidRPr="00CC16EF" w:rsidRDefault="00BA4D3A" w:rsidP="00BA4D3A">
            <w:pPr>
              <w:rPr>
                <w:sz w:val="22"/>
                <w:szCs w:val="22"/>
              </w:rPr>
            </w:pPr>
            <w:r w:rsidRPr="00CC16EF">
              <w:rPr>
                <w:sz w:val="22"/>
                <w:szCs w:val="22"/>
              </w:rPr>
              <w:t>READING:</w:t>
            </w:r>
          </w:p>
          <w:p w14:paraId="5C9E39B5" w14:textId="75C7EC40" w:rsidR="00BA4D3A" w:rsidRPr="00CC16EF" w:rsidRDefault="00BA4D3A" w:rsidP="00BA4D3A">
            <w:pPr>
              <w:rPr>
                <w:sz w:val="22"/>
                <w:szCs w:val="22"/>
              </w:rPr>
            </w:pPr>
            <w:r w:rsidRPr="00CC16EF">
              <w:rPr>
                <w:sz w:val="22"/>
                <w:szCs w:val="22"/>
              </w:rPr>
              <w:t>Rev Rul. 80-360</w:t>
            </w:r>
          </w:p>
          <w:p w14:paraId="3D18CAC4" w14:textId="77777777" w:rsidR="00BA4D3A" w:rsidRPr="00CC16EF" w:rsidRDefault="00BA4D3A" w:rsidP="00BA4D3A">
            <w:pPr>
              <w:rPr>
                <w:b/>
                <w:sz w:val="22"/>
                <w:szCs w:val="22"/>
              </w:rPr>
            </w:pPr>
            <w:r w:rsidRPr="00CC16EF">
              <w:rPr>
                <w:b/>
                <w:sz w:val="22"/>
                <w:szCs w:val="22"/>
              </w:rPr>
              <w:t xml:space="preserve">Code: </w:t>
            </w:r>
            <w:r w:rsidRPr="00CC16EF">
              <w:rPr>
                <w:sz w:val="22"/>
                <w:szCs w:val="22"/>
              </w:rPr>
              <w:t>section 410(a)</w:t>
            </w:r>
          </w:p>
          <w:p w14:paraId="274DDC5C" w14:textId="106C3026" w:rsidR="00BA4D3A" w:rsidRDefault="00BA4D3A" w:rsidP="00CC16EF">
            <w:pPr>
              <w:rPr>
                <w:sz w:val="22"/>
                <w:szCs w:val="22"/>
              </w:rPr>
            </w:pPr>
            <w:r w:rsidRPr="00CC16EF">
              <w:rPr>
                <w:b/>
                <w:sz w:val="22"/>
                <w:szCs w:val="22"/>
              </w:rPr>
              <w:t>Regs</w:t>
            </w:r>
            <w:r w:rsidRPr="00CC16EF">
              <w:rPr>
                <w:sz w:val="22"/>
                <w:szCs w:val="22"/>
              </w:rPr>
              <w:t>: sections 1.410(a)-1, -3, -3T, -4, -5; -8T</w:t>
            </w:r>
          </w:p>
          <w:p w14:paraId="11631B05" w14:textId="59C64B91" w:rsidR="00BA4D3A" w:rsidRPr="00CC16EF" w:rsidRDefault="00BA4D3A" w:rsidP="00CC16EF">
            <w:pPr>
              <w:rPr>
                <w:sz w:val="22"/>
                <w:szCs w:val="22"/>
              </w:rPr>
            </w:pPr>
          </w:p>
        </w:tc>
      </w:tr>
      <w:tr w:rsidR="00CC16EF" w:rsidRPr="00CC16EF" w14:paraId="4C5D2AC9" w14:textId="77777777" w:rsidTr="0055422B">
        <w:trPr>
          <w:gridBefore w:val="1"/>
          <w:wBefore w:w="20" w:type="dxa"/>
          <w:trHeight w:hRule="exact" w:val="2984"/>
        </w:trPr>
        <w:tc>
          <w:tcPr>
            <w:tcW w:w="874" w:type="dxa"/>
            <w:tcBorders>
              <w:top w:val="single" w:sz="5" w:space="0" w:color="000000"/>
              <w:left w:val="single" w:sz="5" w:space="0" w:color="000000"/>
              <w:bottom w:val="single" w:sz="5" w:space="0" w:color="000000"/>
              <w:right w:val="single" w:sz="5" w:space="0" w:color="000000"/>
            </w:tcBorders>
            <w:vAlign w:val="center"/>
          </w:tcPr>
          <w:p w14:paraId="74216C9F" w14:textId="77777777" w:rsidR="00CC16EF" w:rsidRPr="00CC16EF" w:rsidRDefault="00CC16EF" w:rsidP="00CC16EF">
            <w:pPr>
              <w:rPr>
                <w:sz w:val="22"/>
                <w:szCs w:val="22"/>
              </w:rPr>
            </w:pPr>
            <w:r w:rsidRPr="00CC16EF">
              <w:rPr>
                <w:sz w:val="22"/>
                <w:szCs w:val="22"/>
              </w:rPr>
              <w:t>4</w:t>
            </w:r>
          </w:p>
        </w:tc>
        <w:tc>
          <w:tcPr>
            <w:tcW w:w="1806" w:type="dxa"/>
            <w:gridSpan w:val="2"/>
            <w:tcBorders>
              <w:top w:val="single" w:sz="5" w:space="0" w:color="000000"/>
              <w:left w:val="single" w:sz="5" w:space="0" w:color="000000"/>
              <w:bottom w:val="single" w:sz="5" w:space="0" w:color="000000"/>
              <w:right w:val="single" w:sz="5" w:space="0" w:color="000000"/>
            </w:tcBorders>
            <w:vAlign w:val="center"/>
          </w:tcPr>
          <w:p w14:paraId="4150FF08" w14:textId="77777777" w:rsidR="00CC16EF" w:rsidRPr="00CC16EF" w:rsidRDefault="00CC16EF" w:rsidP="00CC16EF">
            <w:pPr>
              <w:rPr>
                <w:sz w:val="22"/>
                <w:szCs w:val="22"/>
              </w:rPr>
            </w:pPr>
            <w:r w:rsidRPr="00CC16EF">
              <w:rPr>
                <w:sz w:val="22"/>
                <w:szCs w:val="22"/>
              </w:rPr>
              <w:t>Feb 7</w:t>
            </w:r>
          </w:p>
        </w:tc>
        <w:tc>
          <w:tcPr>
            <w:tcW w:w="7380" w:type="dxa"/>
            <w:gridSpan w:val="2"/>
            <w:tcBorders>
              <w:top w:val="single" w:sz="5" w:space="0" w:color="000000"/>
              <w:left w:val="single" w:sz="5" w:space="0" w:color="000000"/>
              <w:bottom w:val="single" w:sz="5" w:space="0" w:color="000000"/>
              <w:right w:val="single" w:sz="5" w:space="0" w:color="000000"/>
            </w:tcBorders>
          </w:tcPr>
          <w:p w14:paraId="735341EC" w14:textId="77777777" w:rsidR="00C177FB" w:rsidRDefault="00C177FB" w:rsidP="00CC16EF">
            <w:pPr>
              <w:rPr>
                <w:sz w:val="22"/>
                <w:szCs w:val="22"/>
              </w:rPr>
            </w:pPr>
          </w:p>
          <w:p w14:paraId="5B54A5B4" w14:textId="11BF4F56" w:rsidR="00CC16EF" w:rsidRPr="00CC16EF" w:rsidRDefault="00CC16EF" w:rsidP="00CC16EF">
            <w:pPr>
              <w:rPr>
                <w:sz w:val="22"/>
                <w:szCs w:val="22"/>
              </w:rPr>
            </w:pPr>
            <w:r w:rsidRPr="00CC16EF">
              <w:rPr>
                <w:sz w:val="22"/>
                <w:szCs w:val="22"/>
              </w:rPr>
              <w:t>Vesting and Accrual</w:t>
            </w:r>
          </w:p>
          <w:p w14:paraId="2B5341DD" w14:textId="77777777" w:rsidR="00C177FB" w:rsidRDefault="00C177FB" w:rsidP="00230F8B">
            <w:pPr>
              <w:rPr>
                <w:sz w:val="22"/>
                <w:szCs w:val="22"/>
              </w:rPr>
            </w:pPr>
          </w:p>
          <w:p w14:paraId="5965D563" w14:textId="5C14F6F7" w:rsidR="00CC16EF" w:rsidRPr="00CC16EF" w:rsidRDefault="00CC16EF" w:rsidP="00CC16EF">
            <w:pPr>
              <w:rPr>
                <w:sz w:val="22"/>
                <w:szCs w:val="22"/>
              </w:rPr>
            </w:pPr>
            <w:r w:rsidRPr="00CC16EF">
              <w:rPr>
                <w:sz w:val="22"/>
                <w:szCs w:val="22"/>
              </w:rPr>
              <w:t>READING:</w:t>
            </w:r>
          </w:p>
          <w:p w14:paraId="32B81F7E" w14:textId="5E03E246" w:rsidR="00CC16EF" w:rsidRPr="00CC16EF" w:rsidRDefault="00CC16EF" w:rsidP="00CC16EF">
            <w:pPr>
              <w:rPr>
                <w:sz w:val="22"/>
                <w:szCs w:val="22"/>
              </w:rPr>
            </w:pPr>
            <w:r w:rsidRPr="00CC16EF">
              <w:rPr>
                <w:sz w:val="22"/>
                <w:szCs w:val="22"/>
              </w:rPr>
              <w:t xml:space="preserve">Casebook - Chapter </w:t>
            </w:r>
            <w:r w:rsidR="00C177FB">
              <w:rPr>
                <w:sz w:val="22"/>
                <w:szCs w:val="22"/>
              </w:rPr>
              <w:t>4</w:t>
            </w:r>
            <w:r w:rsidRPr="00CC16EF">
              <w:rPr>
                <w:sz w:val="22"/>
                <w:szCs w:val="22"/>
              </w:rPr>
              <w:t>.</w:t>
            </w:r>
          </w:p>
          <w:p w14:paraId="291DE75E" w14:textId="64FA03E0" w:rsidR="00CC16EF" w:rsidRPr="00CC16EF" w:rsidRDefault="00CC16EF" w:rsidP="00CC16EF">
            <w:pPr>
              <w:rPr>
                <w:sz w:val="22"/>
                <w:szCs w:val="22"/>
              </w:rPr>
            </w:pPr>
            <w:r w:rsidRPr="00CC16EF">
              <w:rPr>
                <w:b/>
                <w:sz w:val="22"/>
                <w:szCs w:val="22"/>
              </w:rPr>
              <w:t xml:space="preserve">Code: </w:t>
            </w:r>
            <w:r w:rsidRPr="00CC16EF">
              <w:rPr>
                <w:sz w:val="22"/>
                <w:szCs w:val="22"/>
              </w:rPr>
              <w:t>Sections 411(a)(1)-(3)(A), (G); (4); (5)(A); (6)(A),</w:t>
            </w:r>
            <w:r w:rsidR="00C177FB">
              <w:rPr>
                <w:sz w:val="22"/>
                <w:szCs w:val="22"/>
              </w:rPr>
              <w:t xml:space="preserve"> </w:t>
            </w:r>
            <w:r w:rsidRPr="00CC16EF">
              <w:rPr>
                <w:sz w:val="22"/>
                <w:szCs w:val="22"/>
              </w:rPr>
              <w:t>(E); (7)(A), (8) - (11)(A); Sections 411(b)(1)(A), (C) (skim this); (2)(A); (3); (4)(A) ¿ (C); Sections</w:t>
            </w:r>
            <w:r w:rsidR="00C177FB">
              <w:rPr>
                <w:sz w:val="22"/>
                <w:szCs w:val="22"/>
              </w:rPr>
              <w:t xml:space="preserve"> </w:t>
            </w:r>
            <w:r w:rsidRPr="00CC16EF">
              <w:rPr>
                <w:sz w:val="22"/>
                <w:szCs w:val="22"/>
              </w:rPr>
              <w:t>411(c)(1); (2)(A); 411(d)(1), (6)(A), (B); 414(q), (s);</w:t>
            </w:r>
            <w:r w:rsidR="00C177FB">
              <w:rPr>
                <w:sz w:val="22"/>
                <w:szCs w:val="22"/>
              </w:rPr>
              <w:t xml:space="preserve"> </w:t>
            </w:r>
            <w:r w:rsidRPr="00CC16EF">
              <w:rPr>
                <w:sz w:val="22"/>
                <w:szCs w:val="22"/>
              </w:rPr>
              <w:t>415(c)(3)</w:t>
            </w:r>
          </w:p>
          <w:p w14:paraId="7B41CD33" w14:textId="7C483C41" w:rsidR="00CC16EF" w:rsidRPr="00CC16EF" w:rsidRDefault="00CC16EF" w:rsidP="00CC16EF">
            <w:pPr>
              <w:rPr>
                <w:b/>
                <w:sz w:val="22"/>
                <w:szCs w:val="22"/>
              </w:rPr>
            </w:pPr>
            <w:r w:rsidRPr="00CC16EF">
              <w:rPr>
                <w:b/>
                <w:sz w:val="22"/>
                <w:szCs w:val="22"/>
              </w:rPr>
              <w:t xml:space="preserve">Regs: </w:t>
            </w:r>
            <w:r w:rsidRPr="00CC16EF">
              <w:rPr>
                <w:sz w:val="22"/>
                <w:szCs w:val="22"/>
              </w:rPr>
              <w:t xml:space="preserve">Read carefully Sections 1.411(a)-7(d); 411(c)-1; Sections 1.411(a) -3T (a), (c), (f); </w:t>
            </w:r>
            <w:r w:rsidR="00C177FB">
              <w:rPr>
                <w:sz w:val="22"/>
                <w:szCs w:val="22"/>
              </w:rPr>
              <w:noBreakHyphen/>
            </w:r>
            <w:proofErr w:type="gramStart"/>
            <w:r w:rsidRPr="00CC16EF">
              <w:rPr>
                <w:sz w:val="22"/>
                <w:szCs w:val="22"/>
              </w:rPr>
              <w:t>4T;</w:t>
            </w:r>
            <w:proofErr w:type="gramEnd"/>
          </w:p>
          <w:p w14:paraId="266A0561" w14:textId="378D33C1" w:rsidR="00CC16EF" w:rsidRPr="00CC16EF" w:rsidRDefault="00CC16EF" w:rsidP="00C177FB">
            <w:pPr>
              <w:rPr>
                <w:sz w:val="22"/>
                <w:szCs w:val="22"/>
              </w:rPr>
            </w:pPr>
            <w:r w:rsidRPr="00CC16EF">
              <w:rPr>
                <w:sz w:val="22"/>
                <w:szCs w:val="22"/>
              </w:rPr>
              <w:t>1.411(b)-1(b) (skim)</w:t>
            </w:r>
          </w:p>
        </w:tc>
      </w:tr>
      <w:tr w:rsidR="00CC16EF" w:rsidRPr="00CC16EF" w14:paraId="2FF1977E" w14:textId="77777777" w:rsidTr="0055422B">
        <w:trPr>
          <w:gridBefore w:val="1"/>
          <w:wBefore w:w="20" w:type="dxa"/>
          <w:trHeight w:hRule="exact" w:val="4586"/>
        </w:trPr>
        <w:tc>
          <w:tcPr>
            <w:tcW w:w="874" w:type="dxa"/>
            <w:tcBorders>
              <w:top w:val="single" w:sz="5" w:space="0" w:color="000000"/>
              <w:left w:val="single" w:sz="5" w:space="0" w:color="000000"/>
              <w:bottom w:val="single" w:sz="5" w:space="0" w:color="000000"/>
              <w:right w:val="single" w:sz="5" w:space="0" w:color="000000"/>
            </w:tcBorders>
            <w:vAlign w:val="center"/>
          </w:tcPr>
          <w:p w14:paraId="2D3F44FA" w14:textId="77777777" w:rsidR="00CC16EF" w:rsidRPr="00CC16EF" w:rsidRDefault="00CC16EF" w:rsidP="00CC16EF">
            <w:pPr>
              <w:rPr>
                <w:sz w:val="22"/>
                <w:szCs w:val="22"/>
              </w:rPr>
            </w:pPr>
            <w:r w:rsidRPr="00CC16EF">
              <w:rPr>
                <w:sz w:val="22"/>
                <w:szCs w:val="22"/>
              </w:rPr>
              <w:lastRenderedPageBreak/>
              <w:t>5</w:t>
            </w:r>
          </w:p>
        </w:tc>
        <w:tc>
          <w:tcPr>
            <w:tcW w:w="1806" w:type="dxa"/>
            <w:gridSpan w:val="2"/>
            <w:tcBorders>
              <w:top w:val="single" w:sz="5" w:space="0" w:color="000000"/>
              <w:left w:val="single" w:sz="5" w:space="0" w:color="000000"/>
              <w:bottom w:val="single" w:sz="5" w:space="0" w:color="000000"/>
              <w:right w:val="single" w:sz="5" w:space="0" w:color="000000"/>
            </w:tcBorders>
            <w:vAlign w:val="center"/>
          </w:tcPr>
          <w:p w14:paraId="6F45EA22" w14:textId="77777777" w:rsidR="00CC16EF" w:rsidRPr="00CC16EF" w:rsidRDefault="00CC16EF" w:rsidP="00CC16EF">
            <w:pPr>
              <w:rPr>
                <w:sz w:val="22"/>
                <w:szCs w:val="22"/>
              </w:rPr>
            </w:pPr>
            <w:r w:rsidRPr="00CC16EF">
              <w:rPr>
                <w:sz w:val="22"/>
                <w:szCs w:val="22"/>
              </w:rPr>
              <w:t>Feb 14</w:t>
            </w:r>
          </w:p>
        </w:tc>
        <w:tc>
          <w:tcPr>
            <w:tcW w:w="7380" w:type="dxa"/>
            <w:gridSpan w:val="2"/>
            <w:tcBorders>
              <w:top w:val="single" w:sz="5" w:space="0" w:color="000000"/>
              <w:left w:val="single" w:sz="5" w:space="0" w:color="000000"/>
              <w:bottom w:val="single" w:sz="5" w:space="0" w:color="000000"/>
              <w:right w:val="single" w:sz="5" w:space="0" w:color="000000"/>
            </w:tcBorders>
          </w:tcPr>
          <w:p w14:paraId="0120B5D9" w14:textId="77777777" w:rsidR="00C177FB" w:rsidRDefault="00C177FB" w:rsidP="00CC16EF">
            <w:pPr>
              <w:rPr>
                <w:sz w:val="22"/>
                <w:szCs w:val="22"/>
              </w:rPr>
            </w:pPr>
          </w:p>
          <w:p w14:paraId="683406D8" w14:textId="615FFD80" w:rsidR="00CC16EF" w:rsidRPr="00CC16EF" w:rsidRDefault="00CC16EF" w:rsidP="00CC16EF">
            <w:pPr>
              <w:rPr>
                <w:sz w:val="22"/>
                <w:szCs w:val="22"/>
              </w:rPr>
            </w:pPr>
            <w:r w:rsidRPr="00CC16EF">
              <w:rPr>
                <w:sz w:val="22"/>
                <w:szCs w:val="22"/>
              </w:rPr>
              <w:t xml:space="preserve">Coverage </w:t>
            </w:r>
            <w:r w:rsidR="007E0857">
              <w:rPr>
                <w:sz w:val="22"/>
                <w:szCs w:val="22"/>
              </w:rPr>
              <w:t>N</w:t>
            </w:r>
            <w:r w:rsidRPr="00CC16EF">
              <w:rPr>
                <w:sz w:val="22"/>
                <w:szCs w:val="22"/>
              </w:rPr>
              <w:t>ondiscrimination.</w:t>
            </w:r>
          </w:p>
          <w:p w14:paraId="468681F4" w14:textId="77777777" w:rsidR="00C177FB" w:rsidRDefault="00C177FB" w:rsidP="00CC16EF">
            <w:pPr>
              <w:rPr>
                <w:sz w:val="22"/>
                <w:szCs w:val="22"/>
              </w:rPr>
            </w:pPr>
          </w:p>
          <w:p w14:paraId="2EF78D46" w14:textId="459A6DAD" w:rsidR="00CC16EF" w:rsidRDefault="00CC16EF" w:rsidP="00CC16EF">
            <w:pPr>
              <w:rPr>
                <w:sz w:val="22"/>
                <w:szCs w:val="22"/>
              </w:rPr>
            </w:pPr>
            <w:r w:rsidRPr="00CC16EF">
              <w:rPr>
                <w:sz w:val="22"/>
                <w:szCs w:val="22"/>
              </w:rPr>
              <w:t>READING:</w:t>
            </w:r>
          </w:p>
          <w:p w14:paraId="506E6262" w14:textId="4E6519E5" w:rsidR="007E0857" w:rsidRPr="00CC16EF" w:rsidRDefault="007E0857" w:rsidP="00CC16EF">
            <w:pPr>
              <w:rPr>
                <w:sz w:val="22"/>
                <w:szCs w:val="22"/>
              </w:rPr>
            </w:pPr>
            <w:r>
              <w:rPr>
                <w:sz w:val="22"/>
                <w:szCs w:val="22"/>
              </w:rPr>
              <w:t>Sections A and B of Chapter 9 of Casebook</w:t>
            </w:r>
          </w:p>
          <w:p w14:paraId="3B944B0C" w14:textId="77777777" w:rsidR="00CC16EF" w:rsidRPr="00CC16EF" w:rsidRDefault="00CC16EF" w:rsidP="00CC16EF">
            <w:pPr>
              <w:rPr>
                <w:b/>
                <w:sz w:val="22"/>
                <w:szCs w:val="22"/>
              </w:rPr>
            </w:pPr>
            <w:r w:rsidRPr="00CC16EF">
              <w:rPr>
                <w:b/>
                <w:sz w:val="22"/>
                <w:szCs w:val="22"/>
              </w:rPr>
              <w:t>Code</w:t>
            </w:r>
            <w:r w:rsidRPr="00CC16EF">
              <w:rPr>
                <w:sz w:val="22"/>
                <w:szCs w:val="22"/>
              </w:rPr>
              <w:t>: Sections 410(b); 401(a)(26)(A), (B); 414(q)</w:t>
            </w:r>
          </w:p>
          <w:p w14:paraId="430FDC95" w14:textId="21F0893D" w:rsidR="00CC16EF" w:rsidRPr="00CC16EF" w:rsidRDefault="00CC16EF" w:rsidP="00CC16EF">
            <w:pPr>
              <w:rPr>
                <w:b/>
                <w:sz w:val="22"/>
                <w:szCs w:val="22"/>
              </w:rPr>
            </w:pPr>
            <w:r w:rsidRPr="00CC16EF">
              <w:rPr>
                <w:b/>
                <w:sz w:val="22"/>
                <w:szCs w:val="22"/>
              </w:rPr>
              <w:t>Regs</w:t>
            </w:r>
            <w:r w:rsidRPr="00CC16EF">
              <w:rPr>
                <w:sz w:val="22"/>
                <w:szCs w:val="22"/>
              </w:rPr>
              <w:t>: Sections 1.410(b)-2(a), (b); 1.410(b)-3(a)(1), 1.410(b)-4(a), (b), (c); 1.410(b)-5(a), (b), (c), (d)(4), (d)(5)(i), 1.410(b)-6(a), (b)(1), (c), (d)(1), (d)(2)(i), (f); 1.410(b)-7(a), (c)(3); 1.410(b)-8(a); 1.410(b)-9</w:t>
            </w:r>
          </w:p>
          <w:p w14:paraId="2204AAA1" w14:textId="77777777" w:rsidR="007E0857" w:rsidRDefault="007E0857" w:rsidP="00CC16EF">
            <w:pPr>
              <w:rPr>
                <w:sz w:val="22"/>
                <w:szCs w:val="22"/>
              </w:rPr>
            </w:pPr>
          </w:p>
          <w:p w14:paraId="528E1612" w14:textId="1C9149C1" w:rsidR="00CC16EF" w:rsidRPr="00CC16EF" w:rsidRDefault="007E0857" w:rsidP="007E0857">
            <w:pPr>
              <w:rPr>
                <w:sz w:val="22"/>
                <w:szCs w:val="22"/>
              </w:rPr>
            </w:pPr>
            <w:r>
              <w:rPr>
                <w:sz w:val="22"/>
                <w:szCs w:val="22"/>
              </w:rPr>
              <w:t>R</w:t>
            </w:r>
            <w:r w:rsidR="00CC16EF" w:rsidRPr="00CC16EF">
              <w:rPr>
                <w:sz w:val="22"/>
                <w:szCs w:val="22"/>
              </w:rPr>
              <w:t>ead Rev Rul 83-58 and determine how to apply section 410(b) Code and regs to determine if the plan would meet the current coverage nondiscrimination requirements. Assume, for this purpose, that the 4 most highly compensated employees are highly compensated as defined in Section 414(q). Also assume that each employee is allocated 10% of pay in the profit-sharing plan's allocation formula. We will be walking through this step by step in class, so you don't need to have it completely prepared ahead of time - but spend some time looking at the Code and regs to see if you can outline a structure.</w:t>
            </w:r>
          </w:p>
        </w:tc>
      </w:tr>
      <w:tr w:rsidR="00CC16EF" w:rsidRPr="00CC16EF" w14:paraId="63EEBA1F" w14:textId="77777777" w:rsidTr="0055422B">
        <w:trPr>
          <w:gridBefore w:val="1"/>
          <w:wBefore w:w="20" w:type="dxa"/>
          <w:trHeight w:hRule="exact" w:val="4449"/>
        </w:trPr>
        <w:tc>
          <w:tcPr>
            <w:tcW w:w="874" w:type="dxa"/>
            <w:tcBorders>
              <w:top w:val="single" w:sz="5" w:space="0" w:color="000000"/>
              <w:left w:val="single" w:sz="5" w:space="0" w:color="000000"/>
              <w:bottom w:val="single" w:sz="5" w:space="0" w:color="000000"/>
              <w:right w:val="single" w:sz="5" w:space="0" w:color="000000"/>
            </w:tcBorders>
            <w:vAlign w:val="center"/>
          </w:tcPr>
          <w:p w14:paraId="624D8647" w14:textId="77777777" w:rsidR="00CC16EF" w:rsidRPr="00CC16EF" w:rsidRDefault="00CC16EF" w:rsidP="00CC16EF">
            <w:pPr>
              <w:rPr>
                <w:sz w:val="22"/>
                <w:szCs w:val="22"/>
              </w:rPr>
            </w:pPr>
            <w:r w:rsidRPr="00CC16EF">
              <w:rPr>
                <w:sz w:val="22"/>
                <w:szCs w:val="22"/>
              </w:rPr>
              <w:t>6</w:t>
            </w:r>
          </w:p>
        </w:tc>
        <w:tc>
          <w:tcPr>
            <w:tcW w:w="1806" w:type="dxa"/>
            <w:gridSpan w:val="2"/>
            <w:tcBorders>
              <w:top w:val="single" w:sz="5" w:space="0" w:color="000000"/>
              <w:left w:val="single" w:sz="5" w:space="0" w:color="000000"/>
              <w:bottom w:val="single" w:sz="5" w:space="0" w:color="000000"/>
              <w:right w:val="single" w:sz="5" w:space="0" w:color="000000"/>
            </w:tcBorders>
            <w:vAlign w:val="center"/>
          </w:tcPr>
          <w:p w14:paraId="532532E6" w14:textId="77777777" w:rsidR="00CC16EF" w:rsidRPr="00CC16EF" w:rsidRDefault="00CC16EF" w:rsidP="00CC16EF">
            <w:pPr>
              <w:rPr>
                <w:sz w:val="22"/>
                <w:szCs w:val="22"/>
              </w:rPr>
            </w:pPr>
            <w:r w:rsidRPr="00CC16EF">
              <w:rPr>
                <w:sz w:val="22"/>
                <w:szCs w:val="22"/>
              </w:rPr>
              <w:t>Feb 21</w:t>
            </w:r>
          </w:p>
        </w:tc>
        <w:tc>
          <w:tcPr>
            <w:tcW w:w="7380" w:type="dxa"/>
            <w:gridSpan w:val="2"/>
            <w:tcBorders>
              <w:top w:val="single" w:sz="5" w:space="0" w:color="000000"/>
              <w:left w:val="single" w:sz="5" w:space="0" w:color="000000"/>
              <w:bottom w:val="single" w:sz="5" w:space="0" w:color="000000"/>
              <w:right w:val="single" w:sz="5" w:space="0" w:color="000000"/>
            </w:tcBorders>
          </w:tcPr>
          <w:p w14:paraId="0A076EEC" w14:textId="77777777" w:rsidR="007E0857" w:rsidRDefault="007E0857" w:rsidP="00CC16EF">
            <w:pPr>
              <w:rPr>
                <w:sz w:val="22"/>
                <w:szCs w:val="22"/>
              </w:rPr>
            </w:pPr>
          </w:p>
          <w:p w14:paraId="551E8AFA" w14:textId="09A4957C" w:rsidR="00CC16EF" w:rsidRPr="00CC16EF" w:rsidRDefault="00CC16EF" w:rsidP="00CC16EF">
            <w:pPr>
              <w:rPr>
                <w:sz w:val="22"/>
                <w:szCs w:val="22"/>
              </w:rPr>
            </w:pPr>
            <w:r w:rsidRPr="00CC16EF">
              <w:rPr>
                <w:sz w:val="22"/>
                <w:szCs w:val="22"/>
              </w:rPr>
              <w:t>Benefit Nondiscrimination</w:t>
            </w:r>
          </w:p>
          <w:p w14:paraId="0B561D37" w14:textId="77777777" w:rsidR="007E0857" w:rsidRDefault="007E0857" w:rsidP="00CC16EF">
            <w:pPr>
              <w:rPr>
                <w:sz w:val="22"/>
                <w:szCs w:val="22"/>
              </w:rPr>
            </w:pPr>
          </w:p>
          <w:p w14:paraId="2DF5B12A" w14:textId="179F53AA" w:rsidR="007E0857" w:rsidRDefault="00CC16EF" w:rsidP="00CC16EF">
            <w:pPr>
              <w:rPr>
                <w:sz w:val="22"/>
                <w:szCs w:val="22"/>
              </w:rPr>
            </w:pPr>
            <w:r w:rsidRPr="00CC16EF">
              <w:rPr>
                <w:sz w:val="22"/>
                <w:szCs w:val="22"/>
              </w:rPr>
              <w:t>We will continue and finish the coverage nondiscrimination discussion applying current law and</w:t>
            </w:r>
            <w:r w:rsidR="007E0857">
              <w:rPr>
                <w:sz w:val="22"/>
                <w:szCs w:val="22"/>
              </w:rPr>
              <w:t xml:space="preserve"> </w:t>
            </w:r>
            <w:r w:rsidRPr="00CC16EF">
              <w:rPr>
                <w:sz w:val="22"/>
                <w:szCs w:val="22"/>
              </w:rPr>
              <w:t>regs to the facts of Rev Rul 83-58.  We will then turn to benefit nondiscrimination</w:t>
            </w:r>
            <w:r w:rsidR="007E0857">
              <w:rPr>
                <w:sz w:val="22"/>
                <w:szCs w:val="22"/>
              </w:rPr>
              <w:t>.</w:t>
            </w:r>
          </w:p>
          <w:p w14:paraId="4E6E096F" w14:textId="057E5917" w:rsidR="00CC16EF" w:rsidRPr="00CC16EF" w:rsidRDefault="00CC16EF" w:rsidP="00CC16EF">
            <w:pPr>
              <w:rPr>
                <w:sz w:val="22"/>
                <w:szCs w:val="22"/>
              </w:rPr>
            </w:pPr>
          </w:p>
          <w:p w14:paraId="6E6CB6BF" w14:textId="77777777" w:rsidR="00CC16EF" w:rsidRPr="00CC16EF" w:rsidRDefault="00CC16EF" w:rsidP="00CC16EF">
            <w:pPr>
              <w:rPr>
                <w:sz w:val="22"/>
                <w:szCs w:val="22"/>
              </w:rPr>
            </w:pPr>
            <w:r w:rsidRPr="00CC16EF">
              <w:rPr>
                <w:sz w:val="22"/>
                <w:szCs w:val="22"/>
              </w:rPr>
              <w:t>READING:</w:t>
            </w:r>
          </w:p>
          <w:p w14:paraId="4C2273C4" w14:textId="77777777" w:rsidR="00CC16EF" w:rsidRDefault="007E0857" w:rsidP="00CC16EF">
            <w:pPr>
              <w:rPr>
                <w:sz w:val="22"/>
                <w:szCs w:val="22"/>
              </w:rPr>
            </w:pPr>
            <w:r>
              <w:rPr>
                <w:sz w:val="22"/>
                <w:szCs w:val="22"/>
              </w:rPr>
              <w:t xml:space="preserve">Section C of </w:t>
            </w:r>
            <w:r w:rsidR="00CC16EF" w:rsidRPr="00CC16EF">
              <w:rPr>
                <w:sz w:val="22"/>
                <w:szCs w:val="22"/>
              </w:rPr>
              <w:t xml:space="preserve">Chapter 8 in the </w:t>
            </w:r>
            <w:r>
              <w:rPr>
                <w:sz w:val="22"/>
                <w:szCs w:val="22"/>
              </w:rPr>
              <w:t>Case</w:t>
            </w:r>
            <w:r w:rsidR="00CC16EF" w:rsidRPr="00CC16EF">
              <w:rPr>
                <w:sz w:val="22"/>
                <w:szCs w:val="22"/>
              </w:rPr>
              <w:t>book.</w:t>
            </w:r>
          </w:p>
          <w:p w14:paraId="5574DC8A" w14:textId="77777777" w:rsidR="007E0857" w:rsidRPr="007E0857" w:rsidRDefault="007E0857" w:rsidP="007E0857">
            <w:pPr>
              <w:rPr>
                <w:sz w:val="22"/>
                <w:szCs w:val="22"/>
              </w:rPr>
            </w:pPr>
            <w:r w:rsidRPr="007E0857">
              <w:rPr>
                <w:b/>
                <w:sz w:val="22"/>
                <w:szCs w:val="22"/>
              </w:rPr>
              <w:t>Code</w:t>
            </w:r>
            <w:r w:rsidRPr="007E0857">
              <w:rPr>
                <w:sz w:val="22"/>
                <w:szCs w:val="22"/>
              </w:rPr>
              <w:t>: Secs 401(a)(4)</w:t>
            </w:r>
          </w:p>
          <w:p w14:paraId="7F3D8F8B" w14:textId="35A374A3" w:rsidR="007E0857" w:rsidRPr="007E0857" w:rsidRDefault="007E0857" w:rsidP="007E0857">
            <w:pPr>
              <w:rPr>
                <w:sz w:val="22"/>
                <w:szCs w:val="22"/>
              </w:rPr>
            </w:pPr>
            <w:r w:rsidRPr="007E0857">
              <w:rPr>
                <w:b/>
                <w:sz w:val="22"/>
                <w:szCs w:val="22"/>
              </w:rPr>
              <w:t>Regs</w:t>
            </w:r>
            <w:r w:rsidRPr="007E0857">
              <w:rPr>
                <w:sz w:val="22"/>
                <w:szCs w:val="22"/>
              </w:rPr>
              <w:t>: Secs 1.401(a)(4)-1(a),</w:t>
            </w:r>
            <w:r>
              <w:rPr>
                <w:sz w:val="22"/>
                <w:szCs w:val="22"/>
              </w:rPr>
              <w:t xml:space="preserve"> </w:t>
            </w:r>
            <w:r w:rsidRPr="007E0857">
              <w:rPr>
                <w:sz w:val="22"/>
                <w:szCs w:val="22"/>
              </w:rPr>
              <w:t>-1(b)(1), (2)(i),</w:t>
            </w:r>
            <w:r>
              <w:rPr>
                <w:sz w:val="22"/>
                <w:szCs w:val="22"/>
              </w:rPr>
              <w:t xml:space="preserve"> </w:t>
            </w:r>
            <w:r w:rsidRPr="007E0857">
              <w:rPr>
                <w:sz w:val="22"/>
                <w:szCs w:val="22"/>
              </w:rPr>
              <w:t>(ii</w:t>
            </w:r>
            <w:r>
              <w:rPr>
                <w:sz w:val="22"/>
                <w:szCs w:val="22"/>
              </w:rPr>
              <w:t>)</w:t>
            </w:r>
            <w:r w:rsidRPr="007E0857">
              <w:rPr>
                <w:sz w:val="22"/>
                <w:szCs w:val="22"/>
              </w:rPr>
              <w:t>(A),</w:t>
            </w:r>
            <w:r>
              <w:rPr>
                <w:sz w:val="22"/>
                <w:szCs w:val="22"/>
              </w:rPr>
              <w:t xml:space="preserve"> </w:t>
            </w:r>
            <w:r w:rsidRPr="007E0857">
              <w:rPr>
                <w:sz w:val="22"/>
                <w:szCs w:val="22"/>
              </w:rPr>
              <w:t>(3),</w:t>
            </w:r>
            <w:r>
              <w:rPr>
                <w:sz w:val="22"/>
                <w:szCs w:val="22"/>
              </w:rPr>
              <w:t xml:space="preserve"> </w:t>
            </w:r>
            <w:r w:rsidRPr="007E0857">
              <w:rPr>
                <w:sz w:val="22"/>
                <w:szCs w:val="22"/>
              </w:rPr>
              <w:t>(4)</w:t>
            </w:r>
          </w:p>
          <w:p w14:paraId="77B8B989" w14:textId="77777777" w:rsidR="007E0857" w:rsidRPr="007E0857" w:rsidRDefault="007E0857" w:rsidP="007E0857">
            <w:pPr>
              <w:rPr>
                <w:sz w:val="22"/>
                <w:szCs w:val="22"/>
              </w:rPr>
            </w:pPr>
            <w:r w:rsidRPr="007E0857">
              <w:rPr>
                <w:sz w:val="22"/>
                <w:szCs w:val="22"/>
              </w:rPr>
              <w:t>-1(c)(1), (2), (3), (4), (8), (10), (11)</w:t>
            </w:r>
          </w:p>
          <w:p w14:paraId="04B2A84C" w14:textId="5ABE606A" w:rsidR="007E0857" w:rsidRPr="007E0857" w:rsidRDefault="007E0857" w:rsidP="007E0857">
            <w:pPr>
              <w:rPr>
                <w:sz w:val="22"/>
                <w:szCs w:val="22"/>
              </w:rPr>
            </w:pPr>
            <w:r w:rsidRPr="007E0857">
              <w:rPr>
                <w:sz w:val="22"/>
                <w:szCs w:val="22"/>
              </w:rPr>
              <w:t>1.401(a)(4)-2 (except skip 2(b)(2)(ii), and 2(b)(4)(vi)).</w:t>
            </w:r>
          </w:p>
          <w:p w14:paraId="54EF11E6" w14:textId="54859C1F" w:rsidR="007E0857" w:rsidRPr="007E0857" w:rsidRDefault="007E0857" w:rsidP="007E0857">
            <w:pPr>
              <w:rPr>
                <w:sz w:val="22"/>
                <w:szCs w:val="22"/>
              </w:rPr>
            </w:pPr>
            <w:r w:rsidRPr="007E0857">
              <w:rPr>
                <w:sz w:val="22"/>
                <w:szCs w:val="22"/>
              </w:rPr>
              <w:t>1.401(a)(4)-4(a), (b), (c), (e)</w:t>
            </w:r>
          </w:p>
          <w:p w14:paraId="728E776C" w14:textId="24C33465" w:rsidR="007E0857" w:rsidRPr="007E0857" w:rsidRDefault="007E0857" w:rsidP="007E0857">
            <w:pPr>
              <w:rPr>
                <w:sz w:val="22"/>
                <w:szCs w:val="22"/>
              </w:rPr>
            </w:pPr>
            <w:r w:rsidRPr="007E0857">
              <w:rPr>
                <w:sz w:val="22"/>
                <w:szCs w:val="22"/>
              </w:rPr>
              <w:t>1.401(a)(4)-5(a)(1), (4) Examples 1-5</w:t>
            </w:r>
          </w:p>
          <w:p w14:paraId="5E886664" w14:textId="6FBDC614" w:rsidR="007E0857" w:rsidRPr="007E0857" w:rsidRDefault="007E0857" w:rsidP="007E0857">
            <w:pPr>
              <w:rPr>
                <w:sz w:val="22"/>
                <w:szCs w:val="22"/>
              </w:rPr>
            </w:pPr>
            <w:r w:rsidRPr="007E0857">
              <w:rPr>
                <w:sz w:val="22"/>
                <w:szCs w:val="22"/>
              </w:rPr>
              <w:t>1.401(a)(4)-9(a)</w:t>
            </w:r>
          </w:p>
          <w:p w14:paraId="68CD6669" w14:textId="5E64E0BB" w:rsidR="007E0857" w:rsidRDefault="007E0857" w:rsidP="007E0857">
            <w:pPr>
              <w:rPr>
                <w:sz w:val="22"/>
                <w:szCs w:val="22"/>
              </w:rPr>
            </w:pPr>
            <w:r w:rsidRPr="007E0857">
              <w:rPr>
                <w:sz w:val="22"/>
                <w:szCs w:val="22"/>
              </w:rPr>
              <w:t>1.401(a)(4)-12 Definitions as you need them in the other assigned reg sections.</w:t>
            </w:r>
          </w:p>
          <w:p w14:paraId="5BABABE8" w14:textId="55EFBA5D" w:rsidR="007E0857" w:rsidRPr="00CC16EF" w:rsidRDefault="007E0857" w:rsidP="00CC16EF">
            <w:pPr>
              <w:rPr>
                <w:sz w:val="22"/>
                <w:szCs w:val="22"/>
              </w:rPr>
            </w:pPr>
          </w:p>
        </w:tc>
      </w:tr>
      <w:tr w:rsidR="00CC16EF" w:rsidRPr="00CC16EF" w14:paraId="28829E94" w14:textId="77777777" w:rsidTr="0055422B">
        <w:trPr>
          <w:gridBefore w:val="1"/>
          <w:wBefore w:w="20" w:type="dxa"/>
          <w:trHeight w:hRule="exact" w:val="3828"/>
        </w:trPr>
        <w:tc>
          <w:tcPr>
            <w:tcW w:w="874" w:type="dxa"/>
            <w:tcBorders>
              <w:top w:val="single" w:sz="5" w:space="0" w:color="000000"/>
              <w:left w:val="single" w:sz="5" w:space="0" w:color="000000"/>
              <w:bottom w:val="single" w:sz="5" w:space="0" w:color="000000"/>
              <w:right w:val="single" w:sz="5" w:space="0" w:color="000000"/>
            </w:tcBorders>
            <w:vAlign w:val="center"/>
          </w:tcPr>
          <w:p w14:paraId="6418555A" w14:textId="77777777" w:rsidR="00CC16EF" w:rsidRPr="00CC16EF" w:rsidRDefault="00CC16EF" w:rsidP="00CC16EF">
            <w:pPr>
              <w:rPr>
                <w:sz w:val="22"/>
                <w:szCs w:val="22"/>
              </w:rPr>
            </w:pPr>
            <w:r w:rsidRPr="00CC16EF">
              <w:rPr>
                <w:sz w:val="22"/>
                <w:szCs w:val="22"/>
              </w:rPr>
              <w:t>7</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148F4A1F" w14:textId="77777777" w:rsidR="00CC16EF" w:rsidRPr="00CC16EF" w:rsidRDefault="00CC16EF" w:rsidP="00CC16EF">
            <w:pPr>
              <w:rPr>
                <w:sz w:val="22"/>
                <w:szCs w:val="22"/>
              </w:rPr>
            </w:pPr>
            <w:r w:rsidRPr="00CC16EF">
              <w:rPr>
                <w:sz w:val="22"/>
                <w:szCs w:val="22"/>
              </w:rPr>
              <w:t>Feb 28</w:t>
            </w:r>
          </w:p>
        </w:tc>
        <w:tc>
          <w:tcPr>
            <w:tcW w:w="7362" w:type="dxa"/>
            <w:tcBorders>
              <w:top w:val="single" w:sz="5" w:space="0" w:color="000000"/>
              <w:left w:val="single" w:sz="5" w:space="0" w:color="000000"/>
              <w:bottom w:val="single" w:sz="5" w:space="0" w:color="000000"/>
              <w:right w:val="single" w:sz="5" w:space="0" w:color="000000"/>
            </w:tcBorders>
          </w:tcPr>
          <w:p w14:paraId="7096619C" w14:textId="77777777" w:rsidR="007E0857" w:rsidRDefault="007E0857" w:rsidP="00CC16EF">
            <w:pPr>
              <w:rPr>
                <w:sz w:val="22"/>
                <w:szCs w:val="22"/>
              </w:rPr>
            </w:pPr>
          </w:p>
          <w:p w14:paraId="581B345E" w14:textId="32BAB461" w:rsidR="00CC16EF" w:rsidRPr="00CC16EF" w:rsidRDefault="00CC16EF" w:rsidP="00CC16EF">
            <w:pPr>
              <w:rPr>
                <w:sz w:val="22"/>
                <w:szCs w:val="22"/>
              </w:rPr>
            </w:pPr>
            <w:r w:rsidRPr="00CC16EF">
              <w:rPr>
                <w:sz w:val="22"/>
                <w:szCs w:val="22"/>
              </w:rPr>
              <w:t xml:space="preserve">Aggregation </w:t>
            </w:r>
            <w:r w:rsidR="007E0857">
              <w:rPr>
                <w:sz w:val="22"/>
                <w:szCs w:val="22"/>
              </w:rPr>
              <w:t>R</w:t>
            </w:r>
            <w:r w:rsidRPr="00CC16EF">
              <w:rPr>
                <w:sz w:val="22"/>
                <w:szCs w:val="22"/>
              </w:rPr>
              <w:t>ules and Separate Lines of Business</w:t>
            </w:r>
          </w:p>
          <w:p w14:paraId="27F87043" w14:textId="77777777" w:rsidR="007E0857" w:rsidRDefault="007E0857" w:rsidP="00CC16EF">
            <w:pPr>
              <w:rPr>
                <w:sz w:val="22"/>
                <w:szCs w:val="22"/>
              </w:rPr>
            </w:pPr>
          </w:p>
          <w:p w14:paraId="26B4E154" w14:textId="5B88752F" w:rsidR="00CC16EF" w:rsidRDefault="00CC16EF" w:rsidP="00CC16EF">
            <w:pPr>
              <w:rPr>
                <w:sz w:val="22"/>
                <w:szCs w:val="22"/>
              </w:rPr>
            </w:pPr>
            <w:r w:rsidRPr="00CC16EF">
              <w:rPr>
                <w:sz w:val="22"/>
                <w:szCs w:val="22"/>
              </w:rPr>
              <w:t>We will now discuss aggregated employers and plans, including the affiliated service group rules. We will also discuss the family attribution rules. We will then move on to the separate line of business material. I will cover permitted disparity</w:t>
            </w:r>
            <w:r w:rsidR="00B039EB">
              <w:rPr>
                <w:sz w:val="22"/>
                <w:szCs w:val="22"/>
              </w:rPr>
              <w:t xml:space="preserve"> (“i</w:t>
            </w:r>
            <w:r w:rsidRPr="00CC16EF">
              <w:rPr>
                <w:sz w:val="22"/>
                <w:szCs w:val="22"/>
              </w:rPr>
              <w:t>ntegration with Social Security</w:t>
            </w:r>
            <w:r w:rsidR="00B039EB">
              <w:rPr>
                <w:sz w:val="22"/>
                <w:szCs w:val="22"/>
              </w:rPr>
              <w:t>”)</w:t>
            </w:r>
            <w:r w:rsidRPr="00CC16EF">
              <w:rPr>
                <w:sz w:val="22"/>
                <w:szCs w:val="22"/>
              </w:rPr>
              <w:t>, limits on contributions and benefits, mainly section 415, and the top-heavy rules.</w:t>
            </w:r>
          </w:p>
          <w:p w14:paraId="1D047055" w14:textId="77777777" w:rsidR="00230F8B" w:rsidRPr="00CC16EF" w:rsidRDefault="00230F8B" w:rsidP="00CC16EF">
            <w:pPr>
              <w:rPr>
                <w:sz w:val="22"/>
                <w:szCs w:val="22"/>
              </w:rPr>
            </w:pPr>
          </w:p>
          <w:p w14:paraId="04350B91" w14:textId="77777777" w:rsidR="00CC16EF" w:rsidRPr="00CC16EF" w:rsidRDefault="00CC16EF" w:rsidP="00CC16EF">
            <w:pPr>
              <w:rPr>
                <w:sz w:val="22"/>
                <w:szCs w:val="22"/>
              </w:rPr>
            </w:pPr>
            <w:r w:rsidRPr="00CC16EF">
              <w:rPr>
                <w:sz w:val="22"/>
                <w:szCs w:val="22"/>
              </w:rPr>
              <w:t>READING:</w:t>
            </w:r>
          </w:p>
          <w:p w14:paraId="0209680F" w14:textId="461107B1" w:rsidR="00CC16EF" w:rsidRPr="00CC16EF" w:rsidRDefault="00B039EB" w:rsidP="00CC16EF">
            <w:pPr>
              <w:rPr>
                <w:sz w:val="22"/>
                <w:szCs w:val="22"/>
              </w:rPr>
            </w:pPr>
            <w:r>
              <w:rPr>
                <w:sz w:val="22"/>
                <w:szCs w:val="22"/>
              </w:rPr>
              <w:t xml:space="preserve">Section D of </w:t>
            </w:r>
            <w:r w:rsidR="00CC16EF" w:rsidRPr="00CC16EF">
              <w:rPr>
                <w:sz w:val="22"/>
                <w:szCs w:val="22"/>
              </w:rPr>
              <w:t xml:space="preserve">Chapter </w:t>
            </w:r>
            <w:r>
              <w:rPr>
                <w:sz w:val="22"/>
                <w:szCs w:val="22"/>
              </w:rPr>
              <w:t>8 of Casebook, Subsections 4-6 of Section B of Chapter 9 of Casebook; Section A of Chapter 10 of Casebook</w:t>
            </w:r>
            <w:r w:rsidR="00CC16EF" w:rsidRPr="00CC16EF">
              <w:rPr>
                <w:sz w:val="22"/>
                <w:szCs w:val="22"/>
              </w:rPr>
              <w:t>.</w:t>
            </w:r>
          </w:p>
          <w:p w14:paraId="3DE9CBA2" w14:textId="1FEA0D28" w:rsidR="00CC16EF" w:rsidRPr="00CC16EF" w:rsidRDefault="00CC16EF" w:rsidP="00CC16EF">
            <w:pPr>
              <w:rPr>
                <w:b/>
                <w:sz w:val="22"/>
                <w:szCs w:val="22"/>
              </w:rPr>
            </w:pPr>
            <w:r w:rsidRPr="00CC16EF">
              <w:rPr>
                <w:b/>
                <w:sz w:val="22"/>
                <w:szCs w:val="22"/>
              </w:rPr>
              <w:t xml:space="preserve">Code: </w:t>
            </w:r>
            <w:r w:rsidRPr="00CC16EF">
              <w:rPr>
                <w:sz w:val="22"/>
                <w:szCs w:val="22"/>
              </w:rPr>
              <w:t>§</w:t>
            </w:r>
            <w:r w:rsidR="00B039EB">
              <w:rPr>
                <w:sz w:val="22"/>
                <w:szCs w:val="22"/>
              </w:rPr>
              <w:t xml:space="preserve">§ 414(b), (c), (m), (n), and (o); </w:t>
            </w:r>
            <w:r w:rsidRPr="00CC16EF">
              <w:rPr>
                <w:sz w:val="22"/>
                <w:szCs w:val="22"/>
              </w:rPr>
              <w:t>414(r)</w:t>
            </w:r>
            <w:r w:rsidR="00DC7D99">
              <w:rPr>
                <w:sz w:val="22"/>
                <w:szCs w:val="22"/>
              </w:rPr>
              <w:t>, 415, 416</w:t>
            </w:r>
          </w:p>
          <w:p w14:paraId="4D35EAEF" w14:textId="46E3B433" w:rsidR="00CC16EF" w:rsidRPr="00CC16EF" w:rsidRDefault="00CC16EF" w:rsidP="00DC7D99">
            <w:pPr>
              <w:rPr>
                <w:b/>
                <w:sz w:val="22"/>
                <w:szCs w:val="22"/>
              </w:rPr>
            </w:pPr>
            <w:r w:rsidRPr="00CC16EF">
              <w:rPr>
                <w:b/>
                <w:sz w:val="22"/>
                <w:szCs w:val="22"/>
              </w:rPr>
              <w:t xml:space="preserve">Regs: </w:t>
            </w:r>
            <w:r w:rsidR="00B039EB" w:rsidRPr="00B039EB">
              <w:rPr>
                <w:sz w:val="22"/>
                <w:szCs w:val="22"/>
              </w:rPr>
              <w:t>§§ 1.414(b)</w:t>
            </w:r>
            <w:r w:rsidR="00B039EB">
              <w:rPr>
                <w:sz w:val="22"/>
                <w:szCs w:val="22"/>
              </w:rPr>
              <w:t xml:space="preserve">-1; 1.414(c)-1, -2, -3, -4, -5; </w:t>
            </w:r>
            <w:r w:rsidRPr="00CC16EF">
              <w:rPr>
                <w:sz w:val="22"/>
                <w:szCs w:val="22"/>
              </w:rPr>
              <w:t>1.414(r)-0 (including flow chart), -1(a), (b), (c)(1), -2(a), (b)(2)(i), -3(a), (b), -4, -5(a), (b), (c)</w:t>
            </w:r>
            <w:r w:rsidR="00DC7D99">
              <w:rPr>
                <w:sz w:val="22"/>
                <w:szCs w:val="22"/>
              </w:rPr>
              <w:t>; 1.415; 1.416</w:t>
            </w:r>
          </w:p>
        </w:tc>
      </w:tr>
      <w:tr w:rsidR="00CC16EF" w:rsidRPr="00CC16EF" w14:paraId="429D821E" w14:textId="77777777" w:rsidTr="0055422B">
        <w:trPr>
          <w:gridBefore w:val="1"/>
          <w:wBefore w:w="20" w:type="dxa"/>
          <w:trHeight w:hRule="exact" w:val="1499"/>
        </w:trPr>
        <w:tc>
          <w:tcPr>
            <w:tcW w:w="874" w:type="dxa"/>
            <w:tcBorders>
              <w:top w:val="single" w:sz="5" w:space="0" w:color="000000"/>
              <w:left w:val="single" w:sz="5" w:space="0" w:color="000000"/>
              <w:bottom w:val="single" w:sz="5" w:space="0" w:color="000000"/>
              <w:right w:val="single" w:sz="5" w:space="0" w:color="000000"/>
            </w:tcBorders>
            <w:vAlign w:val="center"/>
          </w:tcPr>
          <w:p w14:paraId="360A5FBE" w14:textId="77777777" w:rsidR="00CC16EF" w:rsidRPr="00CC16EF" w:rsidRDefault="00CC16EF" w:rsidP="00CC16EF">
            <w:pPr>
              <w:rPr>
                <w:sz w:val="22"/>
                <w:szCs w:val="22"/>
              </w:rPr>
            </w:pPr>
            <w:r w:rsidRPr="00CC16EF">
              <w:rPr>
                <w:sz w:val="22"/>
                <w:szCs w:val="22"/>
              </w:rPr>
              <w:lastRenderedPageBreak/>
              <w:t>8</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4707DCE8" w14:textId="77777777" w:rsidR="00CC16EF" w:rsidRPr="00CC16EF" w:rsidRDefault="00CC16EF" w:rsidP="00CC16EF">
            <w:pPr>
              <w:rPr>
                <w:sz w:val="22"/>
                <w:szCs w:val="22"/>
              </w:rPr>
            </w:pPr>
            <w:r w:rsidRPr="00CC16EF">
              <w:rPr>
                <w:sz w:val="22"/>
                <w:szCs w:val="22"/>
              </w:rPr>
              <w:t>Mar 6</w:t>
            </w:r>
          </w:p>
        </w:tc>
        <w:tc>
          <w:tcPr>
            <w:tcW w:w="7362" w:type="dxa"/>
            <w:tcBorders>
              <w:top w:val="single" w:sz="5" w:space="0" w:color="000000"/>
              <w:left w:val="single" w:sz="5" w:space="0" w:color="000000"/>
              <w:bottom w:val="single" w:sz="5" w:space="0" w:color="000000"/>
              <w:right w:val="single" w:sz="5" w:space="0" w:color="000000"/>
            </w:tcBorders>
          </w:tcPr>
          <w:p w14:paraId="2F4D6BA4" w14:textId="77777777" w:rsidR="00226443" w:rsidRDefault="00226443" w:rsidP="00DC7D99">
            <w:pPr>
              <w:rPr>
                <w:sz w:val="22"/>
                <w:szCs w:val="22"/>
              </w:rPr>
            </w:pPr>
          </w:p>
          <w:p w14:paraId="13B284CE" w14:textId="1F8AEA5B" w:rsidR="00CC16EF" w:rsidRPr="00CC16EF" w:rsidRDefault="00CC16EF" w:rsidP="00DC7D99">
            <w:pPr>
              <w:rPr>
                <w:sz w:val="22"/>
                <w:szCs w:val="22"/>
              </w:rPr>
            </w:pPr>
            <w:r w:rsidRPr="00CC16EF">
              <w:rPr>
                <w:sz w:val="22"/>
                <w:szCs w:val="22"/>
              </w:rPr>
              <w:t>We will finish our discussion of aggregated employers and plans, including the affiliated service group rules. We will then move on to the separate line of business material previously assigned. We will cover permitted disparity</w:t>
            </w:r>
            <w:r w:rsidR="00DC7D99">
              <w:rPr>
                <w:sz w:val="22"/>
                <w:szCs w:val="22"/>
              </w:rPr>
              <w:t xml:space="preserve"> (“</w:t>
            </w:r>
            <w:r w:rsidRPr="00CC16EF">
              <w:rPr>
                <w:sz w:val="22"/>
                <w:szCs w:val="22"/>
              </w:rPr>
              <w:t>integration with Social Security</w:t>
            </w:r>
            <w:r w:rsidR="00DC7D99">
              <w:rPr>
                <w:sz w:val="22"/>
                <w:szCs w:val="22"/>
              </w:rPr>
              <w:t>”)</w:t>
            </w:r>
            <w:r w:rsidRPr="00CC16EF">
              <w:rPr>
                <w:sz w:val="22"/>
                <w:szCs w:val="22"/>
              </w:rPr>
              <w:t>, limits on contributions and benefits, mainly section 415, and the top-heavy rules.</w:t>
            </w:r>
          </w:p>
        </w:tc>
      </w:tr>
      <w:tr w:rsidR="00CC16EF" w:rsidRPr="00CC16EF" w14:paraId="455EFD47" w14:textId="77777777" w:rsidTr="0055422B">
        <w:trPr>
          <w:gridBefore w:val="1"/>
          <w:wBefore w:w="20" w:type="dxa"/>
          <w:trHeight w:hRule="exact" w:val="1474"/>
        </w:trPr>
        <w:tc>
          <w:tcPr>
            <w:tcW w:w="874" w:type="dxa"/>
            <w:tcBorders>
              <w:top w:val="single" w:sz="5" w:space="0" w:color="000000"/>
              <w:left w:val="single" w:sz="5" w:space="0" w:color="000000"/>
              <w:bottom w:val="single" w:sz="5" w:space="0" w:color="000000"/>
              <w:right w:val="single" w:sz="5" w:space="0" w:color="000000"/>
            </w:tcBorders>
            <w:vAlign w:val="center"/>
          </w:tcPr>
          <w:p w14:paraId="2F9583FA" w14:textId="77777777" w:rsidR="00CC16EF" w:rsidRPr="00CC16EF" w:rsidRDefault="00CC16EF" w:rsidP="00CC16EF">
            <w:pPr>
              <w:rPr>
                <w:sz w:val="22"/>
                <w:szCs w:val="22"/>
              </w:rPr>
            </w:pPr>
            <w:r w:rsidRPr="00CC16EF">
              <w:rPr>
                <w:sz w:val="22"/>
                <w:szCs w:val="22"/>
              </w:rPr>
              <w:t>9</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15F4E7D0" w14:textId="77777777" w:rsidR="00CC16EF" w:rsidRPr="00CC16EF" w:rsidRDefault="00CC16EF" w:rsidP="00CC16EF">
            <w:pPr>
              <w:rPr>
                <w:sz w:val="22"/>
                <w:szCs w:val="22"/>
              </w:rPr>
            </w:pPr>
            <w:r w:rsidRPr="00CC16EF">
              <w:rPr>
                <w:sz w:val="22"/>
                <w:szCs w:val="22"/>
              </w:rPr>
              <w:t>Mar 13</w:t>
            </w:r>
          </w:p>
        </w:tc>
        <w:tc>
          <w:tcPr>
            <w:tcW w:w="7362" w:type="dxa"/>
            <w:tcBorders>
              <w:top w:val="single" w:sz="5" w:space="0" w:color="000000"/>
              <w:left w:val="single" w:sz="5" w:space="0" w:color="000000"/>
              <w:bottom w:val="single" w:sz="5" w:space="0" w:color="000000"/>
              <w:right w:val="single" w:sz="5" w:space="0" w:color="000000"/>
            </w:tcBorders>
          </w:tcPr>
          <w:p w14:paraId="34240861" w14:textId="77777777" w:rsidR="00DC7D99" w:rsidRDefault="00DC7D99" w:rsidP="00CC16EF">
            <w:pPr>
              <w:rPr>
                <w:sz w:val="22"/>
                <w:szCs w:val="22"/>
              </w:rPr>
            </w:pPr>
          </w:p>
          <w:p w14:paraId="6F6DCFCE" w14:textId="760C0C72" w:rsidR="00CC16EF" w:rsidRPr="00CC16EF" w:rsidRDefault="00CC16EF" w:rsidP="00CC16EF">
            <w:pPr>
              <w:rPr>
                <w:sz w:val="22"/>
                <w:szCs w:val="22"/>
              </w:rPr>
            </w:pPr>
            <w:r w:rsidRPr="00CC16EF">
              <w:rPr>
                <w:sz w:val="22"/>
                <w:szCs w:val="22"/>
              </w:rPr>
              <w:t xml:space="preserve">ERISA Fiduciary </w:t>
            </w:r>
            <w:r w:rsidR="00DC7D99">
              <w:rPr>
                <w:sz w:val="22"/>
                <w:szCs w:val="22"/>
              </w:rPr>
              <w:t>R</w:t>
            </w:r>
            <w:r w:rsidRPr="00CC16EF">
              <w:rPr>
                <w:sz w:val="22"/>
                <w:szCs w:val="22"/>
              </w:rPr>
              <w:t>ules and Prohibited Transactions</w:t>
            </w:r>
          </w:p>
          <w:p w14:paraId="03E1D2BB" w14:textId="77777777" w:rsidR="00DC7D99" w:rsidRDefault="00DC7D99" w:rsidP="00CC16EF">
            <w:pPr>
              <w:rPr>
                <w:sz w:val="22"/>
                <w:szCs w:val="22"/>
              </w:rPr>
            </w:pPr>
          </w:p>
          <w:p w14:paraId="62CA0958" w14:textId="656236EB" w:rsidR="00CC16EF" w:rsidRPr="00CC16EF" w:rsidRDefault="00CC16EF" w:rsidP="00CC16EF">
            <w:pPr>
              <w:rPr>
                <w:sz w:val="22"/>
                <w:szCs w:val="22"/>
              </w:rPr>
            </w:pPr>
            <w:r w:rsidRPr="00CC16EF">
              <w:rPr>
                <w:sz w:val="22"/>
                <w:szCs w:val="22"/>
              </w:rPr>
              <w:t>READING:</w:t>
            </w:r>
          </w:p>
          <w:p w14:paraId="7BD56A61" w14:textId="10DD6DA6" w:rsidR="00CC16EF" w:rsidRPr="00CC16EF" w:rsidRDefault="00CC16EF" w:rsidP="00DC7D99">
            <w:pPr>
              <w:rPr>
                <w:sz w:val="22"/>
                <w:szCs w:val="22"/>
              </w:rPr>
            </w:pPr>
            <w:r w:rsidRPr="00CC16EF">
              <w:rPr>
                <w:sz w:val="22"/>
                <w:szCs w:val="22"/>
              </w:rPr>
              <w:t>Chapter</w:t>
            </w:r>
            <w:r w:rsidR="00DC7D99">
              <w:rPr>
                <w:sz w:val="22"/>
                <w:szCs w:val="22"/>
              </w:rPr>
              <w:t>s</w:t>
            </w:r>
            <w:r w:rsidRPr="00CC16EF">
              <w:rPr>
                <w:sz w:val="22"/>
                <w:szCs w:val="22"/>
              </w:rPr>
              <w:t xml:space="preserve"> </w:t>
            </w:r>
            <w:r w:rsidR="00DC7D99">
              <w:rPr>
                <w:sz w:val="22"/>
                <w:szCs w:val="22"/>
              </w:rPr>
              <w:t>12, 13, and 14</w:t>
            </w:r>
            <w:r w:rsidRPr="00CC16EF">
              <w:rPr>
                <w:sz w:val="22"/>
                <w:szCs w:val="22"/>
              </w:rPr>
              <w:t xml:space="preserve"> of the </w:t>
            </w:r>
            <w:r w:rsidR="00DC7D99">
              <w:rPr>
                <w:sz w:val="22"/>
                <w:szCs w:val="22"/>
              </w:rPr>
              <w:t>Casebook</w:t>
            </w:r>
            <w:r w:rsidRPr="00CC16EF">
              <w:rPr>
                <w:sz w:val="22"/>
                <w:szCs w:val="22"/>
              </w:rPr>
              <w:t>.</w:t>
            </w:r>
          </w:p>
        </w:tc>
      </w:tr>
      <w:tr w:rsidR="00CC16EF" w:rsidRPr="00CC16EF" w14:paraId="6100BC9E" w14:textId="77777777" w:rsidTr="0055422B">
        <w:trPr>
          <w:gridBefore w:val="1"/>
          <w:wBefore w:w="20" w:type="dxa"/>
          <w:trHeight w:hRule="exact" w:val="777"/>
        </w:trPr>
        <w:tc>
          <w:tcPr>
            <w:tcW w:w="874" w:type="dxa"/>
            <w:tcBorders>
              <w:top w:val="single" w:sz="5" w:space="0" w:color="000000"/>
              <w:left w:val="single" w:sz="5" w:space="0" w:color="000000"/>
              <w:bottom w:val="single" w:sz="5" w:space="0" w:color="000000"/>
              <w:right w:val="single" w:sz="5" w:space="0" w:color="000000"/>
            </w:tcBorders>
          </w:tcPr>
          <w:p w14:paraId="68277850" w14:textId="77777777" w:rsidR="00CC16EF" w:rsidRPr="00CC16EF" w:rsidRDefault="00CC16EF" w:rsidP="00CC16EF">
            <w:pPr>
              <w:rPr>
                <w:sz w:val="22"/>
                <w:szCs w:val="22"/>
              </w:rPr>
            </w:pPr>
            <w:r w:rsidRPr="00CC16EF">
              <w:rPr>
                <w:sz w:val="22"/>
                <w:szCs w:val="22"/>
              </w:rPr>
              <w:t xml:space="preserve"> </w:t>
            </w:r>
          </w:p>
        </w:tc>
        <w:tc>
          <w:tcPr>
            <w:tcW w:w="1824" w:type="dxa"/>
            <w:gridSpan w:val="3"/>
            <w:tcBorders>
              <w:top w:val="single" w:sz="5" w:space="0" w:color="000000"/>
              <w:left w:val="single" w:sz="5" w:space="0" w:color="000000"/>
              <w:bottom w:val="single" w:sz="5" w:space="0" w:color="000000"/>
              <w:right w:val="single" w:sz="5" w:space="0" w:color="000000"/>
            </w:tcBorders>
          </w:tcPr>
          <w:p w14:paraId="4D3F8801" w14:textId="77777777" w:rsidR="00CC16EF" w:rsidRPr="00CC16EF" w:rsidRDefault="00CC16EF" w:rsidP="00CC16EF">
            <w:pPr>
              <w:rPr>
                <w:sz w:val="22"/>
                <w:szCs w:val="22"/>
              </w:rPr>
            </w:pPr>
            <w:r w:rsidRPr="00CC16EF">
              <w:rPr>
                <w:sz w:val="22"/>
                <w:szCs w:val="22"/>
              </w:rPr>
              <w:t xml:space="preserve"> </w:t>
            </w:r>
          </w:p>
        </w:tc>
        <w:tc>
          <w:tcPr>
            <w:tcW w:w="7362" w:type="dxa"/>
            <w:tcBorders>
              <w:top w:val="single" w:sz="5" w:space="0" w:color="000000"/>
              <w:left w:val="single" w:sz="5" w:space="0" w:color="000000"/>
              <w:bottom w:val="single" w:sz="5" w:space="0" w:color="000000"/>
              <w:right w:val="single" w:sz="5" w:space="0" w:color="000000"/>
            </w:tcBorders>
            <w:vAlign w:val="center"/>
          </w:tcPr>
          <w:p w14:paraId="19515A45" w14:textId="77777777" w:rsidR="00CC16EF" w:rsidRPr="00CC16EF" w:rsidRDefault="00CC16EF" w:rsidP="00CC16EF">
            <w:pPr>
              <w:rPr>
                <w:b/>
                <w:sz w:val="22"/>
                <w:szCs w:val="22"/>
              </w:rPr>
            </w:pPr>
            <w:r w:rsidRPr="00CC16EF">
              <w:rPr>
                <w:b/>
                <w:sz w:val="22"/>
                <w:szCs w:val="22"/>
              </w:rPr>
              <w:t>III. Employer-Sponsored Tax Favored Savings Plans – 401(k) (Classes Ten and Eleven)</w:t>
            </w:r>
          </w:p>
        </w:tc>
      </w:tr>
      <w:tr w:rsidR="00CC16EF" w:rsidRPr="00CC16EF" w14:paraId="2357C341" w14:textId="77777777" w:rsidTr="0055422B">
        <w:trPr>
          <w:gridBefore w:val="1"/>
          <w:wBefore w:w="20" w:type="dxa"/>
          <w:trHeight w:hRule="exact" w:val="2838"/>
        </w:trPr>
        <w:tc>
          <w:tcPr>
            <w:tcW w:w="874" w:type="dxa"/>
            <w:tcBorders>
              <w:top w:val="single" w:sz="5" w:space="0" w:color="000000"/>
              <w:left w:val="single" w:sz="5" w:space="0" w:color="000000"/>
              <w:bottom w:val="single" w:sz="5" w:space="0" w:color="000000"/>
              <w:right w:val="single" w:sz="5" w:space="0" w:color="000000"/>
            </w:tcBorders>
            <w:vAlign w:val="center"/>
          </w:tcPr>
          <w:p w14:paraId="4921F582" w14:textId="77777777" w:rsidR="00CC16EF" w:rsidRPr="00CC16EF" w:rsidRDefault="00CC16EF" w:rsidP="00CC16EF">
            <w:pPr>
              <w:rPr>
                <w:sz w:val="22"/>
                <w:szCs w:val="22"/>
              </w:rPr>
            </w:pPr>
            <w:r w:rsidRPr="00CC16EF">
              <w:rPr>
                <w:sz w:val="22"/>
                <w:szCs w:val="22"/>
              </w:rPr>
              <w:t>10</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36D445BB" w14:textId="77777777" w:rsidR="00CC16EF" w:rsidRPr="00CC16EF" w:rsidRDefault="00CC16EF" w:rsidP="00CC16EF">
            <w:pPr>
              <w:rPr>
                <w:sz w:val="22"/>
                <w:szCs w:val="22"/>
              </w:rPr>
            </w:pPr>
            <w:r w:rsidRPr="00CC16EF">
              <w:rPr>
                <w:sz w:val="22"/>
                <w:szCs w:val="22"/>
              </w:rPr>
              <w:t>Mar 20</w:t>
            </w:r>
          </w:p>
        </w:tc>
        <w:tc>
          <w:tcPr>
            <w:tcW w:w="7362" w:type="dxa"/>
            <w:tcBorders>
              <w:top w:val="single" w:sz="5" w:space="0" w:color="000000"/>
              <w:left w:val="single" w:sz="5" w:space="0" w:color="000000"/>
              <w:bottom w:val="single" w:sz="5" w:space="0" w:color="000000"/>
              <w:right w:val="single" w:sz="5" w:space="0" w:color="000000"/>
            </w:tcBorders>
          </w:tcPr>
          <w:p w14:paraId="48A73886" w14:textId="3EC66387" w:rsidR="00206EEB" w:rsidRDefault="00206EEB" w:rsidP="00CC16EF">
            <w:pPr>
              <w:rPr>
                <w:sz w:val="22"/>
                <w:szCs w:val="22"/>
              </w:rPr>
            </w:pPr>
          </w:p>
          <w:p w14:paraId="5BE50F8D" w14:textId="70496361" w:rsidR="00206EEB" w:rsidRDefault="00206EEB" w:rsidP="00CC16EF">
            <w:pPr>
              <w:rPr>
                <w:sz w:val="22"/>
                <w:szCs w:val="22"/>
              </w:rPr>
            </w:pPr>
            <w:r>
              <w:rPr>
                <w:sz w:val="22"/>
                <w:szCs w:val="22"/>
              </w:rPr>
              <w:t>Cash or Deferred Arrangements – 401(k)</w:t>
            </w:r>
          </w:p>
          <w:p w14:paraId="7988FFF5" w14:textId="77777777" w:rsidR="00206EEB" w:rsidRDefault="00206EEB" w:rsidP="00CC16EF">
            <w:pPr>
              <w:rPr>
                <w:sz w:val="22"/>
                <w:szCs w:val="22"/>
              </w:rPr>
            </w:pPr>
          </w:p>
          <w:p w14:paraId="0883F80B" w14:textId="475451C0" w:rsidR="00CC16EF" w:rsidRDefault="00CC16EF" w:rsidP="00CC16EF">
            <w:pPr>
              <w:rPr>
                <w:sz w:val="22"/>
                <w:szCs w:val="22"/>
              </w:rPr>
            </w:pPr>
            <w:r w:rsidRPr="00CC16EF">
              <w:rPr>
                <w:sz w:val="22"/>
                <w:szCs w:val="22"/>
              </w:rPr>
              <w:t xml:space="preserve">We will then turn to </w:t>
            </w:r>
            <w:r w:rsidR="00206EEB">
              <w:rPr>
                <w:sz w:val="22"/>
                <w:szCs w:val="22"/>
              </w:rPr>
              <w:t>cash-or-deferred arrangements (“</w:t>
            </w:r>
            <w:proofErr w:type="spellStart"/>
            <w:r w:rsidRPr="00CC16EF">
              <w:rPr>
                <w:sz w:val="22"/>
                <w:szCs w:val="22"/>
              </w:rPr>
              <w:t>CODAs</w:t>
            </w:r>
            <w:proofErr w:type="spellEnd"/>
            <w:r w:rsidR="00206EEB">
              <w:rPr>
                <w:sz w:val="22"/>
                <w:szCs w:val="22"/>
              </w:rPr>
              <w:t>”)</w:t>
            </w:r>
            <w:r w:rsidRPr="00CC16EF">
              <w:rPr>
                <w:sz w:val="22"/>
                <w:szCs w:val="22"/>
              </w:rPr>
              <w:t xml:space="preserve"> under 401(k) and (m).</w:t>
            </w:r>
          </w:p>
          <w:p w14:paraId="24278A4C" w14:textId="77777777" w:rsidR="00206EEB" w:rsidRPr="00CC16EF" w:rsidRDefault="00206EEB" w:rsidP="00CC16EF">
            <w:pPr>
              <w:rPr>
                <w:sz w:val="22"/>
                <w:szCs w:val="22"/>
              </w:rPr>
            </w:pPr>
          </w:p>
          <w:p w14:paraId="49CF810F" w14:textId="77777777" w:rsidR="00CC16EF" w:rsidRPr="00CC16EF" w:rsidRDefault="00CC16EF" w:rsidP="00CC16EF">
            <w:pPr>
              <w:rPr>
                <w:sz w:val="22"/>
                <w:szCs w:val="22"/>
              </w:rPr>
            </w:pPr>
            <w:r w:rsidRPr="00CC16EF">
              <w:rPr>
                <w:sz w:val="22"/>
                <w:szCs w:val="22"/>
              </w:rPr>
              <w:t>READING:</w:t>
            </w:r>
          </w:p>
          <w:p w14:paraId="3896E5BB" w14:textId="67F7D0C7" w:rsidR="00CC16EF" w:rsidRPr="00CC16EF" w:rsidRDefault="00656B9B" w:rsidP="00CC16EF">
            <w:pPr>
              <w:rPr>
                <w:sz w:val="22"/>
                <w:szCs w:val="22"/>
              </w:rPr>
            </w:pPr>
            <w:r>
              <w:rPr>
                <w:sz w:val="22"/>
                <w:szCs w:val="22"/>
              </w:rPr>
              <w:t xml:space="preserve">Paragraph 3 of </w:t>
            </w:r>
            <w:proofErr w:type="spellStart"/>
            <w:r>
              <w:rPr>
                <w:sz w:val="22"/>
                <w:szCs w:val="22"/>
              </w:rPr>
              <w:t>Susection</w:t>
            </w:r>
            <w:proofErr w:type="spellEnd"/>
            <w:r>
              <w:rPr>
                <w:sz w:val="22"/>
                <w:szCs w:val="22"/>
              </w:rPr>
              <w:t xml:space="preserve"> B of Chapter 2 of the Casebook.</w:t>
            </w:r>
          </w:p>
          <w:p w14:paraId="0FF80324" w14:textId="77777777" w:rsidR="00CC16EF" w:rsidRPr="00CC16EF" w:rsidRDefault="00CC16EF" w:rsidP="00CC16EF">
            <w:pPr>
              <w:rPr>
                <w:b/>
                <w:sz w:val="22"/>
                <w:szCs w:val="22"/>
              </w:rPr>
            </w:pPr>
            <w:r w:rsidRPr="00CC16EF">
              <w:rPr>
                <w:b/>
                <w:sz w:val="22"/>
                <w:szCs w:val="22"/>
              </w:rPr>
              <w:t xml:space="preserve">Code: </w:t>
            </w:r>
            <w:r w:rsidRPr="00CC16EF">
              <w:rPr>
                <w:sz w:val="22"/>
                <w:szCs w:val="22"/>
              </w:rPr>
              <w:t>Sections 401(k), 401(m)</w:t>
            </w:r>
          </w:p>
          <w:p w14:paraId="063B1315" w14:textId="7AA8D353" w:rsidR="00CC16EF" w:rsidRPr="00CC16EF" w:rsidRDefault="00CC16EF" w:rsidP="00656B9B">
            <w:pPr>
              <w:rPr>
                <w:sz w:val="22"/>
                <w:szCs w:val="22"/>
              </w:rPr>
            </w:pPr>
            <w:r w:rsidRPr="00CC16EF">
              <w:rPr>
                <w:b/>
                <w:sz w:val="22"/>
                <w:szCs w:val="22"/>
              </w:rPr>
              <w:t xml:space="preserve">Regs: </w:t>
            </w:r>
            <w:r w:rsidRPr="00CC16EF">
              <w:rPr>
                <w:sz w:val="22"/>
                <w:szCs w:val="22"/>
              </w:rPr>
              <w:t>Reg 1.401(k)-0; 1.401(k)-1, -2(a),</w:t>
            </w:r>
            <w:r w:rsidR="00656B9B">
              <w:rPr>
                <w:sz w:val="22"/>
                <w:szCs w:val="22"/>
              </w:rPr>
              <w:t xml:space="preserve"> </w:t>
            </w:r>
            <w:r w:rsidRPr="00CC16EF">
              <w:rPr>
                <w:sz w:val="22"/>
                <w:szCs w:val="22"/>
              </w:rPr>
              <w:t>(b</w:t>
            </w:r>
            <w:proofErr w:type="gramStart"/>
            <w:r w:rsidRPr="00CC16EF">
              <w:rPr>
                <w:sz w:val="22"/>
                <w:szCs w:val="22"/>
              </w:rPr>
              <w:t>),-</w:t>
            </w:r>
            <w:proofErr w:type="gramEnd"/>
            <w:r w:rsidRPr="00CC16EF">
              <w:rPr>
                <w:sz w:val="22"/>
                <w:szCs w:val="22"/>
              </w:rPr>
              <w:t>3(a),</w:t>
            </w:r>
            <w:r w:rsidR="00656B9B">
              <w:rPr>
                <w:sz w:val="22"/>
                <w:szCs w:val="22"/>
              </w:rPr>
              <w:t xml:space="preserve"> </w:t>
            </w:r>
            <w:r w:rsidRPr="00CC16EF">
              <w:rPr>
                <w:sz w:val="22"/>
                <w:szCs w:val="22"/>
              </w:rPr>
              <w:t>(b),</w:t>
            </w:r>
            <w:r w:rsidR="00656B9B">
              <w:rPr>
                <w:sz w:val="22"/>
                <w:szCs w:val="22"/>
              </w:rPr>
              <w:t xml:space="preserve"> </w:t>
            </w:r>
            <w:r w:rsidRPr="00CC16EF">
              <w:rPr>
                <w:sz w:val="22"/>
                <w:szCs w:val="22"/>
              </w:rPr>
              <w:t>(c), -4, -6</w:t>
            </w:r>
            <w:r w:rsidR="00656B9B">
              <w:rPr>
                <w:sz w:val="22"/>
                <w:szCs w:val="22"/>
              </w:rPr>
              <w:t xml:space="preserve">; </w:t>
            </w:r>
            <w:r w:rsidRPr="00CC16EF">
              <w:rPr>
                <w:sz w:val="22"/>
                <w:szCs w:val="22"/>
              </w:rPr>
              <w:t>Reg 1.401(m)-1, -2(a),</w:t>
            </w:r>
            <w:r w:rsidR="00656B9B">
              <w:rPr>
                <w:sz w:val="22"/>
                <w:szCs w:val="22"/>
              </w:rPr>
              <w:t xml:space="preserve"> </w:t>
            </w:r>
            <w:r w:rsidRPr="00CC16EF">
              <w:rPr>
                <w:sz w:val="22"/>
                <w:szCs w:val="22"/>
              </w:rPr>
              <w:t>(b), -3(a)-(d), -5</w:t>
            </w:r>
          </w:p>
        </w:tc>
      </w:tr>
      <w:tr w:rsidR="00CC16EF" w:rsidRPr="00CC16EF" w14:paraId="1452A807" w14:textId="77777777" w:rsidTr="0055422B">
        <w:trPr>
          <w:gridBefore w:val="1"/>
          <w:wBefore w:w="20" w:type="dxa"/>
          <w:trHeight w:hRule="exact" w:val="4314"/>
        </w:trPr>
        <w:tc>
          <w:tcPr>
            <w:tcW w:w="874" w:type="dxa"/>
            <w:tcBorders>
              <w:top w:val="single" w:sz="5" w:space="0" w:color="000000"/>
              <w:left w:val="single" w:sz="5" w:space="0" w:color="000000"/>
              <w:bottom w:val="single" w:sz="5" w:space="0" w:color="000000"/>
              <w:right w:val="single" w:sz="5" w:space="0" w:color="000000"/>
            </w:tcBorders>
            <w:vAlign w:val="center"/>
          </w:tcPr>
          <w:p w14:paraId="78EA580C" w14:textId="77777777" w:rsidR="00CC16EF" w:rsidRPr="00CC16EF" w:rsidRDefault="00CC16EF" w:rsidP="00CC16EF">
            <w:pPr>
              <w:rPr>
                <w:sz w:val="22"/>
                <w:szCs w:val="22"/>
              </w:rPr>
            </w:pPr>
            <w:r w:rsidRPr="00CC16EF">
              <w:rPr>
                <w:sz w:val="22"/>
                <w:szCs w:val="22"/>
              </w:rPr>
              <w:t>11</w:t>
            </w:r>
          </w:p>
        </w:tc>
        <w:tc>
          <w:tcPr>
            <w:tcW w:w="1824" w:type="dxa"/>
            <w:gridSpan w:val="3"/>
            <w:tcBorders>
              <w:top w:val="single" w:sz="5" w:space="0" w:color="000000"/>
              <w:left w:val="single" w:sz="5" w:space="0" w:color="000000"/>
              <w:bottom w:val="single" w:sz="5" w:space="0" w:color="000000"/>
              <w:right w:val="single" w:sz="5" w:space="0" w:color="000000"/>
            </w:tcBorders>
            <w:vAlign w:val="center"/>
          </w:tcPr>
          <w:p w14:paraId="5140B07B" w14:textId="77777777" w:rsidR="00CC16EF" w:rsidRPr="00CC16EF" w:rsidRDefault="00CC16EF" w:rsidP="00CC16EF">
            <w:pPr>
              <w:rPr>
                <w:sz w:val="22"/>
                <w:szCs w:val="22"/>
              </w:rPr>
            </w:pPr>
            <w:r w:rsidRPr="00CC16EF">
              <w:rPr>
                <w:sz w:val="22"/>
                <w:szCs w:val="22"/>
              </w:rPr>
              <w:t>Mar 27</w:t>
            </w:r>
          </w:p>
        </w:tc>
        <w:tc>
          <w:tcPr>
            <w:tcW w:w="7362" w:type="dxa"/>
            <w:tcBorders>
              <w:top w:val="single" w:sz="5" w:space="0" w:color="000000"/>
              <w:left w:val="single" w:sz="5" w:space="0" w:color="000000"/>
              <w:bottom w:val="single" w:sz="5" w:space="0" w:color="000000"/>
              <w:right w:val="single" w:sz="5" w:space="0" w:color="000000"/>
            </w:tcBorders>
          </w:tcPr>
          <w:p w14:paraId="496410B6" w14:textId="77777777" w:rsidR="00DC7D99" w:rsidRDefault="00DC7D99" w:rsidP="00CC16EF">
            <w:pPr>
              <w:rPr>
                <w:sz w:val="22"/>
                <w:szCs w:val="22"/>
              </w:rPr>
            </w:pPr>
          </w:p>
          <w:p w14:paraId="39BF3CB8" w14:textId="105B7BB7" w:rsidR="00CC16EF" w:rsidRPr="00CC16EF" w:rsidRDefault="00CC16EF" w:rsidP="00CC16EF">
            <w:pPr>
              <w:rPr>
                <w:sz w:val="22"/>
                <w:szCs w:val="22"/>
              </w:rPr>
            </w:pPr>
            <w:r w:rsidRPr="00CC16EF">
              <w:rPr>
                <w:sz w:val="22"/>
                <w:szCs w:val="22"/>
              </w:rPr>
              <w:t>Distributions (including anti-alienation)</w:t>
            </w:r>
          </w:p>
          <w:p w14:paraId="5B216E4C" w14:textId="77777777" w:rsidR="00DC7D99" w:rsidRDefault="00DC7D99" w:rsidP="00CC16EF">
            <w:pPr>
              <w:rPr>
                <w:sz w:val="22"/>
                <w:szCs w:val="22"/>
              </w:rPr>
            </w:pPr>
          </w:p>
          <w:p w14:paraId="7717D763" w14:textId="77777777" w:rsidR="00656B9B" w:rsidRDefault="00656B9B" w:rsidP="00CC16EF">
            <w:pPr>
              <w:rPr>
                <w:sz w:val="22"/>
                <w:szCs w:val="22"/>
              </w:rPr>
            </w:pPr>
            <w:r>
              <w:rPr>
                <w:sz w:val="22"/>
                <w:szCs w:val="22"/>
              </w:rPr>
              <w:t xml:space="preserve">We </w:t>
            </w:r>
            <w:r w:rsidR="00CC16EF" w:rsidRPr="00CC16EF">
              <w:rPr>
                <w:sz w:val="22"/>
                <w:szCs w:val="22"/>
              </w:rPr>
              <w:t>will start distributions, including vehicles for receipt of distributions, principally IRAs.</w:t>
            </w:r>
          </w:p>
          <w:p w14:paraId="7889371B" w14:textId="68AEDDD5" w:rsidR="00CC16EF" w:rsidRPr="00CC16EF" w:rsidRDefault="00CC16EF" w:rsidP="00CC16EF">
            <w:pPr>
              <w:rPr>
                <w:sz w:val="22"/>
                <w:szCs w:val="22"/>
              </w:rPr>
            </w:pPr>
          </w:p>
          <w:p w14:paraId="431405F6" w14:textId="77777777" w:rsidR="00CC16EF" w:rsidRPr="00CC16EF" w:rsidRDefault="00CC16EF" w:rsidP="00CC16EF">
            <w:pPr>
              <w:rPr>
                <w:sz w:val="22"/>
                <w:szCs w:val="22"/>
              </w:rPr>
            </w:pPr>
            <w:r w:rsidRPr="00CC16EF">
              <w:rPr>
                <w:sz w:val="22"/>
                <w:szCs w:val="22"/>
              </w:rPr>
              <w:t>READING:</w:t>
            </w:r>
          </w:p>
          <w:p w14:paraId="723591A5" w14:textId="42E2D99A" w:rsidR="00CC16EF" w:rsidRPr="00CC16EF" w:rsidRDefault="00CC16EF" w:rsidP="00CC16EF">
            <w:pPr>
              <w:rPr>
                <w:sz w:val="22"/>
                <w:szCs w:val="22"/>
              </w:rPr>
            </w:pPr>
            <w:r w:rsidRPr="00CC16EF">
              <w:rPr>
                <w:sz w:val="22"/>
                <w:szCs w:val="22"/>
              </w:rPr>
              <w:t>Chapter 1</w:t>
            </w:r>
            <w:r w:rsidR="00656B9B">
              <w:rPr>
                <w:sz w:val="22"/>
                <w:szCs w:val="22"/>
              </w:rPr>
              <w:t>1</w:t>
            </w:r>
            <w:r w:rsidRPr="00CC16EF">
              <w:rPr>
                <w:sz w:val="22"/>
                <w:szCs w:val="22"/>
              </w:rPr>
              <w:t xml:space="preserve"> of the </w:t>
            </w:r>
            <w:r w:rsidR="00656B9B">
              <w:rPr>
                <w:sz w:val="22"/>
                <w:szCs w:val="22"/>
              </w:rPr>
              <w:t>Casebook</w:t>
            </w:r>
          </w:p>
          <w:p w14:paraId="50B8ADB7" w14:textId="77777777" w:rsidR="00656B9B" w:rsidRDefault="00CC16EF" w:rsidP="00CC16EF">
            <w:pPr>
              <w:rPr>
                <w:sz w:val="22"/>
                <w:szCs w:val="22"/>
              </w:rPr>
            </w:pPr>
            <w:r w:rsidRPr="00CC16EF">
              <w:rPr>
                <w:b/>
                <w:sz w:val="22"/>
                <w:szCs w:val="22"/>
              </w:rPr>
              <w:t xml:space="preserve">Code: </w:t>
            </w:r>
            <w:r w:rsidRPr="00CC16EF">
              <w:rPr>
                <w:sz w:val="22"/>
                <w:szCs w:val="22"/>
              </w:rPr>
              <w:t>§§ 72(a), (b), (c), (d), (e), (m), (o), (p), (q), (s), (t)</w:t>
            </w:r>
            <w:r w:rsidR="00656B9B">
              <w:rPr>
                <w:sz w:val="22"/>
                <w:szCs w:val="22"/>
              </w:rPr>
              <w:t>;</w:t>
            </w:r>
            <w:r w:rsidRPr="00CC16EF">
              <w:rPr>
                <w:sz w:val="22"/>
                <w:szCs w:val="22"/>
              </w:rPr>
              <w:t xml:space="preserve"> 219; 401(a)(9); 402(a), (b), (c), (d), (e)(3),</w:t>
            </w:r>
            <w:r w:rsidR="00656B9B">
              <w:rPr>
                <w:sz w:val="22"/>
                <w:szCs w:val="22"/>
              </w:rPr>
              <w:t xml:space="preserve"> </w:t>
            </w:r>
            <w:r w:rsidRPr="00CC16EF">
              <w:rPr>
                <w:sz w:val="22"/>
                <w:szCs w:val="22"/>
              </w:rPr>
              <w:t>(4)(A),</w:t>
            </w:r>
            <w:r w:rsidR="00656B9B">
              <w:rPr>
                <w:sz w:val="22"/>
                <w:szCs w:val="22"/>
              </w:rPr>
              <w:t xml:space="preserve"> </w:t>
            </w:r>
            <w:r w:rsidRPr="00CC16EF">
              <w:rPr>
                <w:sz w:val="22"/>
                <w:szCs w:val="22"/>
              </w:rPr>
              <w:t>(B),</w:t>
            </w:r>
            <w:r w:rsidR="00656B9B">
              <w:rPr>
                <w:sz w:val="22"/>
                <w:szCs w:val="22"/>
              </w:rPr>
              <w:t xml:space="preserve"> </w:t>
            </w:r>
            <w:r w:rsidRPr="00CC16EF">
              <w:rPr>
                <w:sz w:val="22"/>
                <w:szCs w:val="22"/>
              </w:rPr>
              <w:t>(C),</w:t>
            </w:r>
            <w:r w:rsidR="00656B9B">
              <w:rPr>
                <w:sz w:val="22"/>
                <w:szCs w:val="22"/>
              </w:rPr>
              <w:t xml:space="preserve"> </w:t>
            </w:r>
            <w:r w:rsidRPr="00CC16EF">
              <w:rPr>
                <w:sz w:val="22"/>
                <w:szCs w:val="22"/>
              </w:rPr>
              <w:t>(D), (6), (f); 408; 408A</w:t>
            </w:r>
            <w:r w:rsidR="00656B9B">
              <w:rPr>
                <w:sz w:val="22"/>
                <w:szCs w:val="22"/>
              </w:rPr>
              <w:t>;</w:t>
            </w:r>
            <w:r w:rsidRPr="00CC16EF">
              <w:rPr>
                <w:sz w:val="22"/>
                <w:szCs w:val="22"/>
              </w:rPr>
              <w:t xml:space="preserve"> 3405; 4975(c)(1),</w:t>
            </w:r>
            <w:r w:rsidR="00656B9B">
              <w:rPr>
                <w:sz w:val="22"/>
                <w:szCs w:val="22"/>
              </w:rPr>
              <w:t xml:space="preserve"> </w:t>
            </w:r>
            <w:r w:rsidRPr="00CC16EF">
              <w:rPr>
                <w:sz w:val="22"/>
                <w:szCs w:val="22"/>
              </w:rPr>
              <w:t>(3), (d)(1), (e)(1), (2), (3), (f)(6)(A)</w:t>
            </w:r>
          </w:p>
          <w:p w14:paraId="0C215AA2" w14:textId="075A7938" w:rsidR="00CC16EF" w:rsidRPr="00CC16EF" w:rsidRDefault="00CC16EF" w:rsidP="00CC16EF">
            <w:pPr>
              <w:rPr>
                <w:b/>
                <w:sz w:val="22"/>
                <w:szCs w:val="22"/>
              </w:rPr>
            </w:pPr>
            <w:r w:rsidRPr="00CC16EF">
              <w:rPr>
                <w:b/>
                <w:sz w:val="22"/>
                <w:szCs w:val="22"/>
              </w:rPr>
              <w:t xml:space="preserve">Regs: </w:t>
            </w:r>
            <w:r w:rsidRPr="00CC16EF">
              <w:rPr>
                <w:sz w:val="22"/>
                <w:szCs w:val="22"/>
              </w:rPr>
              <w:t>§§ 1.402(c)-2 Q&amp;A 1, 2, 3, 4, 7, 11, 12; 1.408-1. -2, -4, -8; 1.408A-1, -2, -3.</w:t>
            </w:r>
          </w:p>
          <w:p w14:paraId="769EBDB5" w14:textId="77777777" w:rsidR="00CC16EF" w:rsidRPr="00CC16EF" w:rsidRDefault="00CC16EF" w:rsidP="00CC16EF">
            <w:pPr>
              <w:rPr>
                <w:b/>
                <w:sz w:val="22"/>
                <w:szCs w:val="22"/>
              </w:rPr>
            </w:pPr>
            <w:r w:rsidRPr="00CC16EF">
              <w:rPr>
                <w:b/>
                <w:sz w:val="22"/>
                <w:szCs w:val="22"/>
              </w:rPr>
              <w:t xml:space="preserve">Code: </w:t>
            </w:r>
            <w:r w:rsidRPr="00CC16EF">
              <w:rPr>
                <w:sz w:val="22"/>
                <w:szCs w:val="22"/>
              </w:rPr>
              <w:t>§§ 414(p), 401(a)(11), (13).</w:t>
            </w:r>
          </w:p>
          <w:p w14:paraId="42E0C62F" w14:textId="34E9137D" w:rsidR="00CC16EF" w:rsidRPr="00CC16EF" w:rsidRDefault="00CC16EF" w:rsidP="00CC16EF">
            <w:pPr>
              <w:rPr>
                <w:b/>
                <w:sz w:val="22"/>
                <w:szCs w:val="22"/>
              </w:rPr>
            </w:pPr>
            <w:r w:rsidRPr="00CC16EF">
              <w:rPr>
                <w:b/>
                <w:sz w:val="22"/>
                <w:szCs w:val="22"/>
              </w:rPr>
              <w:t xml:space="preserve">Regs: </w:t>
            </w:r>
            <w:r w:rsidRPr="00CC16EF">
              <w:rPr>
                <w:sz w:val="22"/>
                <w:szCs w:val="22"/>
              </w:rPr>
              <w:t>§§1.401-1(b)(1)(i), (ii);</w:t>
            </w:r>
            <w:r w:rsidR="00656B9B">
              <w:rPr>
                <w:sz w:val="22"/>
                <w:szCs w:val="22"/>
              </w:rPr>
              <w:t xml:space="preserve"> </w:t>
            </w:r>
            <w:r w:rsidRPr="00CC16EF">
              <w:rPr>
                <w:sz w:val="22"/>
                <w:szCs w:val="22"/>
              </w:rPr>
              <w:t>1.401(a)-11; 1.401(a)-13</w:t>
            </w:r>
          </w:p>
          <w:p w14:paraId="706F7806" w14:textId="77777777" w:rsidR="00656B9B" w:rsidRDefault="00656B9B" w:rsidP="00CC16EF">
            <w:pPr>
              <w:rPr>
                <w:sz w:val="22"/>
                <w:szCs w:val="22"/>
              </w:rPr>
            </w:pPr>
          </w:p>
          <w:p w14:paraId="523E5E9A" w14:textId="79136411" w:rsidR="00656B9B" w:rsidRDefault="00CC16EF" w:rsidP="00CC16EF">
            <w:pPr>
              <w:rPr>
                <w:sz w:val="22"/>
                <w:szCs w:val="22"/>
              </w:rPr>
            </w:pPr>
            <w:r w:rsidRPr="00CC16EF">
              <w:rPr>
                <w:sz w:val="22"/>
                <w:szCs w:val="22"/>
              </w:rPr>
              <w:t>We will touch on IRAs primarily as rollover destinations</w:t>
            </w:r>
            <w:r w:rsidR="00656B9B">
              <w:rPr>
                <w:sz w:val="22"/>
                <w:szCs w:val="22"/>
              </w:rPr>
              <w:t xml:space="preserve">.  </w:t>
            </w:r>
            <w:r w:rsidR="00656B9B" w:rsidRPr="00656B9B">
              <w:rPr>
                <w:sz w:val="22"/>
                <w:szCs w:val="22"/>
              </w:rPr>
              <w:t>I am not going to hold you responsible for IRAs, other than as rollover vehicles, on the exam.</w:t>
            </w:r>
          </w:p>
          <w:p w14:paraId="441FD59C" w14:textId="58E084E8" w:rsidR="00CC16EF" w:rsidRPr="00CC16EF" w:rsidRDefault="00CC16EF" w:rsidP="00CC16EF">
            <w:pPr>
              <w:rPr>
                <w:sz w:val="22"/>
                <w:szCs w:val="22"/>
              </w:rPr>
            </w:pPr>
          </w:p>
        </w:tc>
      </w:tr>
      <w:tr w:rsidR="00CC16EF" w:rsidRPr="00CC16EF" w14:paraId="28C8261F" w14:textId="77777777" w:rsidTr="0055422B">
        <w:trPr>
          <w:trHeight w:hRule="exact" w:val="1666"/>
        </w:trPr>
        <w:tc>
          <w:tcPr>
            <w:tcW w:w="900" w:type="dxa"/>
            <w:gridSpan w:val="3"/>
            <w:tcBorders>
              <w:top w:val="single" w:sz="5" w:space="0" w:color="000000"/>
              <w:left w:val="single" w:sz="5" w:space="0" w:color="000000"/>
              <w:bottom w:val="single" w:sz="5" w:space="0" w:color="000000"/>
              <w:right w:val="single" w:sz="5" w:space="0" w:color="000000"/>
            </w:tcBorders>
          </w:tcPr>
          <w:p w14:paraId="1D340879" w14:textId="347D2269" w:rsidR="00CC16EF" w:rsidRPr="00CC16EF" w:rsidRDefault="00CC16EF" w:rsidP="00CC16EF">
            <w:pPr>
              <w:rPr>
                <w:sz w:val="22"/>
                <w:szCs w:val="22"/>
              </w:rPr>
            </w:pPr>
          </w:p>
        </w:tc>
        <w:tc>
          <w:tcPr>
            <w:tcW w:w="1800" w:type="dxa"/>
            <w:tcBorders>
              <w:top w:val="single" w:sz="5" w:space="0" w:color="000000"/>
              <w:left w:val="single" w:sz="5" w:space="0" w:color="000000"/>
              <w:bottom w:val="single" w:sz="5" w:space="0" w:color="000000"/>
              <w:right w:val="single" w:sz="5" w:space="0" w:color="000000"/>
            </w:tcBorders>
          </w:tcPr>
          <w:p w14:paraId="7035BBB5" w14:textId="77777777" w:rsidR="00CC16EF" w:rsidRPr="00CC16EF" w:rsidRDefault="00CC16EF" w:rsidP="00CC16EF">
            <w:pPr>
              <w:rPr>
                <w:sz w:val="22"/>
                <w:szCs w:val="22"/>
              </w:rPr>
            </w:pPr>
            <w:r w:rsidRPr="00CC16EF">
              <w:rPr>
                <w:sz w:val="22"/>
                <w:szCs w:val="22"/>
              </w:rPr>
              <w:t xml:space="preserve"> </w:t>
            </w:r>
          </w:p>
        </w:tc>
        <w:tc>
          <w:tcPr>
            <w:tcW w:w="7380" w:type="dxa"/>
            <w:gridSpan w:val="2"/>
            <w:tcBorders>
              <w:top w:val="single" w:sz="5" w:space="0" w:color="000000"/>
              <w:left w:val="single" w:sz="5" w:space="0" w:color="000000"/>
              <w:bottom w:val="single" w:sz="5" w:space="0" w:color="000000"/>
              <w:right w:val="single" w:sz="5" w:space="0" w:color="000000"/>
            </w:tcBorders>
          </w:tcPr>
          <w:p w14:paraId="67286502" w14:textId="77777777" w:rsidR="00226443" w:rsidRDefault="00226443" w:rsidP="00CC16EF">
            <w:pPr>
              <w:rPr>
                <w:b/>
                <w:sz w:val="22"/>
                <w:szCs w:val="22"/>
              </w:rPr>
            </w:pPr>
          </w:p>
          <w:p w14:paraId="586EFFF8" w14:textId="08F62CFC" w:rsidR="00CC16EF" w:rsidRPr="00CC16EF" w:rsidRDefault="00CC16EF" w:rsidP="00CC16EF">
            <w:pPr>
              <w:rPr>
                <w:b/>
                <w:sz w:val="22"/>
                <w:szCs w:val="22"/>
              </w:rPr>
            </w:pPr>
            <w:r w:rsidRPr="00CC16EF">
              <w:rPr>
                <w:b/>
                <w:sz w:val="22"/>
                <w:szCs w:val="22"/>
              </w:rPr>
              <w:t xml:space="preserve">IV. Nonqualified Deferred Compensation (Classes Twelve </w:t>
            </w:r>
            <w:r w:rsidR="000E6BB1">
              <w:rPr>
                <w:b/>
                <w:sz w:val="22"/>
                <w:szCs w:val="22"/>
              </w:rPr>
              <w:t>and</w:t>
            </w:r>
            <w:r w:rsidRPr="00CC16EF">
              <w:rPr>
                <w:b/>
                <w:sz w:val="22"/>
                <w:szCs w:val="22"/>
              </w:rPr>
              <w:t xml:space="preserve"> Thirteen)</w:t>
            </w:r>
          </w:p>
          <w:p w14:paraId="355EB89E" w14:textId="77777777" w:rsidR="00CC16EF" w:rsidRPr="00CC16EF" w:rsidRDefault="00CC16EF" w:rsidP="00CC16EF">
            <w:pPr>
              <w:numPr>
                <w:ilvl w:val="0"/>
                <w:numId w:val="43"/>
              </w:numPr>
              <w:tabs>
                <w:tab w:val="clear" w:pos="216"/>
              </w:tabs>
              <w:rPr>
                <w:sz w:val="22"/>
                <w:szCs w:val="22"/>
              </w:rPr>
            </w:pPr>
            <w:r w:rsidRPr="00CC16EF">
              <w:rPr>
                <w:sz w:val="22"/>
                <w:szCs w:val="22"/>
              </w:rPr>
              <w:t>Cash Nonqualified Deferred Compensation – Rabbi Trusts, etc.</w:t>
            </w:r>
          </w:p>
          <w:p w14:paraId="0DDD51FB" w14:textId="208CDC49" w:rsidR="00CC16EF" w:rsidRPr="00CC16EF" w:rsidRDefault="00CC16EF" w:rsidP="00CC16EF">
            <w:pPr>
              <w:numPr>
                <w:ilvl w:val="0"/>
                <w:numId w:val="43"/>
              </w:numPr>
              <w:tabs>
                <w:tab w:val="clear" w:pos="216"/>
              </w:tabs>
              <w:rPr>
                <w:sz w:val="22"/>
                <w:szCs w:val="22"/>
              </w:rPr>
            </w:pPr>
            <w:r w:rsidRPr="00CC16EF">
              <w:rPr>
                <w:sz w:val="22"/>
                <w:szCs w:val="22"/>
              </w:rPr>
              <w:t>Stock</w:t>
            </w:r>
            <w:r w:rsidR="000E6BB1">
              <w:rPr>
                <w:sz w:val="22"/>
                <w:szCs w:val="22"/>
              </w:rPr>
              <w:noBreakHyphen/>
            </w:r>
            <w:r w:rsidRPr="00CC16EF">
              <w:rPr>
                <w:sz w:val="22"/>
                <w:szCs w:val="22"/>
              </w:rPr>
              <w:t>Based Deferred Compensation</w:t>
            </w:r>
          </w:p>
          <w:p w14:paraId="7E9EAFB8" w14:textId="77777777" w:rsidR="00CC16EF" w:rsidRPr="00CC16EF" w:rsidRDefault="00CC16EF" w:rsidP="00656B9B">
            <w:pPr>
              <w:numPr>
                <w:ilvl w:val="0"/>
                <w:numId w:val="43"/>
              </w:numPr>
              <w:tabs>
                <w:tab w:val="clear" w:pos="216"/>
              </w:tabs>
              <w:ind w:right="3957"/>
              <w:rPr>
                <w:sz w:val="22"/>
                <w:szCs w:val="22"/>
              </w:rPr>
            </w:pPr>
            <w:r w:rsidRPr="00CC16EF">
              <w:rPr>
                <w:sz w:val="22"/>
                <w:szCs w:val="22"/>
              </w:rPr>
              <w:t>Section 409A</w:t>
            </w:r>
          </w:p>
        </w:tc>
      </w:tr>
      <w:tr w:rsidR="00CC16EF" w:rsidRPr="00CC16EF" w14:paraId="751AB605" w14:textId="77777777" w:rsidTr="0055422B">
        <w:trPr>
          <w:trHeight w:hRule="exact" w:val="2314"/>
        </w:trPr>
        <w:tc>
          <w:tcPr>
            <w:tcW w:w="900" w:type="dxa"/>
            <w:gridSpan w:val="3"/>
            <w:tcBorders>
              <w:top w:val="single" w:sz="5" w:space="0" w:color="000000"/>
              <w:left w:val="single" w:sz="5" w:space="0" w:color="000000"/>
              <w:bottom w:val="single" w:sz="5" w:space="0" w:color="000000"/>
              <w:right w:val="single" w:sz="5" w:space="0" w:color="000000"/>
            </w:tcBorders>
            <w:vAlign w:val="center"/>
          </w:tcPr>
          <w:p w14:paraId="216B4BE7" w14:textId="77777777" w:rsidR="00CC16EF" w:rsidRPr="00CC16EF" w:rsidRDefault="00CC16EF" w:rsidP="00CC16EF">
            <w:pPr>
              <w:rPr>
                <w:sz w:val="22"/>
                <w:szCs w:val="22"/>
              </w:rPr>
            </w:pPr>
            <w:r w:rsidRPr="00CC16EF">
              <w:rPr>
                <w:sz w:val="22"/>
                <w:szCs w:val="22"/>
              </w:rPr>
              <w:lastRenderedPageBreak/>
              <w:t>12</w:t>
            </w:r>
          </w:p>
        </w:tc>
        <w:tc>
          <w:tcPr>
            <w:tcW w:w="1800" w:type="dxa"/>
            <w:tcBorders>
              <w:top w:val="single" w:sz="5" w:space="0" w:color="000000"/>
              <w:left w:val="single" w:sz="5" w:space="0" w:color="000000"/>
              <w:bottom w:val="single" w:sz="5" w:space="0" w:color="000000"/>
              <w:right w:val="single" w:sz="5" w:space="0" w:color="000000"/>
            </w:tcBorders>
            <w:vAlign w:val="center"/>
          </w:tcPr>
          <w:p w14:paraId="2C4BB230" w14:textId="77777777" w:rsidR="00CC16EF" w:rsidRPr="00CC16EF" w:rsidRDefault="00CC16EF" w:rsidP="00CC16EF">
            <w:pPr>
              <w:rPr>
                <w:sz w:val="22"/>
                <w:szCs w:val="22"/>
              </w:rPr>
            </w:pPr>
            <w:r w:rsidRPr="00CC16EF">
              <w:rPr>
                <w:sz w:val="22"/>
                <w:szCs w:val="22"/>
              </w:rPr>
              <w:t>Apr 3</w:t>
            </w:r>
          </w:p>
        </w:tc>
        <w:tc>
          <w:tcPr>
            <w:tcW w:w="7380" w:type="dxa"/>
            <w:gridSpan w:val="2"/>
            <w:tcBorders>
              <w:top w:val="single" w:sz="5" w:space="0" w:color="000000"/>
              <w:left w:val="single" w:sz="5" w:space="0" w:color="000000"/>
              <w:bottom w:val="single" w:sz="5" w:space="0" w:color="000000"/>
              <w:right w:val="single" w:sz="5" w:space="0" w:color="000000"/>
            </w:tcBorders>
          </w:tcPr>
          <w:p w14:paraId="28BD5BC1" w14:textId="77777777" w:rsidR="000E6BB1" w:rsidRDefault="000E6BB1" w:rsidP="00656B9B">
            <w:pPr>
              <w:ind w:right="2337"/>
              <w:rPr>
                <w:sz w:val="22"/>
                <w:szCs w:val="22"/>
              </w:rPr>
            </w:pPr>
          </w:p>
          <w:p w14:paraId="6EFFAA09" w14:textId="026D2CA5" w:rsidR="00CC16EF" w:rsidRPr="00CC16EF" w:rsidRDefault="00CC16EF" w:rsidP="000E6BB1">
            <w:pPr>
              <w:ind w:right="360"/>
              <w:rPr>
                <w:sz w:val="22"/>
                <w:szCs w:val="22"/>
              </w:rPr>
            </w:pPr>
            <w:r w:rsidRPr="00CC16EF">
              <w:rPr>
                <w:sz w:val="22"/>
                <w:szCs w:val="22"/>
              </w:rPr>
              <w:t xml:space="preserve">We will discuss cash </w:t>
            </w:r>
            <w:proofErr w:type="spellStart"/>
            <w:r w:rsidRPr="00CC16EF">
              <w:rPr>
                <w:sz w:val="22"/>
                <w:szCs w:val="22"/>
              </w:rPr>
              <w:t>NQDC</w:t>
            </w:r>
            <w:proofErr w:type="spellEnd"/>
            <w:r w:rsidRPr="00CC16EF">
              <w:rPr>
                <w:sz w:val="22"/>
                <w:szCs w:val="22"/>
              </w:rPr>
              <w:t xml:space="preserve"> before passage of 409A. We will then turn to section 409A in the cash </w:t>
            </w:r>
            <w:proofErr w:type="spellStart"/>
            <w:r w:rsidRPr="00CC16EF">
              <w:rPr>
                <w:sz w:val="22"/>
                <w:szCs w:val="22"/>
              </w:rPr>
              <w:t>NQDC</w:t>
            </w:r>
            <w:proofErr w:type="spellEnd"/>
            <w:r w:rsidRPr="00CC16EF">
              <w:rPr>
                <w:sz w:val="22"/>
                <w:szCs w:val="22"/>
              </w:rPr>
              <w:t xml:space="preserve"> context.</w:t>
            </w:r>
          </w:p>
          <w:p w14:paraId="599E707C" w14:textId="77777777" w:rsidR="000E6BB1" w:rsidRDefault="000E6BB1" w:rsidP="00CC16EF">
            <w:pPr>
              <w:rPr>
                <w:sz w:val="22"/>
                <w:szCs w:val="22"/>
              </w:rPr>
            </w:pPr>
          </w:p>
          <w:p w14:paraId="612B09DD" w14:textId="31565F9A" w:rsidR="00CC16EF" w:rsidRPr="00CC16EF" w:rsidRDefault="00CC16EF" w:rsidP="00CC16EF">
            <w:pPr>
              <w:rPr>
                <w:sz w:val="22"/>
                <w:szCs w:val="22"/>
              </w:rPr>
            </w:pPr>
            <w:r w:rsidRPr="00CC16EF">
              <w:rPr>
                <w:sz w:val="22"/>
                <w:szCs w:val="22"/>
              </w:rPr>
              <w:t>READING:</w:t>
            </w:r>
          </w:p>
          <w:p w14:paraId="232AA329" w14:textId="25C8FD18" w:rsidR="000E6BB1" w:rsidRPr="000E6BB1" w:rsidRDefault="000E6BB1" w:rsidP="00CC16EF">
            <w:pPr>
              <w:rPr>
                <w:sz w:val="22"/>
                <w:szCs w:val="22"/>
              </w:rPr>
            </w:pPr>
            <w:r>
              <w:rPr>
                <w:b/>
                <w:sz w:val="22"/>
                <w:szCs w:val="22"/>
              </w:rPr>
              <w:t>Code sections:</w:t>
            </w:r>
            <w:r>
              <w:rPr>
                <w:sz w:val="22"/>
                <w:szCs w:val="22"/>
              </w:rPr>
              <w:t xml:space="preserve"> 409A</w:t>
            </w:r>
          </w:p>
          <w:p w14:paraId="4B264105" w14:textId="0C68950C" w:rsidR="00CC16EF" w:rsidRPr="00CC16EF" w:rsidRDefault="00CC16EF" w:rsidP="00CC16EF">
            <w:pPr>
              <w:rPr>
                <w:b/>
                <w:sz w:val="22"/>
                <w:szCs w:val="22"/>
              </w:rPr>
            </w:pPr>
            <w:r w:rsidRPr="00CC16EF">
              <w:rPr>
                <w:b/>
                <w:sz w:val="22"/>
                <w:szCs w:val="22"/>
              </w:rPr>
              <w:t>Reg sections:</w:t>
            </w:r>
          </w:p>
          <w:p w14:paraId="07A8E30A" w14:textId="66156D1F" w:rsidR="00CC16EF" w:rsidRPr="00CC16EF" w:rsidRDefault="00CC16EF" w:rsidP="000E6BB1">
            <w:pPr>
              <w:rPr>
                <w:sz w:val="22"/>
                <w:szCs w:val="22"/>
              </w:rPr>
            </w:pPr>
            <w:r w:rsidRPr="00CC16EF">
              <w:rPr>
                <w:sz w:val="22"/>
                <w:szCs w:val="22"/>
              </w:rPr>
              <w:t>1.409A-1</w:t>
            </w:r>
            <w:r w:rsidR="000E6BB1">
              <w:rPr>
                <w:sz w:val="22"/>
                <w:szCs w:val="22"/>
              </w:rPr>
              <w:t>, -2, -3, -4 (proposed), -5, -6</w:t>
            </w:r>
          </w:p>
        </w:tc>
      </w:tr>
      <w:tr w:rsidR="00CC16EF" w:rsidRPr="00CC16EF" w14:paraId="688A1101" w14:textId="77777777" w:rsidTr="0055422B">
        <w:trPr>
          <w:trHeight w:hRule="exact" w:val="3511"/>
        </w:trPr>
        <w:tc>
          <w:tcPr>
            <w:tcW w:w="900" w:type="dxa"/>
            <w:gridSpan w:val="3"/>
            <w:tcBorders>
              <w:top w:val="single" w:sz="5" w:space="0" w:color="000000"/>
              <w:left w:val="single" w:sz="5" w:space="0" w:color="000000"/>
              <w:bottom w:val="single" w:sz="5" w:space="0" w:color="000000"/>
              <w:right w:val="single" w:sz="5" w:space="0" w:color="000000"/>
            </w:tcBorders>
            <w:vAlign w:val="center"/>
          </w:tcPr>
          <w:p w14:paraId="1CC5D149" w14:textId="77777777" w:rsidR="00CC16EF" w:rsidRPr="00CC16EF" w:rsidRDefault="00CC16EF" w:rsidP="00CC16EF">
            <w:pPr>
              <w:rPr>
                <w:sz w:val="22"/>
                <w:szCs w:val="22"/>
              </w:rPr>
            </w:pPr>
            <w:r w:rsidRPr="00CC16EF">
              <w:rPr>
                <w:sz w:val="22"/>
                <w:szCs w:val="22"/>
              </w:rPr>
              <w:t>13</w:t>
            </w:r>
          </w:p>
        </w:tc>
        <w:tc>
          <w:tcPr>
            <w:tcW w:w="1800" w:type="dxa"/>
            <w:tcBorders>
              <w:top w:val="single" w:sz="5" w:space="0" w:color="000000"/>
              <w:left w:val="single" w:sz="5" w:space="0" w:color="000000"/>
              <w:bottom w:val="single" w:sz="5" w:space="0" w:color="000000"/>
              <w:right w:val="single" w:sz="5" w:space="0" w:color="000000"/>
            </w:tcBorders>
            <w:vAlign w:val="center"/>
          </w:tcPr>
          <w:p w14:paraId="6BFA8D8C" w14:textId="77777777" w:rsidR="00CC16EF" w:rsidRPr="00CC16EF" w:rsidRDefault="00CC16EF" w:rsidP="00CC16EF">
            <w:pPr>
              <w:rPr>
                <w:sz w:val="22"/>
                <w:szCs w:val="22"/>
              </w:rPr>
            </w:pPr>
            <w:r w:rsidRPr="00CC16EF">
              <w:rPr>
                <w:sz w:val="22"/>
                <w:szCs w:val="22"/>
              </w:rPr>
              <w:t>Apr 10</w:t>
            </w:r>
          </w:p>
        </w:tc>
        <w:tc>
          <w:tcPr>
            <w:tcW w:w="7380" w:type="dxa"/>
            <w:gridSpan w:val="2"/>
            <w:tcBorders>
              <w:top w:val="single" w:sz="5" w:space="0" w:color="000000"/>
              <w:left w:val="single" w:sz="5" w:space="0" w:color="000000"/>
              <w:bottom w:val="single" w:sz="5" w:space="0" w:color="000000"/>
              <w:right w:val="single" w:sz="5" w:space="0" w:color="000000"/>
            </w:tcBorders>
          </w:tcPr>
          <w:p w14:paraId="74C2F114" w14:textId="77777777" w:rsidR="000E6BB1" w:rsidRDefault="000E6BB1" w:rsidP="00CC16EF">
            <w:pPr>
              <w:rPr>
                <w:sz w:val="22"/>
                <w:szCs w:val="22"/>
              </w:rPr>
            </w:pPr>
          </w:p>
          <w:p w14:paraId="06151E43" w14:textId="01ABA2E6" w:rsidR="00CC16EF" w:rsidRPr="00CC16EF" w:rsidRDefault="00CC16EF" w:rsidP="00CC16EF">
            <w:pPr>
              <w:rPr>
                <w:sz w:val="22"/>
                <w:szCs w:val="22"/>
              </w:rPr>
            </w:pPr>
            <w:r w:rsidRPr="00CC16EF">
              <w:rPr>
                <w:sz w:val="22"/>
                <w:szCs w:val="22"/>
              </w:rPr>
              <w:t xml:space="preserve">This week we discuss stock as compensation - Restricted Stock, Stock </w:t>
            </w:r>
            <w:proofErr w:type="gramStart"/>
            <w:r w:rsidRPr="00CC16EF">
              <w:rPr>
                <w:sz w:val="22"/>
                <w:szCs w:val="22"/>
              </w:rPr>
              <w:t>Options</w:t>
            </w:r>
            <w:proofErr w:type="gramEnd"/>
            <w:r w:rsidRPr="00CC16EF">
              <w:rPr>
                <w:sz w:val="22"/>
                <w:szCs w:val="22"/>
              </w:rPr>
              <w:t xml:space="preserve"> and other varieties of stock</w:t>
            </w:r>
            <w:r w:rsidR="000E6BB1">
              <w:rPr>
                <w:sz w:val="22"/>
                <w:szCs w:val="22"/>
              </w:rPr>
              <w:t>-based</w:t>
            </w:r>
            <w:r w:rsidRPr="00CC16EF">
              <w:rPr>
                <w:sz w:val="22"/>
                <w:szCs w:val="22"/>
              </w:rPr>
              <w:t xml:space="preserve"> arrangements. We’ll discuss the Martin </w:t>
            </w:r>
            <w:proofErr w:type="gramStart"/>
            <w:r w:rsidRPr="00CC16EF">
              <w:rPr>
                <w:sz w:val="22"/>
                <w:szCs w:val="22"/>
              </w:rPr>
              <w:t>cases in particular, as well as</w:t>
            </w:r>
            <w:proofErr w:type="gramEnd"/>
            <w:r w:rsidRPr="00CC16EF">
              <w:rPr>
                <w:sz w:val="22"/>
                <w:szCs w:val="22"/>
              </w:rPr>
              <w:t xml:space="preserve"> reviewing Minor, and the rest of the rulings assigned. </w:t>
            </w:r>
            <w:r w:rsidR="000E6BB1">
              <w:rPr>
                <w:sz w:val="22"/>
                <w:szCs w:val="22"/>
              </w:rPr>
              <w:t xml:space="preserve"> </w:t>
            </w:r>
            <w:r w:rsidRPr="00CC16EF">
              <w:rPr>
                <w:sz w:val="22"/>
                <w:szCs w:val="22"/>
              </w:rPr>
              <w:t xml:space="preserve">We will continue looking at </w:t>
            </w:r>
            <w:r w:rsidR="000E6BB1">
              <w:rPr>
                <w:sz w:val="22"/>
                <w:szCs w:val="22"/>
              </w:rPr>
              <w:t>S</w:t>
            </w:r>
            <w:r w:rsidRPr="00CC16EF">
              <w:rPr>
                <w:sz w:val="22"/>
                <w:szCs w:val="22"/>
              </w:rPr>
              <w:t>ection 409A, which was enacted in 2004, taking effect in 2005 and later (although that was delayed by the IRS while they were drafting regulations).</w:t>
            </w:r>
          </w:p>
          <w:p w14:paraId="7336A11E" w14:textId="3094FE4A" w:rsidR="00CC16EF" w:rsidRPr="00CC16EF" w:rsidRDefault="00CC16EF" w:rsidP="00CC16EF">
            <w:pPr>
              <w:rPr>
                <w:sz w:val="22"/>
                <w:szCs w:val="22"/>
              </w:rPr>
            </w:pPr>
            <w:r w:rsidRPr="00CC16EF">
              <w:rPr>
                <w:sz w:val="22"/>
                <w:szCs w:val="22"/>
              </w:rPr>
              <w:t>READING:</w:t>
            </w:r>
          </w:p>
          <w:p w14:paraId="11CFDF42" w14:textId="1E4AC68C" w:rsidR="00CC16EF" w:rsidRPr="00CC16EF" w:rsidRDefault="00CC16EF" w:rsidP="00CC16EF">
            <w:pPr>
              <w:rPr>
                <w:sz w:val="22"/>
                <w:szCs w:val="22"/>
              </w:rPr>
            </w:pPr>
            <w:r w:rsidRPr="00CC16EF">
              <w:rPr>
                <w:sz w:val="22"/>
                <w:szCs w:val="22"/>
              </w:rPr>
              <w:t xml:space="preserve">Please review the 409A materials </w:t>
            </w:r>
            <w:r w:rsidR="000E6BB1">
              <w:rPr>
                <w:sz w:val="22"/>
                <w:szCs w:val="22"/>
              </w:rPr>
              <w:t xml:space="preserve">assigned above, </w:t>
            </w:r>
            <w:r w:rsidRPr="00CC16EF">
              <w:rPr>
                <w:sz w:val="22"/>
                <w:szCs w:val="22"/>
              </w:rPr>
              <w:t>focusing on discussions of how 409A has affected stock options, SARs, etc.</w:t>
            </w:r>
          </w:p>
          <w:p w14:paraId="6EB4950E" w14:textId="77777777" w:rsidR="00CC16EF" w:rsidRPr="00CC16EF" w:rsidRDefault="00CC16EF" w:rsidP="00CC16EF">
            <w:pPr>
              <w:rPr>
                <w:b/>
                <w:sz w:val="22"/>
                <w:szCs w:val="22"/>
              </w:rPr>
            </w:pPr>
            <w:r w:rsidRPr="00CC16EF">
              <w:rPr>
                <w:b/>
                <w:sz w:val="22"/>
                <w:szCs w:val="22"/>
              </w:rPr>
              <w:t>Code and Regs:</w:t>
            </w:r>
          </w:p>
          <w:p w14:paraId="1467ADFA" w14:textId="2D218003" w:rsidR="00CC16EF" w:rsidRPr="00CC16EF" w:rsidRDefault="00CC16EF" w:rsidP="000E6BB1">
            <w:pPr>
              <w:rPr>
                <w:sz w:val="22"/>
                <w:szCs w:val="22"/>
              </w:rPr>
            </w:pPr>
            <w:r w:rsidRPr="00CC16EF">
              <w:rPr>
                <w:sz w:val="22"/>
                <w:szCs w:val="22"/>
              </w:rPr>
              <w:t>IRC Section 83 and accompanying regulations; section 409A and regulations addressing</w:t>
            </w:r>
            <w:r w:rsidR="000E6BB1">
              <w:rPr>
                <w:sz w:val="22"/>
                <w:szCs w:val="22"/>
              </w:rPr>
              <w:t xml:space="preserve"> </w:t>
            </w:r>
            <w:r w:rsidRPr="00CC16EF">
              <w:rPr>
                <w:sz w:val="22"/>
                <w:szCs w:val="22"/>
              </w:rPr>
              <w:t>compensatory stock arrangements.</w:t>
            </w:r>
          </w:p>
        </w:tc>
      </w:tr>
      <w:tr w:rsidR="00CC16EF" w:rsidRPr="00CC16EF" w14:paraId="6CCE8845" w14:textId="77777777" w:rsidTr="0055422B">
        <w:trPr>
          <w:trHeight w:hRule="exact" w:val="631"/>
        </w:trPr>
        <w:tc>
          <w:tcPr>
            <w:tcW w:w="900" w:type="dxa"/>
            <w:gridSpan w:val="3"/>
            <w:tcBorders>
              <w:top w:val="single" w:sz="5" w:space="0" w:color="000000"/>
              <w:left w:val="single" w:sz="5" w:space="0" w:color="000000"/>
              <w:bottom w:val="single" w:sz="5" w:space="0" w:color="000000"/>
              <w:right w:val="single" w:sz="5" w:space="0" w:color="000000"/>
            </w:tcBorders>
          </w:tcPr>
          <w:p w14:paraId="13BB549E" w14:textId="77777777" w:rsidR="00CC16EF" w:rsidRPr="00CC16EF" w:rsidRDefault="00CC16EF" w:rsidP="00CC16EF">
            <w:pPr>
              <w:rPr>
                <w:sz w:val="22"/>
                <w:szCs w:val="22"/>
              </w:rPr>
            </w:pPr>
            <w:r w:rsidRPr="00CC16EF">
              <w:rPr>
                <w:sz w:val="22"/>
                <w:szCs w:val="22"/>
              </w:rPr>
              <w:t xml:space="preserve"> </w:t>
            </w:r>
          </w:p>
        </w:tc>
        <w:tc>
          <w:tcPr>
            <w:tcW w:w="1800" w:type="dxa"/>
            <w:tcBorders>
              <w:top w:val="single" w:sz="5" w:space="0" w:color="000000"/>
              <w:left w:val="single" w:sz="5" w:space="0" w:color="000000"/>
              <w:bottom w:val="single" w:sz="5" w:space="0" w:color="000000"/>
              <w:right w:val="single" w:sz="5" w:space="0" w:color="000000"/>
            </w:tcBorders>
          </w:tcPr>
          <w:p w14:paraId="14A9F18A" w14:textId="77777777" w:rsidR="00CC16EF" w:rsidRPr="00CC16EF" w:rsidRDefault="00CC16EF" w:rsidP="00CC16EF">
            <w:pPr>
              <w:rPr>
                <w:sz w:val="22"/>
                <w:szCs w:val="22"/>
              </w:rPr>
            </w:pPr>
            <w:r w:rsidRPr="00CC16EF">
              <w:rPr>
                <w:sz w:val="22"/>
                <w:szCs w:val="22"/>
              </w:rPr>
              <w:t xml:space="preserve"> </w:t>
            </w:r>
          </w:p>
        </w:tc>
        <w:tc>
          <w:tcPr>
            <w:tcW w:w="7380" w:type="dxa"/>
            <w:gridSpan w:val="2"/>
            <w:tcBorders>
              <w:top w:val="single" w:sz="5" w:space="0" w:color="000000"/>
              <w:left w:val="single" w:sz="5" w:space="0" w:color="000000"/>
              <w:bottom w:val="single" w:sz="5" w:space="0" w:color="000000"/>
              <w:right w:val="single" w:sz="5" w:space="0" w:color="000000"/>
            </w:tcBorders>
            <w:vAlign w:val="center"/>
          </w:tcPr>
          <w:p w14:paraId="56A40131" w14:textId="77777777" w:rsidR="00CC16EF" w:rsidRPr="00CC16EF" w:rsidRDefault="00CC16EF" w:rsidP="00CC16EF">
            <w:pPr>
              <w:rPr>
                <w:b/>
                <w:sz w:val="22"/>
                <w:szCs w:val="22"/>
              </w:rPr>
            </w:pPr>
            <w:r w:rsidRPr="00CC16EF">
              <w:rPr>
                <w:b/>
                <w:sz w:val="22"/>
                <w:szCs w:val="22"/>
              </w:rPr>
              <w:t>V. Miscellaneous Issues</w:t>
            </w:r>
          </w:p>
        </w:tc>
      </w:tr>
      <w:tr w:rsidR="00CC16EF" w:rsidRPr="00CC16EF" w14:paraId="51B9A61D" w14:textId="77777777" w:rsidTr="0055422B">
        <w:trPr>
          <w:trHeight w:hRule="exact" w:val="1531"/>
        </w:trPr>
        <w:tc>
          <w:tcPr>
            <w:tcW w:w="900" w:type="dxa"/>
            <w:gridSpan w:val="3"/>
            <w:tcBorders>
              <w:top w:val="single" w:sz="5" w:space="0" w:color="000000"/>
              <w:left w:val="single" w:sz="5" w:space="0" w:color="000000"/>
              <w:bottom w:val="single" w:sz="5" w:space="0" w:color="000000"/>
              <w:right w:val="single" w:sz="5" w:space="0" w:color="000000"/>
            </w:tcBorders>
            <w:vAlign w:val="center"/>
          </w:tcPr>
          <w:p w14:paraId="4A4EA63E" w14:textId="77777777" w:rsidR="00CC16EF" w:rsidRPr="00CC16EF" w:rsidRDefault="00CC16EF" w:rsidP="00CC16EF">
            <w:pPr>
              <w:rPr>
                <w:sz w:val="22"/>
                <w:szCs w:val="22"/>
              </w:rPr>
            </w:pPr>
            <w:r w:rsidRPr="00CC16EF">
              <w:rPr>
                <w:sz w:val="22"/>
                <w:szCs w:val="22"/>
              </w:rPr>
              <w:t>14</w:t>
            </w:r>
          </w:p>
        </w:tc>
        <w:tc>
          <w:tcPr>
            <w:tcW w:w="1800" w:type="dxa"/>
            <w:tcBorders>
              <w:top w:val="single" w:sz="5" w:space="0" w:color="000000"/>
              <w:left w:val="single" w:sz="5" w:space="0" w:color="000000"/>
              <w:bottom w:val="single" w:sz="5" w:space="0" w:color="000000"/>
              <w:right w:val="single" w:sz="5" w:space="0" w:color="000000"/>
            </w:tcBorders>
            <w:vAlign w:val="center"/>
          </w:tcPr>
          <w:p w14:paraId="464C7702" w14:textId="77777777" w:rsidR="00CC16EF" w:rsidRPr="00CC16EF" w:rsidRDefault="00CC16EF" w:rsidP="00CC16EF">
            <w:pPr>
              <w:rPr>
                <w:sz w:val="22"/>
                <w:szCs w:val="22"/>
              </w:rPr>
            </w:pPr>
            <w:r w:rsidRPr="00CC16EF">
              <w:rPr>
                <w:sz w:val="22"/>
                <w:szCs w:val="22"/>
              </w:rPr>
              <w:t>Apr 17</w:t>
            </w:r>
          </w:p>
        </w:tc>
        <w:tc>
          <w:tcPr>
            <w:tcW w:w="7380" w:type="dxa"/>
            <w:gridSpan w:val="2"/>
            <w:tcBorders>
              <w:top w:val="single" w:sz="5" w:space="0" w:color="000000"/>
              <w:left w:val="single" w:sz="5" w:space="0" w:color="000000"/>
              <w:bottom w:val="single" w:sz="5" w:space="0" w:color="000000"/>
              <w:right w:val="single" w:sz="5" w:space="0" w:color="000000"/>
            </w:tcBorders>
            <w:vAlign w:val="center"/>
          </w:tcPr>
          <w:p w14:paraId="250F22DF" w14:textId="77777777" w:rsidR="00F461FA" w:rsidRDefault="00CC16EF" w:rsidP="000E6BB1">
            <w:pPr>
              <w:rPr>
                <w:sz w:val="22"/>
                <w:szCs w:val="22"/>
              </w:rPr>
            </w:pPr>
            <w:r w:rsidRPr="00CC16EF">
              <w:rPr>
                <w:sz w:val="22"/>
                <w:szCs w:val="22"/>
              </w:rPr>
              <w:t xml:space="preserve">Miscellaneous issues (including </w:t>
            </w:r>
            <w:r w:rsidR="000E6BB1">
              <w:rPr>
                <w:sz w:val="22"/>
                <w:szCs w:val="22"/>
              </w:rPr>
              <w:t>280G, 457, 403(b), 4958, 4960</w:t>
            </w:r>
            <w:r w:rsidRPr="00CC16EF">
              <w:rPr>
                <w:sz w:val="22"/>
                <w:szCs w:val="22"/>
              </w:rPr>
              <w:t>)</w:t>
            </w:r>
          </w:p>
          <w:p w14:paraId="77CB9402" w14:textId="77777777" w:rsidR="00F461FA" w:rsidRDefault="00F461FA" w:rsidP="000E6BB1">
            <w:pPr>
              <w:rPr>
                <w:sz w:val="22"/>
                <w:szCs w:val="22"/>
              </w:rPr>
            </w:pPr>
          </w:p>
          <w:p w14:paraId="74F46D90" w14:textId="77777777" w:rsidR="00F461FA" w:rsidRPr="00CC16EF" w:rsidRDefault="00F461FA" w:rsidP="00F461FA">
            <w:pPr>
              <w:rPr>
                <w:sz w:val="22"/>
                <w:szCs w:val="22"/>
              </w:rPr>
            </w:pPr>
            <w:r w:rsidRPr="00CC16EF">
              <w:rPr>
                <w:sz w:val="22"/>
                <w:szCs w:val="22"/>
              </w:rPr>
              <w:t>READING:</w:t>
            </w:r>
          </w:p>
          <w:p w14:paraId="319B2ED7" w14:textId="153200FC" w:rsidR="00F461FA" w:rsidRPr="00CC16EF" w:rsidRDefault="00F461FA" w:rsidP="00F461FA">
            <w:pPr>
              <w:rPr>
                <w:b/>
                <w:sz w:val="22"/>
                <w:szCs w:val="22"/>
              </w:rPr>
            </w:pPr>
            <w:r>
              <w:rPr>
                <w:b/>
                <w:sz w:val="22"/>
                <w:szCs w:val="22"/>
              </w:rPr>
              <w:t>Code sections:</w:t>
            </w:r>
            <w:r>
              <w:rPr>
                <w:sz w:val="22"/>
                <w:szCs w:val="22"/>
              </w:rPr>
              <w:t xml:space="preserve"> 280G, 4999, 457, 403(b), 4958, 4960</w:t>
            </w:r>
          </w:p>
          <w:p w14:paraId="7E7E636F" w14:textId="4CE631C1" w:rsidR="00CC16EF" w:rsidRPr="00CC16EF" w:rsidRDefault="00CC16EF" w:rsidP="00F461FA">
            <w:pPr>
              <w:rPr>
                <w:sz w:val="22"/>
                <w:szCs w:val="22"/>
              </w:rPr>
            </w:pPr>
          </w:p>
        </w:tc>
      </w:tr>
    </w:tbl>
    <w:p w14:paraId="0743C534" w14:textId="175C9385" w:rsidR="00CC16EF" w:rsidRDefault="00CC16EF" w:rsidP="000E6BB1">
      <w:pPr>
        <w:rPr>
          <w:sz w:val="22"/>
          <w:szCs w:val="22"/>
        </w:rPr>
      </w:pPr>
    </w:p>
    <w:sectPr w:rsidR="00CC16EF" w:rsidSect="00352430">
      <w:headerReference w:type="even" r:id="rId13"/>
      <w:headerReference w:type="default" r:id="rId14"/>
      <w:footerReference w:type="even" r:id="rId15"/>
      <w:footerReference w:type="default" r:id="rId16"/>
      <w:headerReference w:type="first" r:id="rId17"/>
      <w:footerReference w:type="first" r:id="rId18"/>
      <w:pgSz w:w="12240" w:h="15840"/>
      <w:pgMar w:top="1296"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EA59" w14:textId="77777777" w:rsidR="009609B0" w:rsidRDefault="009609B0">
      <w:r>
        <w:separator/>
      </w:r>
    </w:p>
  </w:endnote>
  <w:endnote w:type="continuationSeparator" w:id="0">
    <w:p w14:paraId="1CB34B11" w14:textId="77777777" w:rsidR="009609B0" w:rsidRDefault="009609B0">
      <w:r>
        <w:continuationSeparator/>
      </w:r>
    </w:p>
  </w:endnote>
  <w:endnote w:type="continuationNotice" w:id="1">
    <w:p w14:paraId="11A9E1C3" w14:textId="77777777" w:rsidR="009609B0" w:rsidRDefault="00960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7C6002" w:rsidRDefault="007C6002">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7C6002" w:rsidRDefault="007C6002">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5871E1C8" w:rsidR="007C6002" w:rsidRPr="00F335E2" w:rsidRDefault="007C6002">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00FD2190">
      <w:rPr>
        <w:rFonts w:eastAsia="Calibri"/>
        <w:noProof/>
        <w:sz w:val="22"/>
        <w:szCs w:val="22"/>
      </w:rPr>
      <w:t>2</w:t>
    </w:r>
    <w:r w:rsidRPr="00F335E2">
      <w:rPr>
        <w:rFonts w:eastAsia="Calibri"/>
        <w:sz w:val="22"/>
        <w:szCs w:val="22"/>
      </w:rPr>
      <w:fldChar w:fldCharType="end"/>
    </w:r>
    <w:r w:rsidRPr="00F335E2">
      <w:rPr>
        <w:rFonts w:eastAsia="Calibri"/>
        <w:sz w:val="22"/>
        <w:szCs w:val="22"/>
      </w:rPr>
      <w:t xml:space="preserve"> </w:t>
    </w:r>
  </w:p>
  <w:p w14:paraId="35E58129" w14:textId="77777777" w:rsidR="007C6002" w:rsidRDefault="007C6002">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7C6002" w:rsidRDefault="007C6002">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6D48" w14:textId="77777777" w:rsidR="009609B0" w:rsidRDefault="009609B0">
      <w:r>
        <w:separator/>
      </w:r>
    </w:p>
  </w:footnote>
  <w:footnote w:type="continuationSeparator" w:id="0">
    <w:p w14:paraId="132EB01A" w14:textId="77777777" w:rsidR="009609B0" w:rsidRDefault="009609B0">
      <w:r>
        <w:continuationSeparator/>
      </w:r>
    </w:p>
  </w:footnote>
  <w:footnote w:type="continuationNotice" w:id="1">
    <w:p w14:paraId="3DDB5D5B" w14:textId="77777777" w:rsidR="009609B0" w:rsidRDefault="00960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7C6002" w:rsidRDefault="007C6002">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7C6002" w:rsidRDefault="007C6002">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7C6002" w:rsidRDefault="007C6002">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F5D6A"/>
    <w:multiLevelType w:val="multilevel"/>
    <w:tmpl w:val="D5CA1D90"/>
    <w:lvl w:ilvl="0">
      <w:start w:val="1"/>
      <w:numFmt w:val="upperLetter"/>
      <w:lvlText w:val="%1."/>
      <w:lvlJc w:val="left"/>
      <w:pPr>
        <w:tabs>
          <w:tab w:val="left" w:pos="288"/>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70F90"/>
    <w:multiLevelType w:val="multilevel"/>
    <w:tmpl w:val="64C20170"/>
    <w:lvl w:ilvl="0">
      <w:start w:val="1"/>
      <w:numFmt w:val="upperLetter"/>
      <w:lvlText w:val="%1."/>
      <w:lvlJc w:val="left"/>
      <w:pPr>
        <w:tabs>
          <w:tab w:val="left" w:pos="216"/>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9"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370301561">
    <w:abstractNumId w:val="42"/>
  </w:num>
  <w:num w:numId="2" w16cid:durableId="581183314">
    <w:abstractNumId w:val="21"/>
  </w:num>
  <w:num w:numId="3" w16cid:durableId="2068721278">
    <w:abstractNumId w:val="23"/>
  </w:num>
  <w:num w:numId="4" w16cid:durableId="1051538252">
    <w:abstractNumId w:val="35"/>
  </w:num>
  <w:num w:numId="5" w16cid:durableId="522594650">
    <w:abstractNumId w:val="38"/>
  </w:num>
  <w:num w:numId="6" w16cid:durableId="2056007903">
    <w:abstractNumId w:val="9"/>
  </w:num>
  <w:num w:numId="7" w16cid:durableId="1809320731">
    <w:abstractNumId w:val="33"/>
  </w:num>
  <w:num w:numId="8" w16cid:durableId="675351941">
    <w:abstractNumId w:val="41"/>
  </w:num>
  <w:num w:numId="9" w16cid:durableId="915673782">
    <w:abstractNumId w:val="18"/>
  </w:num>
  <w:num w:numId="10" w16cid:durableId="216822936">
    <w:abstractNumId w:val="32"/>
  </w:num>
  <w:num w:numId="11" w16cid:durableId="1972856865">
    <w:abstractNumId w:val="13"/>
  </w:num>
  <w:num w:numId="12" w16cid:durableId="1181166625">
    <w:abstractNumId w:val="12"/>
  </w:num>
  <w:num w:numId="13" w16cid:durableId="2015910274">
    <w:abstractNumId w:val="29"/>
  </w:num>
  <w:num w:numId="14" w16cid:durableId="2104109602">
    <w:abstractNumId w:val="27"/>
  </w:num>
  <w:num w:numId="15" w16cid:durableId="1131678584">
    <w:abstractNumId w:val="24"/>
  </w:num>
  <w:num w:numId="16" w16cid:durableId="82842317">
    <w:abstractNumId w:val="36"/>
  </w:num>
  <w:num w:numId="17" w16cid:durableId="18434084">
    <w:abstractNumId w:val="0"/>
  </w:num>
  <w:num w:numId="18" w16cid:durableId="304894831">
    <w:abstractNumId w:val="22"/>
  </w:num>
  <w:num w:numId="19" w16cid:durableId="1957518141">
    <w:abstractNumId w:val="19"/>
  </w:num>
  <w:num w:numId="20" w16cid:durableId="743114692">
    <w:abstractNumId w:val="3"/>
  </w:num>
  <w:num w:numId="21" w16cid:durableId="991638118">
    <w:abstractNumId w:val="40"/>
  </w:num>
  <w:num w:numId="22" w16cid:durableId="240607215">
    <w:abstractNumId w:val="20"/>
  </w:num>
  <w:num w:numId="23" w16cid:durableId="45567968">
    <w:abstractNumId w:val="39"/>
  </w:num>
  <w:num w:numId="24" w16cid:durableId="767166159">
    <w:abstractNumId w:val="14"/>
  </w:num>
  <w:num w:numId="25" w16cid:durableId="2101019491">
    <w:abstractNumId w:val="37"/>
  </w:num>
  <w:num w:numId="26" w16cid:durableId="163205343">
    <w:abstractNumId w:val="30"/>
  </w:num>
  <w:num w:numId="27" w16cid:durableId="144124682">
    <w:abstractNumId w:val="5"/>
  </w:num>
  <w:num w:numId="28" w16cid:durableId="439451159">
    <w:abstractNumId w:val="7"/>
  </w:num>
  <w:num w:numId="29" w16cid:durableId="1625961276">
    <w:abstractNumId w:val="10"/>
  </w:num>
  <w:num w:numId="30" w16cid:durableId="212734124">
    <w:abstractNumId w:val="28"/>
  </w:num>
  <w:num w:numId="31" w16cid:durableId="1407341722">
    <w:abstractNumId w:val="16"/>
  </w:num>
  <w:num w:numId="32" w16cid:durableId="1336759266">
    <w:abstractNumId w:val="6"/>
  </w:num>
  <w:num w:numId="33" w16cid:durableId="428895466">
    <w:abstractNumId w:val="17"/>
  </w:num>
  <w:num w:numId="34" w16cid:durableId="1454520141">
    <w:abstractNumId w:val="1"/>
  </w:num>
  <w:num w:numId="35" w16cid:durableId="1069815309">
    <w:abstractNumId w:val="34"/>
  </w:num>
  <w:num w:numId="36" w16cid:durableId="771052171">
    <w:abstractNumId w:val="8"/>
  </w:num>
  <w:num w:numId="37" w16cid:durableId="1581911600">
    <w:abstractNumId w:val="31"/>
  </w:num>
  <w:num w:numId="38" w16cid:durableId="1156922322">
    <w:abstractNumId w:val="25"/>
  </w:num>
  <w:num w:numId="39" w16cid:durableId="1455907706">
    <w:abstractNumId w:val="11"/>
  </w:num>
  <w:num w:numId="40" w16cid:durableId="1552108781">
    <w:abstractNumId w:val="4"/>
  </w:num>
  <w:num w:numId="41" w16cid:durableId="560485254">
    <w:abstractNumId w:val="15"/>
  </w:num>
  <w:num w:numId="42" w16cid:durableId="1617247662">
    <w:abstractNumId w:val="2"/>
  </w:num>
  <w:num w:numId="43" w16cid:durableId="164570012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NoTrailerPromptID" w:val="Active.130463193.1"/>
    <w:docVar w:name="zzmp10TP" w:val="1643550"/>
    <w:docVar w:name="zzmpCompatibilityMode" w:val="15"/>
    <w:docVar w:name="zzmpLegacyTrailerRemoved" w:val="True"/>
  </w:docVars>
  <w:rsids>
    <w:rsidRoot w:val="001E2603"/>
    <w:rsid w:val="000065D4"/>
    <w:rsid w:val="00007C76"/>
    <w:rsid w:val="00007CBA"/>
    <w:rsid w:val="00011AF6"/>
    <w:rsid w:val="00012276"/>
    <w:rsid w:val="00015FB7"/>
    <w:rsid w:val="00017585"/>
    <w:rsid w:val="000207CC"/>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51FF"/>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E6BB1"/>
    <w:rsid w:val="000F3B96"/>
    <w:rsid w:val="000F6D98"/>
    <w:rsid w:val="001003BA"/>
    <w:rsid w:val="00104CEB"/>
    <w:rsid w:val="00107AED"/>
    <w:rsid w:val="00111A28"/>
    <w:rsid w:val="00111AC4"/>
    <w:rsid w:val="00116056"/>
    <w:rsid w:val="00117C31"/>
    <w:rsid w:val="0012227E"/>
    <w:rsid w:val="0012350D"/>
    <w:rsid w:val="001238B2"/>
    <w:rsid w:val="00133B43"/>
    <w:rsid w:val="0013463C"/>
    <w:rsid w:val="0013473A"/>
    <w:rsid w:val="00136EAE"/>
    <w:rsid w:val="00140EA4"/>
    <w:rsid w:val="0014224E"/>
    <w:rsid w:val="001431FA"/>
    <w:rsid w:val="00143E24"/>
    <w:rsid w:val="00153319"/>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06EEB"/>
    <w:rsid w:val="00211B13"/>
    <w:rsid w:val="00226443"/>
    <w:rsid w:val="00230F8B"/>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2BB"/>
    <w:rsid w:val="002A2451"/>
    <w:rsid w:val="002A2D89"/>
    <w:rsid w:val="002A69F5"/>
    <w:rsid w:val="002A6EA4"/>
    <w:rsid w:val="002B2DBD"/>
    <w:rsid w:val="002B6D6E"/>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430"/>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0D8"/>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1DD6"/>
    <w:rsid w:val="005365A8"/>
    <w:rsid w:val="00542B95"/>
    <w:rsid w:val="005435FC"/>
    <w:rsid w:val="00543714"/>
    <w:rsid w:val="00546231"/>
    <w:rsid w:val="00546B6D"/>
    <w:rsid w:val="0055422B"/>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56B9B"/>
    <w:rsid w:val="0066150A"/>
    <w:rsid w:val="006832B1"/>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C6002"/>
    <w:rsid w:val="007D5ADF"/>
    <w:rsid w:val="007D62C4"/>
    <w:rsid w:val="007D6940"/>
    <w:rsid w:val="007E0857"/>
    <w:rsid w:val="007E25A9"/>
    <w:rsid w:val="007E7CBA"/>
    <w:rsid w:val="007F2EC3"/>
    <w:rsid w:val="007F3BD4"/>
    <w:rsid w:val="007F3E78"/>
    <w:rsid w:val="007F41FE"/>
    <w:rsid w:val="007FC820"/>
    <w:rsid w:val="00803581"/>
    <w:rsid w:val="008057C9"/>
    <w:rsid w:val="00810488"/>
    <w:rsid w:val="008141EE"/>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1AF4"/>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09B0"/>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058F"/>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039EB"/>
    <w:rsid w:val="00B1507D"/>
    <w:rsid w:val="00B215F8"/>
    <w:rsid w:val="00B252B4"/>
    <w:rsid w:val="00B27A05"/>
    <w:rsid w:val="00B35FED"/>
    <w:rsid w:val="00B40DA1"/>
    <w:rsid w:val="00B41DB7"/>
    <w:rsid w:val="00B4294E"/>
    <w:rsid w:val="00B47272"/>
    <w:rsid w:val="00B559EA"/>
    <w:rsid w:val="00B5638B"/>
    <w:rsid w:val="00B71F9B"/>
    <w:rsid w:val="00B76357"/>
    <w:rsid w:val="00B768C7"/>
    <w:rsid w:val="00B76E4F"/>
    <w:rsid w:val="00B85C61"/>
    <w:rsid w:val="00B942A3"/>
    <w:rsid w:val="00B94D06"/>
    <w:rsid w:val="00BA36D7"/>
    <w:rsid w:val="00BA3979"/>
    <w:rsid w:val="00BA4D3A"/>
    <w:rsid w:val="00BA6742"/>
    <w:rsid w:val="00BA6894"/>
    <w:rsid w:val="00BA7DA3"/>
    <w:rsid w:val="00BB42FA"/>
    <w:rsid w:val="00BB76AD"/>
    <w:rsid w:val="00BC014F"/>
    <w:rsid w:val="00BC07A9"/>
    <w:rsid w:val="00BC3100"/>
    <w:rsid w:val="00BC3964"/>
    <w:rsid w:val="00BC6DCA"/>
    <w:rsid w:val="00BD042A"/>
    <w:rsid w:val="00BD5838"/>
    <w:rsid w:val="00BE11E3"/>
    <w:rsid w:val="00BE374B"/>
    <w:rsid w:val="00BE4D51"/>
    <w:rsid w:val="00BE58A2"/>
    <w:rsid w:val="00C031B8"/>
    <w:rsid w:val="00C038FD"/>
    <w:rsid w:val="00C05ACC"/>
    <w:rsid w:val="00C12C9B"/>
    <w:rsid w:val="00C140AB"/>
    <w:rsid w:val="00C15068"/>
    <w:rsid w:val="00C177FB"/>
    <w:rsid w:val="00C2238A"/>
    <w:rsid w:val="00C24F37"/>
    <w:rsid w:val="00C2715A"/>
    <w:rsid w:val="00C27F37"/>
    <w:rsid w:val="00C33DB2"/>
    <w:rsid w:val="00C44A12"/>
    <w:rsid w:val="00C47DEC"/>
    <w:rsid w:val="00C50C4B"/>
    <w:rsid w:val="00C50E02"/>
    <w:rsid w:val="00C64C03"/>
    <w:rsid w:val="00C668F7"/>
    <w:rsid w:val="00C66A9B"/>
    <w:rsid w:val="00C76F94"/>
    <w:rsid w:val="00C8265B"/>
    <w:rsid w:val="00C82F21"/>
    <w:rsid w:val="00C830FF"/>
    <w:rsid w:val="00C9001B"/>
    <w:rsid w:val="00C926AE"/>
    <w:rsid w:val="00C929A5"/>
    <w:rsid w:val="00C93291"/>
    <w:rsid w:val="00C9409F"/>
    <w:rsid w:val="00CA2753"/>
    <w:rsid w:val="00CA6EC6"/>
    <w:rsid w:val="00CB3AC7"/>
    <w:rsid w:val="00CB7B52"/>
    <w:rsid w:val="00CC16EF"/>
    <w:rsid w:val="00CC6399"/>
    <w:rsid w:val="00CD0D47"/>
    <w:rsid w:val="00CE1242"/>
    <w:rsid w:val="00CE2B8B"/>
    <w:rsid w:val="00CE3149"/>
    <w:rsid w:val="00CE693B"/>
    <w:rsid w:val="00CF04AD"/>
    <w:rsid w:val="00CF06A3"/>
    <w:rsid w:val="00CF2748"/>
    <w:rsid w:val="00CF2C3D"/>
    <w:rsid w:val="00CF3B55"/>
    <w:rsid w:val="00CF3EE2"/>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85F73"/>
    <w:rsid w:val="00D9003D"/>
    <w:rsid w:val="00DA0E64"/>
    <w:rsid w:val="00DA68FE"/>
    <w:rsid w:val="00DA7C50"/>
    <w:rsid w:val="00DB041C"/>
    <w:rsid w:val="00DB178C"/>
    <w:rsid w:val="00DB18D3"/>
    <w:rsid w:val="00DB2253"/>
    <w:rsid w:val="00DB7EDC"/>
    <w:rsid w:val="00DC0D81"/>
    <w:rsid w:val="00DC23B1"/>
    <w:rsid w:val="00DC571D"/>
    <w:rsid w:val="00DC69A1"/>
    <w:rsid w:val="00DC7D99"/>
    <w:rsid w:val="00DE382A"/>
    <w:rsid w:val="00DF3D4D"/>
    <w:rsid w:val="00DF777F"/>
    <w:rsid w:val="00E047EC"/>
    <w:rsid w:val="00E0654D"/>
    <w:rsid w:val="00E06E76"/>
    <w:rsid w:val="00E07CEA"/>
    <w:rsid w:val="00E15A20"/>
    <w:rsid w:val="00E17703"/>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3994"/>
    <w:rsid w:val="00EC428F"/>
    <w:rsid w:val="00EC73C6"/>
    <w:rsid w:val="00ED3C56"/>
    <w:rsid w:val="00ED5A2B"/>
    <w:rsid w:val="00EE6790"/>
    <w:rsid w:val="00EE6B7E"/>
    <w:rsid w:val="00EF3EE1"/>
    <w:rsid w:val="00EF5824"/>
    <w:rsid w:val="00F01119"/>
    <w:rsid w:val="00F11A7C"/>
    <w:rsid w:val="00F14D25"/>
    <w:rsid w:val="00F1627B"/>
    <w:rsid w:val="00F26E54"/>
    <w:rsid w:val="00F306A4"/>
    <w:rsid w:val="00F30EE1"/>
    <w:rsid w:val="00F335E2"/>
    <w:rsid w:val="00F461FA"/>
    <w:rsid w:val="00F50F9F"/>
    <w:rsid w:val="00F51868"/>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D2190"/>
    <w:rsid w:val="00FD65B0"/>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customStyle="1" w:styleId="UnresolvedMention2">
    <w:name w:val="Unresolved Mention2"/>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unhideWhenUsed/>
    <w:rsid w:val="00AD420D"/>
    <w:pPr>
      <w:tabs>
        <w:tab w:val="center" w:pos="4680"/>
        <w:tab w:val="right" w:pos="9360"/>
      </w:tabs>
    </w:pPr>
  </w:style>
  <w:style w:type="character" w:customStyle="1" w:styleId="HeaderChar">
    <w:name w:val="Header Char"/>
    <w:basedOn w:val="DefaultParagraphFont"/>
    <w:link w:val="Header"/>
    <w:uiPriority w:val="99"/>
    <w:rsid w:val="00AD4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420D"/>
    <w:pPr>
      <w:tabs>
        <w:tab w:val="center" w:pos="4680"/>
        <w:tab w:val="right" w:pos="9360"/>
      </w:tabs>
    </w:pPr>
  </w:style>
  <w:style w:type="character" w:customStyle="1" w:styleId="FooterChar">
    <w:name w:val="Footer Char"/>
    <w:basedOn w:val="DefaultParagraphFont"/>
    <w:link w:val="Footer"/>
    <w:uiPriority w:val="99"/>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styleId="UnresolvedMention">
    <w:name w:val="Unresolved Mention"/>
    <w:basedOn w:val="DefaultParagraphFont"/>
    <w:uiPriority w:val="99"/>
    <w:semiHidden/>
    <w:unhideWhenUsed/>
    <w:rsid w:val="008E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ng@taftlaw.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Laing@law.uf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16F5-06BF-48C6-9CFE-A60B5DEE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2734</Words>
  <Characters>15586</Characters>
  <Application>Microsoft Office Word</Application>
  <DocSecurity>4</DocSecurity>
  <Lines>129</Lines>
  <Paragraphs>36</Paragraphs>
  <ScaleCrop>false</ScaleCrop>
  <Company>University of Florida</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cp:lastPrinted>1900-01-01T05:00:00Z</cp:lastPrinted>
  <dcterms:created xsi:type="dcterms:W3CDTF">2024-01-02T18:18:00Z</dcterms:created>
  <dcterms:modified xsi:type="dcterms:W3CDTF">2024-01-02T18:18:00Z</dcterms:modified>
</cp:coreProperties>
</file>