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FC085" w14:textId="77777777" w:rsidR="00D64969" w:rsidRPr="00D64969" w:rsidRDefault="004A78A9" w:rsidP="00966914">
      <w:pPr>
        <w:jc w:val="center"/>
        <w:rPr>
          <w:b/>
        </w:rPr>
      </w:pPr>
      <w:bookmarkStart w:id="0" w:name="_GoBack"/>
      <w:bookmarkEnd w:id="0"/>
      <w:r>
        <w:rPr>
          <w:b/>
        </w:rPr>
        <w:t xml:space="preserve">CRIMINAL </w:t>
      </w:r>
      <w:proofErr w:type="gramStart"/>
      <w:r>
        <w:rPr>
          <w:b/>
        </w:rPr>
        <w:t>LAW  -</w:t>
      </w:r>
      <w:proofErr w:type="gramEnd"/>
      <w:r>
        <w:rPr>
          <w:b/>
        </w:rPr>
        <w:t xml:space="preserve">  SPRING 2021</w:t>
      </w:r>
      <w:r w:rsidR="00860379">
        <w:rPr>
          <w:b/>
        </w:rPr>
        <w:t xml:space="preserve"> – </w:t>
      </w:r>
      <w:r>
        <w:rPr>
          <w:b/>
        </w:rPr>
        <w:t>SECTION</w:t>
      </w:r>
      <w:r w:rsidR="00A84A5A">
        <w:rPr>
          <w:b/>
        </w:rPr>
        <w:t xml:space="preserve"> </w:t>
      </w:r>
      <w:r>
        <w:rPr>
          <w:b/>
        </w:rPr>
        <w:t>3</w:t>
      </w:r>
    </w:p>
    <w:p w14:paraId="4DF96DB5" w14:textId="77777777" w:rsidR="00D64969" w:rsidRPr="00D64969" w:rsidRDefault="00D64969" w:rsidP="00966914">
      <w:pPr>
        <w:jc w:val="center"/>
        <w:rPr>
          <w:b/>
        </w:rPr>
      </w:pPr>
      <w:r w:rsidRPr="00D64969">
        <w:rPr>
          <w:b/>
        </w:rPr>
        <w:t>PROFESSOR JOHN STINNEFORD</w:t>
      </w:r>
    </w:p>
    <w:p w14:paraId="74F285DA" w14:textId="77777777" w:rsidR="00D64969" w:rsidRPr="00D64969" w:rsidRDefault="00D64969" w:rsidP="00966914">
      <w:pPr>
        <w:jc w:val="center"/>
        <w:rPr>
          <w:b/>
        </w:rPr>
      </w:pPr>
    </w:p>
    <w:p w14:paraId="1705F8E1" w14:textId="77777777" w:rsidR="00D64969" w:rsidRPr="00D64969" w:rsidRDefault="00D64969" w:rsidP="00966914">
      <w:pPr>
        <w:jc w:val="center"/>
        <w:rPr>
          <w:b/>
        </w:rPr>
      </w:pPr>
      <w:r w:rsidRPr="00D64969">
        <w:rPr>
          <w:b/>
        </w:rPr>
        <w:t>SYLLABUS</w:t>
      </w:r>
    </w:p>
    <w:p w14:paraId="5B298CCE" w14:textId="77777777" w:rsidR="00D64969" w:rsidRDefault="00D64969" w:rsidP="00D64969"/>
    <w:p w14:paraId="640B9619" w14:textId="77777777" w:rsidR="00D64969" w:rsidRDefault="00D64969" w:rsidP="00D64969">
      <w:r>
        <w:t>Law # 5100 (</w:t>
      </w:r>
      <w:r w:rsidR="008C1423">
        <w:t>Section 3</w:t>
      </w:r>
      <w:r>
        <w:t xml:space="preserve">)  </w:t>
      </w:r>
    </w:p>
    <w:p w14:paraId="2B8A2010" w14:textId="77777777" w:rsidR="00D64969" w:rsidRDefault="00D64969" w:rsidP="00D64969">
      <w:r>
        <w:t>3 Credits</w:t>
      </w:r>
    </w:p>
    <w:p w14:paraId="6CFCDDA0" w14:textId="77777777" w:rsidR="00D64969" w:rsidRDefault="00D64969" w:rsidP="00D64969"/>
    <w:p w14:paraId="3BCF3ED5" w14:textId="77777777" w:rsidR="00E621C1" w:rsidRPr="00A842D8" w:rsidRDefault="00E621C1" w:rsidP="00E621C1">
      <w:pPr>
        <w:rPr>
          <w:u w:val="single"/>
        </w:rPr>
      </w:pPr>
      <w:r w:rsidRPr="00A842D8">
        <w:rPr>
          <w:u w:val="single"/>
        </w:rPr>
        <w:t>Course Description</w:t>
      </w:r>
    </w:p>
    <w:p w14:paraId="18AA4706" w14:textId="77777777" w:rsidR="00E621C1" w:rsidRDefault="00E621C1" w:rsidP="00E621C1"/>
    <w:p w14:paraId="57737C42" w14:textId="77777777" w:rsidR="00E621C1" w:rsidRDefault="00E621C1" w:rsidP="00E621C1">
      <w:r>
        <w:t xml:space="preserve">In this course we will explore the general principles of criminal law and will cover several substantive crimes and defenses. </w:t>
      </w:r>
    </w:p>
    <w:p w14:paraId="0472C9F8" w14:textId="77777777" w:rsidR="00E621C1" w:rsidRDefault="00E621C1" w:rsidP="00D64969"/>
    <w:p w14:paraId="42BAE857" w14:textId="77777777" w:rsidR="00E621C1" w:rsidRPr="00E621C1" w:rsidRDefault="00E621C1" w:rsidP="00E621C1">
      <w:pPr>
        <w:rPr>
          <w:rFonts w:eastAsia="Calibri"/>
          <w:szCs w:val="20"/>
          <w:u w:val="single"/>
        </w:rPr>
      </w:pPr>
      <w:r w:rsidRPr="00E621C1">
        <w:rPr>
          <w:rFonts w:eastAsia="Calibri"/>
          <w:szCs w:val="20"/>
          <w:u w:val="single"/>
        </w:rPr>
        <w:t>Student Learning Outcomes</w:t>
      </w:r>
    </w:p>
    <w:p w14:paraId="177022C1" w14:textId="77777777" w:rsidR="00E621C1" w:rsidRPr="00E621C1" w:rsidRDefault="00E621C1" w:rsidP="00E621C1">
      <w:pPr>
        <w:rPr>
          <w:rFonts w:eastAsia="Calibri"/>
          <w:szCs w:val="20"/>
        </w:rPr>
      </w:pPr>
    </w:p>
    <w:p w14:paraId="43F21516" w14:textId="77777777" w:rsidR="00E621C1" w:rsidRPr="00E621C1" w:rsidRDefault="00E621C1" w:rsidP="00E621C1">
      <w:pPr>
        <w:spacing w:after="200" w:line="276" w:lineRule="auto"/>
        <w:jc w:val="left"/>
        <w:rPr>
          <w:rFonts w:eastAsia="Calibri"/>
        </w:rPr>
      </w:pPr>
      <w:r w:rsidRPr="00E621C1">
        <w:rPr>
          <w:rFonts w:eastAsia="Calibri"/>
        </w:rPr>
        <w:t>By the end of this course, students will be able to:</w:t>
      </w:r>
    </w:p>
    <w:p w14:paraId="391FD811" w14:textId="77777777" w:rsidR="00E621C1" w:rsidRPr="00E621C1" w:rsidRDefault="00E621C1" w:rsidP="00E621C1">
      <w:pPr>
        <w:spacing w:after="200" w:line="276" w:lineRule="auto"/>
        <w:ind w:left="720" w:hanging="720"/>
        <w:jc w:val="left"/>
        <w:rPr>
          <w:rFonts w:eastAsia="Calibri"/>
        </w:rPr>
      </w:pPr>
      <w:r w:rsidRPr="00E621C1">
        <w:rPr>
          <w:rFonts w:eastAsia="Calibri"/>
        </w:rPr>
        <w:t>•</w:t>
      </w:r>
      <w:r w:rsidRPr="00E621C1">
        <w:rPr>
          <w:rFonts w:eastAsia="Calibri"/>
        </w:rPr>
        <w:tab/>
        <w:t xml:space="preserve">Read and understand the statutes and judicial opinions </w:t>
      </w:r>
      <w:r>
        <w:rPr>
          <w:rFonts w:eastAsia="Calibri"/>
        </w:rPr>
        <w:t>defining criminal law in the United States</w:t>
      </w:r>
      <w:r w:rsidRPr="00E621C1">
        <w:rPr>
          <w:rFonts w:eastAsia="Calibri"/>
        </w:rPr>
        <w:t>.</w:t>
      </w:r>
    </w:p>
    <w:p w14:paraId="15B0CD4F" w14:textId="77777777" w:rsidR="00E621C1" w:rsidRPr="00E621C1" w:rsidRDefault="00E621C1" w:rsidP="00E621C1">
      <w:pPr>
        <w:spacing w:after="200" w:line="276" w:lineRule="auto"/>
        <w:ind w:left="720" w:hanging="720"/>
        <w:jc w:val="left"/>
        <w:rPr>
          <w:rFonts w:eastAsia="Calibri"/>
        </w:rPr>
      </w:pPr>
      <w:r w:rsidRPr="00E621C1">
        <w:rPr>
          <w:rFonts w:eastAsia="Calibri"/>
        </w:rPr>
        <w:t>•</w:t>
      </w:r>
      <w:r w:rsidRPr="00E621C1">
        <w:rPr>
          <w:rFonts w:eastAsia="Calibri"/>
        </w:rPr>
        <w:tab/>
        <w:t xml:space="preserve">Understand the </w:t>
      </w:r>
      <w:r>
        <w:rPr>
          <w:rFonts w:eastAsia="Calibri"/>
        </w:rPr>
        <w:t>practical</w:t>
      </w:r>
      <w:r w:rsidRPr="00E621C1">
        <w:rPr>
          <w:rFonts w:eastAsia="Calibri"/>
        </w:rPr>
        <w:t xml:space="preserve">, moral, and policy concerns underlying the </w:t>
      </w:r>
      <w:r>
        <w:rPr>
          <w:rFonts w:eastAsia="Calibri"/>
        </w:rPr>
        <w:t xml:space="preserve">criminal </w:t>
      </w:r>
      <w:r w:rsidRPr="00E621C1">
        <w:rPr>
          <w:rFonts w:eastAsia="Calibri"/>
        </w:rPr>
        <w:t>law.</w:t>
      </w:r>
    </w:p>
    <w:p w14:paraId="3AC10DF7" w14:textId="77777777" w:rsidR="00E621C1" w:rsidRPr="00E621C1" w:rsidRDefault="00E621C1" w:rsidP="00E621C1">
      <w:pPr>
        <w:ind w:left="720" w:hanging="720"/>
        <w:rPr>
          <w:rFonts w:eastAsia="Calibri"/>
          <w:szCs w:val="20"/>
          <w:u w:val="single"/>
        </w:rPr>
      </w:pPr>
      <w:r w:rsidRPr="00E621C1">
        <w:rPr>
          <w:rFonts w:eastAsia="Calibri"/>
        </w:rPr>
        <w:t>•</w:t>
      </w:r>
      <w:r w:rsidRPr="00E621C1">
        <w:rPr>
          <w:rFonts w:eastAsia="Calibri"/>
        </w:rPr>
        <w:tab/>
        <w:t xml:space="preserve">Identify </w:t>
      </w:r>
      <w:r>
        <w:rPr>
          <w:rFonts w:eastAsia="Calibri"/>
        </w:rPr>
        <w:t>legal</w:t>
      </w:r>
      <w:r w:rsidRPr="00E621C1">
        <w:rPr>
          <w:rFonts w:eastAsia="Calibri"/>
        </w:rPr>
        <w:t xml:space="preserve"> issues in given fact patterns and work through their solutions using the relevant legal rules.</w:t>
      </w:r>
    </w:p>
    <w:p w14:paraId="1B419466" w14:textId="77777777" w:rsidR="00E621C1" w:rsidRPr="00E621C1" w:rsidRDefault="00E621C1" w:rsidP="00E621C1">
      <w:pPr>
        <w:rPr>
          <w:rFonts w:eastAsia="Calibri"/>
          <w:szCs w:val="20"/>
          <w:u w:val="single"/>
        </w:rPr>
      </w:pPr>
    </w:p>
    <w:p w14:paraId="3DE6D476" w14:textId="77777777" w:rsidR="00D64969" w:rsidRPr="00A842D8" w:rsidRDefault="00D64969" w:rsidP="00D64969">
      <w:pPr>
        <w:rPr>
          <w:u w:val="single"/>
        </w:rPr>
      </w:pPr>
      <w:r w:rsidRPr="00A842D8">
        <w:rPr>
          <w:u w:val="single"/>
        </w:rPr>
        <w:t>Required Text</w:t>
      </w:r>
    </w:p>
    <w:p w14:paraId="5B7190AD" w14:textId="77777777" w:rsidR="00E621C1" w:rsidRDefault="00E621C1" w:rsidP="00D64969"/>
    <w:p w14:paraId="2EC82693" w14:textId="77777777" w:rsidR="00D64969" w:rsidRDefault="00D64969" w:rsidP="00D64969">
      <w:r>
        <w:t>The required text for this course is Dressler</w:t>
      </w:r>
      <w:r w:rsidR="0022553B">
        <w:t xml:space="preserve"> &amp; Garvey</w:t>
      </w:r>
      <w:r>
        <w:t xml:space="preserve">, Cases </w:t>
      </w:r>
      <w:r w:rsidR="00A84A5A">
        <w:t>and Materials on Criminal Law (</w:t>
      </w:r>
      <w:r w:rsidR="00966914">
        <w:t>8</w:t>
      </w:r>
      <w:r>
        <w:t>th edition 20</w:t>
      </w:r>
      <w:r w:rsidR="00966914">
        <w:t>19</w:t>
      </w:r>
      <w:r>
        <w:t>).  Other handouts or materials may be assigned during the semester.  You may access supplemental materials and view other course related information on the course TWEN® page. You are required to register on TWEN® by the end of the drop/add period for the semester.</w:t>
      </w:r>
    </w:p>
    <w:p w14:paraId="4F7C9431" w14:textId="77777777" w:rsidR="00D64969" w:rsidRDefault="00D64969" w:rsidP="00D64969"/>
    <w:p w14:paraId="794DFDE1" w14:textId="77777777" w:rsidR="00D64969" w:rsidRPr="00A842D8" w:rsidRDefault="00D64969" w:rsidP="00D64969">
      <w:pPr>
        <w:rPr>
          <w:u w:val="single"/>
        </w:rPr>
      </w:pPr>
      <w:r w:rsidRPr="00A842D8">
        <w:rPr>
          <w:u w:val="single"/>
        </w:rPr>
        <w:t>Classes</w:t>
      </w:r>
    </w:p>
    <w:p w14:paraId="40119806" w14:textId="77777777" w:rsidR="00E621C1" w:rsidRDefault="00E621C1" w:rsidP="00D64969"/>
    <w:p w14:paraId="7E01FE9C" w14:textId="77777777" w:rsidR="00D64969" w:rsidRDefault="00D64969" w:rsidP="00D64969">
      <w:r>
        <w:t xml:space="preserve">Classes will be held on </w:t>
      </w:r>
      <w:r w:rsidR="008C1423">
        <w:t>Tuesdays and Thursdays</w:t>
      </w:r>
      <w:r w:rsidR="00E621C1">
        <w:t xml:space="preserve"> from 1:</w:t>
      </w:r>
      <w:r w:rsidR="008C1423">
        <w:t>15</w:t>
      </w:r>
      <w:r w:rsidR="00E621C1">
        <w:t>-2:</w:t>
      </w:r>
      <w:r w:rsidR="008C1423">
        <w:t>40</w:t>
      </w:r>
      <w:r>
        <w:t xml:space="preserve"> in Room </w:t>
      </w:r>
      <w:r w:rsidR="008C1423">
        <w:t>355B</w:t>
      </w:r>
      <w:r>
        <w:t>.  The final exam</w:t>
      </w:r>
      <w:r w:rsidR="00433E04">
        <w:t xml:space="preserve"> </w:t>
      </w:r>
      <w:r>
        <w:t xml:space="preserve">is tentatively scheduled for </w:t>
      </w:r>
      <w:r w:rsidR="0037518B">
        <w:t>April 30th</w:t>
      </w:r>
      <w:r w:rsidR="0022553B">
        <w:t xml:space="preserve"> at </w:t>
      </w:r>
      <w:r w:rsidR="00E621C1">
        <w:t>8:30 a</w:t>
      </w:r>
      <w:r>
        <w:t xml:space="preserve">.m. </w:t>
      </w:r>
    </w:p>
    <w:p w14:paraId="2D919E1C" w14:textId="77777777" w:rsidR="00D64969" w:rsidRDefault="00D64969" w:rsidP="00D64969"/>
    <w:p w14:paraId="466B6054" w14:textId="77777777" w:rsidR="00D64969" w:rsidRDefault="00D64969" w:rsidP="00D64969">
      <w:pPr>
        <w:rPr>
          <w:u w:val="single"/>
        </w:rPr>
      </w:pPr>
      <w:r w:rsidRPr="00A842D8">
        <w:rPr>
          <w:u w:val="single"/>
        </w:rPr>
        <w:t>Office Hours</w:t>
      </w:r>
    </w:p>
    <w:p w14:paraId="205B4D49" w14:textId="77777777" w:rsidR="004D32EE" w:rsidRPr="00A842D8" w:rsidRDefault="004D32EE" w:rsidP="00D64969">
      <w:pPr>
        <w:rPr>
          <w:u w:val="single"/>
        </w:rPr>
      </w:pPr>
    </w:p>
    <w:p w14:paraId="69B0AA08" w14:textId="77777777" w:rsidR="00D64969" w:rsidRDefault="00D64969" w:rsidP="00D64969">
      <w:r>
        <w:t xml:space="preserve">My office hours are on </w:t>
      </w:r>
      <w:r w:rsidR="004D32EE">
        <w:t>Mond</w:t>
      </w:r>
      <w:r>
        <w:t>ays</w:t>
      </w:r>
      <w:r w:rsidR="005F3871">
        <w:t xml:space="preserve"> from</w:t>
      </w:r>
      <w:r>
        <w:t xml:space="preserve"> </w:t>
      </w:r>
      <w:r w:rsidR="0037518B">
        <w:t>3:0</w:t>
      </w:r>
      <w:r w:rsidR="00852258">
        <w:t>0</w:t>
      </w:r>
      <w:r w:rsidR="00D02A16">
        <w:t xml:space="preserve"> p.</w:t>
      </w:r>
      <w:r w:rsidR="005F3871">
        <w:t>m</w:t>
      </w:r>
      <w:r w:rsidR="00D02A16">
        <w:t>.</w:t>
      </w:r>
      <w:r w:rsidR="005F3871">
        <w:t xml:space="preserve"> to </w:t>
      </w:r>
      <w:r w:rsidR="0037518B">
        <w:t>5:0</w:t>
      </w:r>
      <w:r w:rsidR="00D02A16">
        <w:t>0 p.m.</w:t>
      </w:r>
      <w:r>
        <w:t xml:space="preserve"> and by appointment.  </w:t>
      </w:r>
      <w:r w:rsidR="0037518B">
        <w:t>I will set up a Zoom “office hours” page to facilitate these meetings.</w:t>
      </w:r>
      <w:r>
        <w:t xml:space="preserve"> If you are unable to meet with me during my regularly scheduled office hours please send me an e-mail and I’ll be happy to arrange another mutually convenient time.  </w:t>
      </w:r>
    </w:p>
    <w:p w14:paraId="3977DDCE" w14:textId="77777777" w:rsidR="00D64969" w:rsidRDefault="00D64969" w:rsidP="00D64969"/>
    <w:p w14:paraId="46850D10" w14:textId="77777777" w:rsidR="00D64969" w:rsidRPr="00A842D8" w:rsidRDefault="00D64969" w:rsidP="00D64969">
      <w:pPr>
        <w:rPr>
          <w:u w:val="single"/>
        </w:rPr>
      </w:pPr>
      <w:r w:rsidRPr="00A842D8">
        <w:rPr>
          <w:u w:val="single"/>
        </w:rPr>
        <w:t xml:space="preserve">Contact Information </w:t>
      </w:r>
    </w:p>
    <w:p w14:paraId="795307DC" w14:textId="77777777" w:rsidR="00D64969" w:rsidRDefault="00D64969" w:rsidP="00D64969">
      <w:r>
        <w:t xml:space="preserve">My office is in Room 379 and the telephone number is (352) 273-0959. My e-mail address is jstinneford@law.ufl.edu.   I encourage you to contact me regularly during the semester and to ask </w:t>
      </w:r>
      <w:r>
        <w:lastRenderedPageBreak/>
        <w:t xml:space="preserve">any questions that you may have about the course or even more generally about the practice of law.  </w:t>
      </w:r>
    </w:p>
    <w:p w14:paraId="01617617" w14:textId="77777777" w:rsidR="00D64969" w:rsidRDefault="00D64969" w:rsidP="00D64969"/>
    <w:p w14:paraId="12FC0AE1" w14:textId="77777777" w:rsidR="00D64969" w:rsidRDefault="00D64969" w:rsidP="00D64969"/>
    <w:p w14:paraId="6A3A07E5" w14:textId="77777777" w:rsidR="00D64969" w:rsidRDefault="00D64969" w:rsidP="00D64969">
      <w:pPr>
        <w:rPr>
          <w:u w:val="single"/>
        </w:rPr>
      </w:pPr>
      <w:r w:rsidRPr="00A842D8">
        <w:rPr>
          <w:u w:val="single"/>
        </w:rPr>
        <w:t xml:space="preserve">Grading </w:t>
      </w:r>
    </w:p>
    <w:p w14:paraId="4F4DBD56" w14:textId="77777777" w:rsidR="004D32EE" w:rsidRPr="00A842D8" w:rsidRDefault="004D32EE" w:rsidP="00D64969">
      <w:pPr>
        <w:rPr>
          <w:u w:val="single"/>
        </w:rPr>
      </w:pPr>
    </w:p>
    <w:p w14:paraId="74656601" w14:textId="77777777" w:rsidR="00AB0822" w:rsidRDefault="00D64969" w:rsidP="00D64969">
      <w:r>
        <w:t xml:space="preserve">Your final course grade will be based principally on a final exam (90%), and will be subject to modification based upon course participation and attendance as described below.  </w:t>
      </w:r>
    </w:p>
    <w:p w14:paraId="7107256D" w14:textId="77777777" w:rsidR="00D64969" w:rsidRDefault="00D64969" w:rsidP="00D64969"/>
    <w:p w14:paraId="3A33CA8C" w14:textId="77777777" w:rsidR="00D64969" w:rsidRDefault="00D64969" w:rsidP="00D64969">
      <w:r>
        <w:t xml:space="preserve">After course grades have been posted, if you wish to review your exam I will make your exam available along with a model answer.  If you wish to speak to me after you have reviewed your exam, you may do so </w:t>
      </w:r>
      <w:r w:rsidRPr="00AB0822">
        <w:rPr>
          <w:u w:val="single"/>
        </w:rPr>
        <w:t>after February 1</w:t>
      </w:r>
      <w:r>
        <w:t xml:space="preserve">.  For further information on the University’s grading policies and calculation of grade points please see </w:t>
      </w:r>
      <w:hyperlink r:id="rId5" w:history="1">
        <w:r w:rsidR="00A842D8" w:rsidRPr="00FF7C0F">
          <w:rPr>
            <w:rStyle w:val="Hyperlink"/>
          </w:rPr>
          <w:t>http://www.registrar.ufl.edu/catalog/policies/regulationgrades.html</w:t>
        </w:r>
      </w:hyperlink>
      <w:r>
        <w:t>.</w:t>
      </w:r>
    </w:p>
    <w:p w14:paraId="6FEE31C0" w14:textId="77777777" w:rsidR="00AB0822" w:rsidRDefault="00AB0822" w:rsidP="00D64969"/>
    <w:p w14:paraId="1FF78B3D" w14:textId="77777777" w:rsidR="00AB0822" w:rsidRDefault="00AB0822" w:rsidP="00AB0822">
      <w:pPr>
        <w:rPr>
          <w:u w:val="single"/>
        </w:rPr>
      </w:pPr>
      <w:r w:rsidRPr="00150075">
        <w:rPr>
          <w:u w:val="single"/>
        </w:rPr>
        <w:t>Policy related to Make-up exams or other work</w:t>
      </w:r>
      <w:r>
        <w:rPr>
          <w:u w:val="single"/>
        </w:rPr>
        <w:t xml:space="preserve"> </w:t>
      </w:r>
    </w:p>
    <w:p w14:paraId="76A559A1" w14:textId="77777777" w:rsidR="004D32EE" w:rsidRPr="00150075" w:rsidRDefault="004D32EE" w:rsidP="00AB0822">
      <w:pPr>
        <w:rPr>
          <w:u w:val="single"/>
        </w:rPr>
      </w:pPr>
    </w:p>
    <w:p w14:paraId="406C77B7" w14:textId="77777777" w:rsidR="00AB0822" w:rsidRDefault="00AB0822" w:rsidP="00AB0822">
      <w:r>
        <w:t xml:space="preserve">The law school policy on delay in taking exams can be found at: </w:t>
      </w:r>
      <w:hyperlink r:id="rId6" w:anchor="12" w:history="1">
        <w:r w:rsidRPr="006A76AF">
          <w:rPr>
            <w:rStyle w:val="Hyperlink"/>
          </w:rPr>
          <w:t>http://www.law.ufl.edu/students/policies.shtml#12</w:t>
        </w:r>
      </w:hyperlink>
      <w:r>
        <w:t xml:space="preserve">. </w:t>
      </w:r>
    </w:p>
    <w:p w14:paraId="1C3975A2" w14:textId="77777777" w:rsidR="00AB0822" w:rsidRDefault="00AB0822" w:rsidP="00D64969"/>
    <w:p w14:paraId="63628CA2" w14:textId="77777777" w:rsidR="00D64969" w:rsidRPr="00A842D8" w:rsidRDefault="00D64969" w:rsidP="00D64969">
      <w:pPr>
        <w:rPr>
          <w:u w:val="single"/>
        </w:rPr>
      </w:pPr>
      <w:r w:rsidRPr="00A842D8">
        <w:rPr>
          <w:u w:val="single"/>
        </w:rPr>
        <w:t>Class Preparation, Participation, and Attendance</w:t>
      </w:r>
    </w:p>
    <w:p w14:paraId="56BA1950" w14:textId="77777777" w:rsidR="001632C9" w:rsidRDefault="001632C9" w:rsidP="00D64969"/>
    <w:p w14:paraId="3C69F292" w14:textId="77777777" w:rsidR="00D64969" w:rsidRPr="00A842D8" w:rsidRDefault="00D64969" w:rsidP="00D64969">
      <w:pPr>
        <w:rPr>
          <w:i/>
        </w:rPr>
      </w:pPr>
      <w:r w:rsidRPr="00A842D8">
        <w:rPr>
          <w:i/>
        </w:rPr>
        <w:t>A.</w:t>
      </w:r>
      <w:r w:rsidRPr="00A842D8">
        <w:rPr>
          <w:i/>
        </w:rPr>
        <w:tab/>
        <w:t>Class Preparation and Participation</w:t>
      </w:r>
    </w:p>
    <w:p w14:paraId="478BA314" w14:textId="77777777" w:rsidR="003D6F22" w:rsidRPr="003D6F22" w:rsidRDefault="003D6F22" w:rsidP="003D6F22">
      <w:r w:rsidRPr="003D6F22">
        <w:t xml:space="preserve">ABA Standard 310 requires that students devote 120 minutes to out-of-class preparation for every “classroom hour” of in-class instruction. </w:t>
      </w:r>
      <w:r>
        <w:t>Criminal Law</w:t>
      </w:r>
      <w:r w:rsidRPr="003D6F22">
        <w:t xml:space="preserve"> has 3 “classroom hours” of in-class instruction each week, requiring at least 6 hours of preparation outside of class.</w:t>
      </w:r>
    </w:p>
    <w:p w14:paraId="52FC2083" w14:textId="77777777" w:rsidR="003D6F22" w:rsidRDefault="003D6F22" w:rsidP="00D64969"/>
    <w:p w14:paraId="2D783129" w14:textId="77777777" w:rsidR="00D64969" w:rsidRDefault="00D64969" w:rsidP="00D64969">
      <w:r>
        <w:t xml:space="preserve">Your grade may be significantly affected (up to one full letter grade) by your class participation.  In evaluating your class participation, I take into account a number of considerations, including the professionalism and courtesy you display in class, your preparedness in class, and your class attendance.  I do not reward students for being relatively talkative; nor do I punish students for being relatively quiet.  I do, however, expect everyone to be familiar with the material assigned for a given day, and prepared to discuss it in class if called upon. </w:t>
      </w:r>
    </w:p>
    <w:p w14:paraId="7702B720" w14:textId="77777777" w:rsidR="00D64969" w:rsidRDefault="00D64969" w:rsidP="00D64969"/>
    <w:p w14:paraId="3E384089" w14:textId="77777777" w:rsidR="00D64969" w:rsidRPr="00A842D8" w:rsidRDefault="00D64969" w:rsidP="00D64969">
      <w:pPr>
        <w:rPr>
          <w:i/>
        </w:rPr>
      </w:pPr>
      <w:r w:rsidRPr="00A842D8">
        <w:rPr>
          <w:i/>
        </w:rPr>
        <w:t>B.</w:t>
      </w:r>
      <w:r w:rsidRPr="00A842D8">
        <w:rPr>
          <w:i/>
        </w:rPr>
        <w:tab/>
        <w:t xml:space="preserve">Class Attendance </w:t>
      </w:r>
    </w:p>
    <w:p w14:paraId="0F108FA1" w14:textId="77777777" w:rsidR="00D64969" w:rsidRDefault="00D64969" w:rsidP="00D64969">
      <w:r>
        <w:t>Students are expected to attend class, to be prepared, and to participate in class discussions.  It is your responsibility to locate and initial the sign-in sheet for each class session.  By signing your initials, you affirm that you are physically present in class during that class period.  It will be considered a violation of the course rules and the Honor Code to falsely indicate that you were present in class, or to assist a classmate in such misrepresentation.</w:t>
      </w:r>
    </w:p>
    <w:p w14:paraId="0962CE63" w14:textId="77777777" w:rsidR="00D64969" w:rsidRDefault="00D64969" w:rsidP="00D64969"/>
    <w:p w14:paraId="2E94569A" w14:textId="77777777" w:rsidR="00D64969" w:rsidRDefault="00D64969" w:rsidP="00D64969">
      <w:r>
        <w:t xml:space="preserve">Pursuant to ABA guidelines, students who have </w:t>
      </w:r>
      <w:r w:rsidR="00C1172D">
        <w:t>four</w:t>
      </w:r>
      <w:r>
        <w:t xml:space="preserve"> (</w:t>
      </w:r>
      <w:r w:rsidR="00C1172D">
        <w:t>4</w:t>
      </w:r>
      <w:r>
        <w:t xml:space="preserve">) or more absences will be barred from taking the final exam, and will automatically fail this course.  </w:t>
      </w:r>
      <w:r w:rsidR="00C1172D">
        <w:t>Two (2) to three (3</w:t>
      </w:r>
      <w:r>
        <w:t xml:space="preserve">) absences may result in a reduction of your grade as described above, in the section describing grade adjustments for course participation.  Absences necessitated by religious holidays are exempted by this policy, so long as you give me advance notice of your absence.  More generally, if you are concerned that </w:t>
      </w:r>
      <w:r>
        <w:lastRenderedPageBreak/>
        <w:t xml:space="preserve">you may come close to the limit on absences, it is a good idea to keep me informed as to what’s going on, so that we can explore whether </w:t>
      </w:r>
      <w:r w:rsidR="00FB25BB">
        <w:t xml:space="preserve">an </w:t>
      </w:r>
      <w:r>
        <w:t>accommodation is possible.</w:t>
      </w:r>
    </w:p>
    <w:p w14:paraId="0BCB12FD" w14:textId="77777777" w:rsidR="00D64969" w:rsidRDefault="00D64969" w:rsidP="00D64969"/>
    <w:p w14:paraId="08A41A80" w14:textId="77777777" w:rsidR="00D64969" w:rsidRPr="00A842D8" w:rsidRDefault="00D64969" w:rsidP="00D64969">
      <w:pPr>
        <w:rPr>
          <w:u w:val="single"/>
        </w:rPr>
      </w:pPr>
      <w:r w:rsidRPr="00A842D8">
        <w:rPr>
          <w:u w:val="single"/>
        </w:rPr>
        <w:t>Recording Devices and Cell Phones</w:t>
      </w:r>
    </w:p>
    <w:p w14:paraId="1A9968E2" w14:textId="77777777" w:rsidR="00D64969" w:rsidRDefault="00D64969" w:rsidP="00D64969">
      <w:r>
        <w:t>Use of any recording devices (including audio and/or video) is not permitted in the classroom without my express permission. Cellular telephones should not be used during class, and ringers should be silenced.</w:t>
      </w:r>
    </w:p>
    <w:p w14:paraId="0A596B6A" w14:textId="77777777" w:rsidR="00D64969" w:rsidRDefault="00D64969" w:rsidP="00D64969"/>
    <w:p w14:paraId="237A75A9" w14:textId="77777777" w:rsidR="00AB0822" w:rsidRDefault="00D64969">
      <w:r w:rsidRPr="00A842D8">
        <w:rPr>
          <w:u w:val="single"/>
        </w:rPr>
        <w:t>Computer Usage</w:t>
      </w:r>
      <w:r>
        <w:t xml:space="preserve">:  I encourage you to use a laptop to take notes, prepare your outline, and take exams.  Please do not surf the web, send emails or IMs, look up old crushes </w:t>
      </w:r>
      <w:proofErr w:type="gramStart"/>
      <w:r>
        <w:t>on  Facebook</w:t>
      </w:r>
      <w:proofErr w:type="gramEnd"/>
      <w:r>
        <w:t xml:space="preserve">, shop for autographed Tim Tebow photos on </w:t>
      </w:r>
      <w:proofErr w:type="spellStart"/>
      <w:r>
        <w:t>EBay</w:t>
      </w:r>
      <w:proofErr w:type="spellEnd"/>
      <w:r>
        <w:t>, or generally mess around on your computer.  Such conduct is unprofessional, and shows a lack of respect for your classmates and me.  Such conduct may result in a grade reduction as discussed in the “class participation” section, above.</w:t>
      </w:r>
    </w:p>
    <w:p w14:paraId="2C00980E" w14:textId="77777777" w:rsidR="005951FF" w:rsidRDefault="005951FF">
      <w:pPr>
        <w:rPr>
          <w:u w:val="single"/>
        </w:rPr>
      </w:pPr>
    </w:p>
    <w:p w14:paraId="2DD62BC0" w14:textId="77777777" w:rsidR="00AB0822" w:rsidRPr="00150075" w:rsidRDefault="00AB0822" w:rsidP="00AB0822">
      <w:pPr>
        <w:rPr>
          <w:u w:val="single"/>
        </w:rPr>
      </w:pPr>
      <w:r w:rsidRPr="00150075">
        <w:rPr>
          <w:u w:val="single"/>
        </w:rPr>
        <w:t>Statement related to accommodations for students with disabilities</w:t>
      </w:r>
    </w:p>
    <w:p w14:paraId="0C59365A" w14:textId="77777777" w:rsidR="00AB0822" w:rsidRDefault="00AB0822" w:rsidP="00AB0822">
      <w:r w:rsidRPr="00386C63">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r>
        <w:t>.</w:t>
      </w:r>
    </w:p>
    <w:p w14:paraId="5586C6C1" w14:textId="77777777" w:rsidR="00C1172D" w:rsidRDefault="00C1172D" w:rsidP="00AB0822"/>
    <w:p w14:paraId="2E83AC76" w14:textId="77777777" w:rsidR="00C1172D" w:rsidRDefault="00C1172D" w:rsidP="00C1172D">
      <w:pPr>
        <w:rPr>
          <w:rFonts w:eastAsia="Calibri"/>
          <w:szCs w:val="20"/>
        </w:rPr>
      </w:pPr>
      <w:r w:rsidRPr="00C1172D">
        <w:rPr>
          <w:rFonts w:eastAsia="Calibri"/>
          <w:szCs w:val="20"/>
          <w:u w:val="single"/>
        </w:rPr>
        <w:t>University Policy o</w:t>
      </w:r>
      <w:r>
        <w:rPr>
          <w:rFonts w:eastAsia="Calibri"/>
          <w:szCs w:val="20"/>
          <w:u w:val="single"/>
        </w:rPr>
        <w:t>n Academic Misconduct</w:t>
      </w:r>
    </w:p>
    <w:p w14:paraId="0C7BF640" w14:textId="77777777" w:rsidR="00C1172D" w:rsidRDefault="00C1172D" w:rsidP="00C1172D">
      <w:pPr>
        <w:rPr>
          <w:rFonts w:eastAsia="Calibri"/>
          <w:szCs w:val="20"/>
        </w:rPr>
      </w:pPr>
    </w:p>
    <w:p w14:paraId="0AA29E64" w14:textId="77777777" w:rsidR="00C1172D" w:rsidRPr="00C1172D" w:rsidRDefault="00C1172D" w:rsidP="00C1172D">
      <w:pPr>
        <w:rPr>
          <w:rFonts w:eastAsia="Calibri"/>
          <w:szCs w:val="20"/>
        </w:rPr>
      </w:pPr>
      <w:r w:rsidRPr="00C1172D">
        <w:rPr>
          <w:rFonts w:eastAsia="Calibri"/>
          <w:szCs w:val="20"/>
        </w:rPr>
        <w:t>Academic honesty and integrity are fundamental values of the University community. Students should be sure that they understand the UF Student Honor Code at http://www.dso.ufl.edu/students.php.</w:t>
      </w:r>
    </w:p>
    <w:p w14:paraId="1BA30B17" w14:textId="77777777" w:rsidR="00C1172D" w:rsidRPr="00C1172D" w:rsidRDefault="00C1172D" w:rsidP="00C1172D">
      <w:pPr>
        <w:rPr>
          <w:rFonts w:eastAsia="Calibri"/>
          <w:szCs w:val="20"/>
        </w:rPr>
      </w:pPr>
    </w:p>
    <w:p w14:paraId="58ED4400" w14:textId="77777777" w:rsidR="00C1172D" w:rsidRDefault="00C1172D" w:rsidP="00AB0822"/>
    <w:p w14:paraId="21569B41" w14:textId="77777777" w:rsidR="00AB0822" w:rsidRDefault="00AB0822" w:rsidP="00AB0822">
      <w:pPr>
        <w:rPr>
          <w:u w:val="single"/>
        </w:rPr>
      </w:pPr>
    </w:p>
    <w:p w14:paraId="128ECBA2" w14:textId="77777777" w:rsidR="00AB0822" w:rsidRDefault="00AB0822" w:rsidP="00AB0822">
      <w:pPr>
        <w:rPr>
          <w:u w:val="single"/>
        </w:rPr>
      </w:pPr>
      <w:r w:rsidRPr="00150075">
        <w:rPr>
          <w:u w:val="single"/>
        </w:rPr>
        <w:t>Information on UF</w:t>
      </w:r>
      <w:r>
        <w:rPr>
          <w:u w:val="single"/>
        </w:rPr>
        <w:t xml:space="preserve"> </w:t>
      </w:r>
      <w:proofErr w:type="gramStart"/>
      <w:r>
        <w:rPr>
          <w:u w:val="single"/>
        </w:rPr>
        <w:t xml:space="preserve">Law </w:t>
      </w:r>
      <w:r w:rsidRPr="00150075">
        <w:rPr>
          <w:u w:val="single"/>
        </w:rPr>
        <w:t xml:space="preserve"> grading</w:t>
      </w:r>
      <w:proofErr w:type="gramEnd"/>
      <w:r w:rsidRPr="00150075">
        <w:rPr>
          <w:u w:val="single"/>
        </w:rPr>
        <w:t xml:space="preserve"> policies</w:t>
      </w:r>
    </w:p>
    <w:p w14:paraId="0B26B01D" w14:textId="77777777" w:rsidR="00AB0822" w:rsidRPr="00150075" w:rsidRDefault="00AB0822" w:rsidP="00AB0822">
      <w:pPr>
        <w:rPr>
          <w:u w:val="single"/>
        </w:rPr>
      </w:pPr>
    </w:p>
    <w:p w14:paraId="663F0D18" w14:textId="77777777" w:rsidR="00AB0822" w:rsidRPr="00CF235D" w:rsidRDefault="00AB0822" w:rsidP="00AB0822">
      <w:pPr>
        <w:tabs>
          <w:tab w:val="left" w:pos="1872"/>
        </w:tabs>
      </w:pPr>
      <w:r w:rsidRPr="00CF235D">
        <w:rPr>
          <w:u w:val="single"/>
        </w:rPr>
        <w:t>Grade</w:t>
      </w:r>
      <w:r w:rsidRPr="00CF235D">
        <w:tab/>
      </w:r>
      <w:r w:rsidRPr="00CF235D">
        <w:rPr>
          <w:u w:val="single"/>
        </w:rPr>
        <w:t>Points</w:t>
      </w:r>
      <w:r w:rsidRPr="00CF235D">
        <w:tab/>
      </w:r>
      <w:r w:rsidRPr="00CF235D">
        <w:tab/>
      </w:r>
      <w:r w:rsidRPr="00CF235D">
        <w:rPr>
          <w:u w:val="single"/>
        </w:rPr>
        <w:t>Grade</w:t>
      </w:r>
      <w:r w:rsidRPr="00CF235D">
        <w:tab/>
      </w:r>
      <w:r w:rsidRPr="00CF235D">
        <w:tab/>
      </w:r>
      <w:r w:rsidRPr="00CF235D">
        <w:tab/>
      </w:r>
      <w:r w:rsidRPr="00CF235D">
        <w:rPr>
          <w:u w:val="single"/>
        </w:rPr>
        <w:t>Point</w:t>
      </w:r>
      <w:r w:rsidRPr="00CF235D">
        <w:tab/>
      </w:r>
      <w:r w:rsidRPr="00CF235D">
        <w:tab/>
      </w:r>
      <w:r w:rsidRPr="00CF235D">
        <w:rPr>
          <w:u w:val="single"/>
        </w:rPr>
        <w:t>Grade</w:t>
      </w:r>
      <w:r w:rsidRPr="00CF235D">
        <w:tab/>
      </w:r>
      <w:r w:rsidRPr="00CF235D">
        <w:tab/>
      </w:r>
      <w:r w:rsidRPr="00CF235D">
        <w:rPr>
          <w:u w:val="single"/>
        </w:rPr>
        <w:t>Point</w:t>
      </w:r>
    </w:p>
    <w:p w14:paraId="1BE63347" w14:textId="77777777" w:rsidR="00AB0822" w:rsidRPr="00CF235D" w:rsidRDefault="00AB0822" w:rsidP="00AB0822">
      <w:pPr>
        <w:tabs>
          <w:tab w:val="left" w:pos="1872"/>
        </w:tabs>
      </w:pPr>
      <w:r w:rsidRPr="00CF235D">
        <w:t>A (Excellent)</w:t>
      </w:r>
      <w:r w:rsidRPr="00CF235D">
        <w:tab/>
        <w:t>4.0</w:t>
      </w:r>
      <w:r w:rsidRPr="00CF235D">
        <w:tab/>
      </w:r>
      <w:r w:rsidRPr="00CF235D">
        <w:tab/>
        <w:t>C+</w:t>
      </w:r>
      <w:r w:rsidRPr="00CF235D">
        <w:tab/>
      </w:r>
      <w:r w:rsidRPr="00CF235D">
        <w:tab/>
      </w:r>
      <w:r w:rsidRPr="00CF235D">
        <w:tab/>
        <w:t>2.33</w:t>
      </w:r>
      <w:r w:rsidRPr="00CF235D">
        <w:tab/>
      </w:r>
      <w:r w:rsidRPr="00CF235D">
        <w:tab/>
        <w:t>D-</w:t>
      </w:r>
      <w:r w:rsidRPr="00CF235D">
        <w:tab/>
      </w:r>
      <w:r w:rsidRPr="00CF235D">
        <w:tab/>
        <w:t>0.67</w:t>
      </w:r>
    </w:p>
    <w:p w14:paraId="6949F14C" w14:textId="77777777" w:rsidR="00AB0822" w:rsidRPr="00CF235D" w:rsidRDefault="00AB0822" w:rsidP="00AB0822">
      <w:pPr>
        <w:tabs>
          <w:tab w:val="left" w:pos="1872"/>
        </w:tabs>
      </w:pPr>
      <w:r w:rsidRPr="00CF235D">
        <w:t>A-</w:t>
      </w:r>
      <w:r w:rsidRPr="00CF235D">
        <w:tab/>
        <w:t>3.67</w:t>
      </w:r>
      <w:r w:rsidRPr="00CF235D">
        <w:tab/>
      </w:r>
      <w:r w:rsidRPr="00CF235D">
        <w:tab/>
        <w:t>C (Satisfactory)</w:t>
      </w:r>
      <w:r w:rsidRPr="00CF235D">
        <w:tab/>
        <w:t>2.00</w:t>
      </w:r>
      <w:r w:rsidRPr="00CF235D">
        <w:tab/>
      </w:r>
      <w:r w:rsidRPr="00CF235D">
        <w:tab/>
        <w:t>E (Failure)</w:t>
      </w:r>
      <w:r w:rsidRPr="00CF235D">
        <w:tab/>
        <w:t>0.0</w:t>
      </w:r>
    </w:p>
    <w:p w14:paraId="54BAEDE3" w14:textId="77777777" w:rsidR="00AB0822" w:rsidRPr="00CF235D" w:rsidRDefault="00AB0822" w:rsidP="00AB0822">
      <w:pPr>
        <w:tabs>
          <w:tab w:val="left" w:pos="1872"/>
        </w:tabs>
      </w:pPr>
      <w:r w:rsidRPr="00CF235D">
        <w:t>B+</w:t>
      </w:r>
      <w:r w:rsidRPr="00CF235D">
        <w:tab/>
        <w:t>3.33</w:t>
      </w:r>
      <w:r w:rsidRPr="00CF235D">
        <w:tab/>
      </w:r>
      <w:r w:rsidRPr="00CF235D">
        <w:tab/>
        <w:t>C-</w:t>
      </w:r>
      <w:r w:rsidRPr="00CF235D">
        <w:tab/>
      </w:r>
      <w:r w:rsidRPr="00CF235D">
        <w:tab/>
      </w:r>
      <w:r w:rsidRPr="00CF235D">
        <w:tab/>
        <w:t>1.67</w:t>
      </w:r>
    </w:p>
    <w:p w14:paraId="22451248" w14:textId="77777777" w:rsidR="00AB0822" w:rsidRPr="00CF235D" w:rsidRDefault="00AB0822" w:rsidP="00AB0822">
      <w:pPr>
        <w:tabs>
          <w:tab w:val="left" w:pos="1872"/>
        </w:tabs>
      </w:pPr>
      <w:r w:rsidRPr="00CF235D">
        <w:t>B (Good)</w:t>
      </w:r>
      <w:r w:rsidRPr="00CF235D">
        <w:tab/>
        <w:t>3.00</w:t>
      </w:r>
      <w:r w:rsidRPr="00CF235D">
        <w:tab/>
      </w:r>
      <w:r w:rsidRPr="00CF235D">
        <w:tab/>
        <w:t>D+</w:t>
      </w:r>
      <w:r w:rsidRPr="00CF235D">
        <w:tab/>
      </w:r>
      <w:r w:rsidRPr="00CF235D">
        <w:tab/>
      </w:r>
      <w:r w:rsidRPr="00CF235D">
        <w:tab/>
        <w:t>1.33</w:t>
      </w:r>
    </w:p>
    <w:p w14:paraId="4EDB0E73" w14:textId="77777777" w:rsidR="00AB0822" w:rsidRPr="00CF235D" w:rsidRDefault="00AB0822" w:rsidP="00AB0822">
      <w:r w:rsidRPr="00CF235D">
        <w:t>B-</w:t>
      </w:r>
      <w:r w:rsidRPr="00CF235D">
        <w:tab/>
      </w:r>
      <w:r w:rsidRPr="00CF235D">
        <w:tab/>
        <w:t xml:space="preserve">        2.67</w:t>
      </w:r>
      <w:r w:rsidRPr="00CF235D">
        <w:tab/>
      </w:r>
      <w:r w:rsidRPr="00CF235D">
        <w:tab/>
        <w:t>D (Poor)</w:t>
      </w:r>
      <w:r w:rsidRPr="00CF235D">
        <w:tab/>
      </w:r>
      <w:r w:rsidRPr="00CF235D">
        <w:tab/>
        <w:t>1.00</w:t>
      </w:r>
    </w:p>
    <w:p w14:paraId="44C637C1" w14:textId="77777777" w:rsidR="00AB0822" w:rsidRDefault="00AB0822" w:rsidP="00AB0822"/>
    <w:p w14:paraId="0355C920" w14:textId="77777777" w:rsidR="00AB0822" w:rsidRPr="00B43A89" w:rsidRDefault="00AB0822" w:rsidP="00AB0822">
      <w:r w:rsidRPr="00B43A89">
        <w:t>Th</w:t>
      </w:r>
      <w:r>
        <w:t>e</w:t>
      </w:r>
      <w:r w:rsidRPr="00B43A89">
        <w:t xml:space="preserve"> </w:t>
      </w:r>
      <w:r>
        <w:t xml:space="preserve">law school grading policy </w:t>
      </w:r>
      <w:r w:rsidRPr="00B43A89">
        <w:t xml:space="preserve">is </w:t>
      </w:r>
      <w:r>
        <w:t xml:space="preserve">available at: </w:t>
      </w:r>
      <w:hyperlink r:id="rId7" w:anchor="9" w:history="1">
        <w:r w:rsidRPr="00150075">
          <w:rPr>
            <w:rStyle w:val="Hyperlink"/>
          </w:rPr>
          <w:t>http://www.law.ufl.edu/students/policies.shtml#9</w:t>
        </w:r>
      </w:hyperlink>
      <w:r w:rsidRPr="00150075">
        <w:t xml:space="preserve"> .</w:t>
      </w:r>
    </w:p>
    <w:p w14:paraId="0D117438" w14:textId="77777777" w:rsidR="00AB0822" w:rsidRDefault="00AB0822" w:rsidP="00D64969"/>
    <w:p w14:paraId="71A44688" w14:textId="77777777" w:rsidR="0037518B" w:rsidRDefault="0037518B">
      <w:pPr>
        <w:rPr>
          <w:u w:val="single"/>
        </w:rPr>
      </w:pPr>
      <w:r>
        <w:rPr>
          <w:u w:val="single"/>
        </w:rPr>
        <w:br w:type="page"/>
      </w:r>
    </w:p>
    <w:p w14:paraId="4632C678" w14:textId="77777777" w:rsidR="00D64969" w:rsidRPr="00A842D8" w:rsidRDefault="00D64969" w:rsidP="00D64969">
      <w:pPr>
        <w:rPr>
          <w:u w:val="single"/>
        </w:rPr>
      </w:pPr>
      <w:r w:rsidRPr="00A842D8">
        <w:rPr>
          <w:u w:val="single"/>
        </w:rPr>
        <w:lastRenderedPageBreak/>
        <w:t>Assignments</w:t>
      </w:r>
    </w:p>
    <w:p w14:paraId="24F4B533" w14:textId="77777777" w:rsidR="00D64969" w:rsidRDefault="005F3871" w:rsidP="00D64969">
      <w:r>
        <w:t xml:space="preserve">Below are the </w:t>
      </w:r>
      <w:r w:rsidR="00D64969">
        <w:t>expected reading assignments.  Please note that this plan is subject to change. I reserve the right to modify the assignments from time to time, and to utilize additional handouts and materials. All assignments are from the required texts, unless otherwise noted. The notes and problems in this casebook are particularly important, so be prepared to discuss them in class.</w:t>
      </w:r>
    </w:p>
    <w:p w14:paraId="5AD82391" w14:textId="77777777" w:rsidR="00D64969" w:rsidRDefault="00D64969" w:rsidP="00D64969"/>
    <w:p w14:paraId="30D95ACD" w14:textId="77777777" w:rsidR="008012E4" w:rsidRPr="008012E4" w:rsidRDefault="008012E4" w:rsidP="008012E4">
      <w:pPr>
        <w:spacing w:after="160" w:line="259" w:lineRule="auto"/>
        <w:jc w:val="left"/>
        <w:rPr>
          <w:rFonts w:eastAsia="Calibri"/>
          <w:b/>
          <w:u w:val="single"/>
        </w:rPr>
      </w:pPr>
      <w:r w:rsidRPr="008012E4">
        <w:rPr>
          <w:rFonts w:eastAsia="Calibri"/>
          <w:b/>
          <w:u w:val="single"/>
        </w:rPr>
        <w:t>I.  Conceptual Foundations</w:t>
      </w:r>
    </w:p>
    <w:p w14:paraId="1D7D3E3F" w14:textId="77777777" w:rsidR="008012E4" w:rsidRPr="008012E4" w:rsidRDefault="008012E4" w:rsidP="008012E4">
      <w:pPr>
        <w:numPr>
          <w:ilvl w:val="0"/>
          <w:numId w:val="5"/>
        </w:numPr>
        <w:spacing w:after="160" w:line="259" w:lineRule="auto"/>
        <w:jc w:val="left"/>
        <w:rPr>
          <w:rFonts w:eastAsia="Calibri"/>
          <w:b/>
        </w:rPr>
      </w:pPr>
      <w:r w:rsidRPr="008012E4">
        <w:rPr>
          <w:rFonts w:eastAsia="Calibri"/>
          <w:b/>
        </w:rPr>
        <w:t xml:space="preserve">Purposes of Criminal Law and Punishment </w:t>
      </w:r>
    </w:p>
    <w:p w14:paraId="68C9AD35" w14:textId="77777777" w:rsidR="008012E4" w:rsidRPr="008012E4" w:rsidRDefault="008012E4" w:rsidP="008012E4">
      <w:pPr>
        <w:numPr>
          <w:ilvl w:val="1"/>
          <w:numId w:val="5"/>
        </w:numPr>
        <w:spacing w:after="160" w:line="259" w:lineRule="auto"/>
        <w:jc w:val="left"/>
        <w:rPr>
          <w:rFonts w:eastAsia="Calibri"/>
        </w:rPr>
      </w:pPr>
      <w:r w:rsidRPr="008012E4">
        <w:rPr>
          <w:rFonts w:eastAsia="Calibri"/>
          <w:i/>
        </w:rPr>
        <w:t>Assignment 1:</w:t>
      </w:r>
      <w:r w:rsidRPr="008012E4">
        <w:rPr>
          <w:rFonts w:eastAsia="Calibri"/>
          <w:b/>
        </w:rPr>
        <w:t xml:space="preserve"> </w:t>
      </w:r>
      <w:r w:rsidRPr="008012E4">
        <w:rPr>
          <w:rFonts w:eastAsia="Calibri"/>
        </w:rPr>
        <w:t>Read CB pp. 31-53</w:t>
      </w:r>
    </w:p>
    <w:p w14:paraId="1C06BE8C" w14:textId="77777777" w:rsidR="008012E4" w:rsidRPr="008012E4" w:rsidRDefault="008012E4" w:rsidP="008012E4">
      <w:pPr>
        <w:numPr>
          <w:ilvl w:val="1"/>
          <w:numId w:val="5"/>
        </w:numPr>
        <w:spacing w:after="160" w:line="259" w:lineRule="auto"/>
        <w:jc w:val="left"/>
        <w:rPr>
          <w:rFonts w:eastAsia="Calibri"/>
        </w:rPr>
      </w:pPr>
      <w:r w:rsidRPr="008012E4">
        <w:rPr>
          <w:rFonts w:eastAsia="Calibri"/>
          <w:i/>
        </w:rPr>
        <w:t>Assignment 2:</w:t>
      </w:r>
      <w:r w:rsidRPr="008012E4">
        <w:rPr>
          <w:rFonts w:eastAsia="Calibri"/>
        </w:rPr>
        <w:t xml:space="preserve"> Read CB pp. 53-70</w:t>
      </w:r>
    </w:p>
    <w:p w14:paraId="49C8B0BD" w14:textId="77777777" w:rsidR="008012E4" w:rsidRPr="008012E4" w:rsidRDefault="008012E4" w:rsidP="008012E4">
      <w:pPr>
        <w:numPr>
          <w:ilvl w:val="0"/>
          <w:numId w:val="5"/>
        </w:numPr>
        <w:spacing w:after="160" w:line="259" w:lineRule="auto"/>
        <w:jc w:val="left"/>
        <w:rPr>
          <w:rFonts w:eastAsia="Calibri"/>
          <w:b/>
        </w:rPr>
      </w:pPr>
      <w:r w:rsidRPr="008012E4">
        <w:rPr>
          <w:rFonts w:eastAsia="Calibri"/>
          <w:b/>
        </w:rPr>
        <w:t xml:space="preserve">Principle of Proportionality </w:t>
      </w:r>
    </w:p>
    <w:p w14:paraId="33311F1F" w14:textId="77777777" w:rsidR="008012E4" w:rsidRPr="008012E4" w:rsidRDefault="008012E4" w:rsidP="008012E4">
      <w:pPr>
        <w:numPr>
          <w:ilvl w:val="1"/>
          <w:numId w:val="5"/>
        </w:numPr>
        <w:spacing w:after="160" w:line="259" w:lineRule="auto"/>
        <w:jc w:val="left"/>
        <w:rPr>
          <w:rFonts w:eastAsia="Calibri"/>
        </w:rPr>
      </w:pPr>
      <w:r w:rsidRPr="008012E4">
        <w:rPr>
          <w:rFonts w:eastAsia="Calibri"/>
          <w:i/>
        </w:rPr>
        <w:t>Assignment 3:</w:t>
      </w:r>
      <w:r w:rsidRPr="008012E4">
        <w:rPr>
          <w:rFonts w:eastAsia="Calibri"/>
        </w:rPr>
        <w:t xml:space="preserve"> Read CB pp. 71-90  </w:t>
      </w:r>
    </w:p>
    <w:p w14:paraId="7E83C7A4" w14:textId="77777777" w:rsidR="008012E4" w:rsidRPr="008012E4" w:rsidRDefault="008012E4" w:rsidP="008012E4">
      <w:pPr>
        <w:numPr>
          <w:ilvl w:val="0"/>
          <w:numId w:val="5"/>
        </w:numPr>
        <w:spacing w:after="160" w:line="259" w:lineRule="auto"/>
        <w:jc w:val="left"/>
        <w:rPr>
          <w:rFonts w:eastAsia="Calibri"/>
          <w:b/>
        </w:rPr>
      </w:pPr>
      <w:r w:rsidRPr="008012E4">
        <w:rPr>
          <w:rFonts w:eastAsia="Calibri"/>
          <w:b/>
        </w:rPr>
        <w:t>Principle of Legality</w:t>
      </w:r>
    </w:p>
    <w:p w14:paraId="208EE78D" w14:textId="77777777" w:rsidR="008012E4" w:rsidRPr="008012E4" w:rsidRDefault="008012E4" w:rsidP="008012E4">
      <w:pPr>
        <w:numPr>
          <w:ilvl w:val="1"/>
          <w:numId w:val="5"/>
        </w:numPr>
        <w:spacing w:after="160" w:line="259" w:lineRule="auto"/>
        <w:jc w:val="left"/>
        <w:rPr>
          <w:rFonts w:eastAsia="Calibri"/>
          <w:b/>
        </w:rPr>
      </w:pPr>
      <w:r w:rsidRPr="008012E4">
        <w:rPr>
          <w:rFonts w:eastAsia="Calibri"/>
          <w:i/>
        </w:rPr>
        <w:t>Assignment 4:</w:t>
      </w:r>
      <w:r w:rsidRPr="008012E4">
        <w:rPr>
          <w:rFonts w:eastAsia="Calibri"/>
        </w:rPr>
        <w:t xml:space="preserve"> Read CB pp. 91-94 &amp; 105-14 &amp; Chicago v. Morales</w:t>
      </w:r>
      <w:r w:rsidRPr="008012E4">
        <w:rPr>
          <w:rFonts w:eastAsia="Calibri"/>
          <w:i/>
        </w:rPr>
        <w:t xml:space="preserve"> </w:t>
      </w:r>
      <w:r w:rsidRPr="008012E4">
        <w:rPr>
          <w:rFonts w:eastAsia="Calibri"/>
        </w:rPr>
        <w:t>(1999) (posted excerpts)</w:t>
      </w:r>
    </w:p>
    <w:p w14:paraId="2555C133" w14:textId="77777777" w:rsidR="008012E4" w:rsidRPr="008012E4" w:rsidRDefault="008012E4" w:rsidP="008012E4">
      <w:pPr>
        <w:spacing w:after="160" w:line="259" w:lineRule="auto"/>
        <w:jc w:val="left"/>
        <w:rPr>
          <w:rFonts w:eastAsia="Calibri"/>
          <w:b/>
          <w:u w:val="single"/>
        </w:rPr>
      </w:pPr>
      <w:r w:rsidRPr="008012E4">
        <w:rPr>
          <w:rFonts w:eastAsia="Calibri"/>
          <w:b/>
          <w:u w:val="single"/>
        </w:rPr>
        <w:t>II.  General Elements of a Crime</w:t>
      </w:r>
    </w:p>
    <w:p w14:paraId="65E1851C" w14:textId="77777777" w:rsidR="008012E4" w:rsidRPr="008012E4" w:rsidRDefault="008012E4" w:rsidP="008012E4">
      <w:pPr>
        <w:numPr>
          <w:ilvl w:val="0"/>
          <w:numId w:val="3"/>
        </w:numPr>
        <w:spacing w:after="160" w:line="259" w:lineRule="auto"/>
        <w:jc w:val="left"/>
        <w:rPr>
          <w:rFonts w:eastAsia="Calibri"/>
          <w:b/>
        </w:rPr>
      </w:pPr>
      <w:r w:rsidRPr="008012E4">
        <w:rPr>
          <w:rFonts w:eastAsia="Calibri"/>
          <w:b/>
        </w:rPr>
        <w:t>Actus Reus</w:t>
      </w:r>
    </w:p>
    <w:p w14:paraId="17BC7D3C"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Assignment 5</w:t>
      </w:r>
      <w:r w:rsidRPr="008012E4">
        <w:rPr>
          <w:rFonts w:eastAsia="Calibri"/>
        </w:rPr>
        <w:t>: Read CB pp. 129-41 (voluntary act)</w:t>
      </w:r>
    </w:p>
    <w:p w14:paraId="351D1627"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Assignment 6</w:t>
      </w:r>
      <w:r w:rsidRPr="008012E4">
        <w:rPr>
          <w:rFonts w:eastAsia="Calibri"/>
        </w:rPr>
        <w:t>: Read CB pp. 141-156 (omissions and social harm)</w:t>
      </w:r>
    </w:p>
    <w:p w14:paraId="37E7A837" w14:textId="77777777" w:rsidR="008012E4" w:rsidRPr="008012E4" w:rsidRDefault="008012E4" w:rsidP="008012E4">
      <w:pPr>
        <w:numPr>
          <w:ilvl w:val="0"/>
          <w:numId w:val="3"/>
        </w:numPr>
        <w:spacing w:after="160" w:line="259" w:lineRule="auto"/>
        <w:jc w:val="left"/>
        <w:rPr>
          <w:rFonts w:eastAsia="Calibri"/>
          <w:b/>
        </w:rPr>
      </w:pPr>
      <w:proofErr w:type="spellStart"/>
      <w:r w:rsidRPr="008012E4">
        <w:rPr>
          <w:rFonts w:eastAsia="Calibri"/>
          <w:b/>
        </w:rPr>
        <w:t>Mens</w:t>
      </w:r>
      <w:proofErr w:type="spellEnd"/>
      <w:r w:rsidRPr="008012E4">
        <w:rPr>
          <w:rFonts w:eastAsia="Calibri"/>
          <w:b/>
        </w:rPr>
        <w:t xml:space="preserve"> Rea   </w:t>
      </w:r>
    </w:p>
    <w:p w14:paraId="4D2D1BD9"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Assignment 7</w:t>
      </w:r>
      <w:r w:rsidRPr="008012E4">
        <w:rPr>
          <w:rFonts w:eastAsia="Calibri"/>
        </w:rPr>
        <w:t>: Read CB pp. 157-73 (overview and general issues)</w:t>
      </w:r>
    </w:p>
    <w:p w14:paraId="569233D0"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Assignment 8</w:t>
      </w:r>
      <w:r w:rsidRPr="008012E4">
        <w:rPr>
          <w:rFonts w:eastAsia="Calibri"/>
        </w:rPr>
        <w:t xml:space="preserve">: Read CB pp. 173-86 (willful blindness; discerning statutory </w:t>
      </w:r>
      <w:proofErr w:type="spellStart"/>
      <w:r w:rsidRPr="008012E4">
        <w:rPr>
          <w:rFonts w:eastAsia="Calibri"/>
        </w:rPr>
        <w:t>mens</w:t>
      </w:r>
      <w:proofErr w:type="spellEnd"/>
      <w:r w:rsidRPr="008012E4">
        <w:rPr>
          <w:rFonts w:eastAsia="Calibri"/>
        </w:rPr>
        <w:t xml:space="preserve"> rea)</w:t>
      </w:r>
    </w:p>
    <w:p w14:paraId="41DAA68D"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Assignment 9</w:t>
      </w:r>
      <w:r w:rsidRPr="008012E4">
        <w:rPr>
          <w:rFonts w:eastAsia="Calibri"/>
        </w:rPr>
        <w:t>: Read CB pp. 186-205 (strict liability crimes)</w:t>
      </w:r>
    </w:p>
    <w:p w14:paraId="7C344FF4"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Assignment 10</w:t>
      </w:r>
      <w:r w:rsidRPr="008012E4">
        <w:rPr>
          <w:rFonts w:eastAsia="Calibri"/>
        </w:rPr>
        <w:t>: Read CB pp. 205-26 (mistake of fact and mistake of law)</w:t>
      </w:r>
    </w:p>
    <w:p w14:paraId="7DEC3095" w14:textId="77777777" w:rsidR="008012E4" w:rsidRPr="008012E4" w:rsidRDefault="008012E4" w:rsidP="008012E4">
      <w:pPr>
        <w:numPr>
          <w:ilvl w:val="0"/>
          <w:numId w:val="3"/>
        </w:numPr>
        <w:spacing w:after="160" w:line="259" w:lineRule="auto"/>
        <w:jc w:val="left"/>
        <w:rPr>
          <w:rFonts w:eastAsia="Calibri"/>
        </w:rPr>
      </w:pPr>
      <w:r w:rsidRPr="008012E4">
        <w:rPr>
          <w:rFonts w:eastAsia="Calibri"/>
          <w:b/>
        </w:rPr>
        <w:t>Causation (Result Crimes)</w:t>
      </w:r>
    </w:p>
    <w:p w14:paraId="6910C886"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Assignment 11</w:t>
      </w:r>
      <w:r w:rsidRPr="008012E4">
        <w:rPr>
          <w:rFonts w:eastAsia="Calibri"/>
        </w:rPr>
        <w:t xml:space="preserve">: Read CB pp. 227-34 (actual cause, introduction to proximate cause) </w:t>
      </w:r>
    </w:p>
    <w:p w14:paraId="43E9BB62"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Assignment 12</w:t>
      </w:r>
      <w:r w:rsidRPr="008012E4">
        <w:rPr>
          <w:rFonts w:eastAsia="Calibri"/>
        </w:rPr>
        <w:t xml:space="preserve">: Read CB pp. 234-49 (determining proximate cause; concurrence of the elements) </w:t>
      </w:r>
    </w:p>
    <w:p w14:paraId="78C67E5B" w14:textId="77777777" w:rsidR="008012E4" w:rsidRPr="008012E4" w:rsidRDefault="008012E4" w:rsidP="008012E4">
      <w:pPr>
        <w:spacing w:after="160" w:line="259" w:lineRule="auto"/>
        <w:jc w:val="left"/>
        <w:rPr>
          <w:rFonts w:eastAsia="Calibri"/>
        </w:rPr>
      </w:pPr>
    </w:p>
    <w:p w14:paraId="71EA6E81" w14:textId="77777777" w:rsidR="0037518B" w:rsidRDefault="0037518B">
      <w:pPr>
        <w:rPr>
          <w:rFonts w:eastAsia="Calibri"/>
          <w:b/>
          <w:u w:val="single"/>
        </w:rPr>
      </w:pPr>
      <w:r>
        <w:rPr>
          <w:rFonts w:eastAsia="Calibri"/>
          <w:b/>
          <w:u w:val="single"/>
        </w:rPr>
        <w:br w:type="page"/>
      </w:r>
    </w:p>
    <w:p w14:paraId="499E3809" w14:textId="77777777" w:rsidR="008012E4" w:rsidRPr="008012E4" w:rsidRDefault="008012E4" w:rsidP="008012E4">
      <w:pPr>
        <w:spacing w:after="160" w:line="259" w:lineRule="auto"/>
        <w:jc w:val="left"/>
        <w:rPr>
          <w:rFonts w:eastAsia="Calibri"/>
          <w:b/>
          <w:u w:val="single"/>
        </w:rPr>
      </w:pPr>
      <w:r w:rsidRPr="008012E4">
        <w:rPr>
          <w:rFonts w:eastAsia="Calibri"/>
          <w:b/>
          <w:u w:val="single"/>
        </w:rPr>
        <w:lastRenderedPageBreak/>
        <w:t>III.  Study of Selected Crime: Homicide</w:t>
      </w:r>
    </w:p>
    <w:p w14:paraId="55D87DC5" w14:textId="77777777" w:rsidR="008012E4" w:rsidRPr="008012E4" w:rsidRDefault="008012E4" w:rsidP="008012E4">
      <w:pPr>
        <w:numPr>
          <w:ilvl w:val="0"/>
          <w:numId w:val="4"/>
        </w:numPr>
        <w:spacing w:after="160" w:line="259" w:lineRule="auto"/>
        <w:jc w:val="left"/>
        <w:rPr>
          <w:rFonts w:eastAsia="Calibri"/>
          <w:b/>
        </w:rPr>
      </w:pPr>
      <w:r w:rsidRPr="008012E4">
        <w:rPr>
          <w:rFonts w:eastAsia="Calibri"/>
          <w:b/>
        </w:rPr>
        <w:t>Homicide</w:t>
      </w:r>
    </w:p>
    <w:p w14:paraId="6D5DD9DC" w14:textId="77777777" w:rsidR="008012E4" w:rsidRPr="008012E4" w:rsidRDefault="008012E4" w:rsidP="008012E4">
      <w:pPr>
        <w:numPr>
          <w:ilvl w:val="0"/>
          <w:numId w:val="5"/>
        </w:numPr>
        <w:spacing w:after="160" w:line="259" w:lineRule="auto"/>
        <w:jc w:val="left"/>
        <w:rPr>
          <w:rFonts w:eastAsia="Calibri"/>
          <w:b/>
        </w:rPr>
      </w:pPr>
      <w:r w:rsidRPr="008012E4">
        <w:rPr>
          <w:rFonts w:eastAsia="Calibri"/>
          <w:i/>
        </w:rPr>
        <w:t>Assignment 13</w:t>
      </w:r>
      <w:r w:rsidRPr="008012E4">
        <w:rPr>
          <w:rFonts w:eastAsia="Calibri"/>
        </w:rPr>
        <w:t xml:space="preserve">: Read CB pp. 251-63 (intro) &amp; CB pp. 270-82 (deliberate, premeditated killings) </w:t>
      </w:r>
    </w:p>
    <w:p w14:paraId="447BD152" w14:textId="77777777" w:rsidR="008012E4" w:rsidRPr="008012E4" w:rsidRDefault="008012E4" w:rsidP="008012E4">
      <w:pPr>
        <w:numPr>
          <w:ilvl w:val="0"/>
          <w:numId w:val="5"/>
        </w:numPr>
        <w:spacing w:after="160" w:line="259" w:lineRule="auto"/>
        <w:jc w:val="left"/>
        <w:rPr>
          <w:rFonts w:eastAsia="Calibri"/>
          <w:b/>
        </w:rPr>
      </w:pPr>
      <w:r w:rsidRPr="008012E4">
        <w:rPr>
          <w:rFonts w:eastAsia="Calibri"/>
          <w:i/>
        </w:rPr>
        <w:t>Assignment 14:</w:t>
      </w:r>
      <w:r w:rsidRPr="008012E4">
        <w:rPr>
          <w:rFonts w:eastAsia="Calibri"/>
        </w:rPr>
        <w:t xml:space="preserve"> Read CB pp. 282-310 (intentional killings in heat of passion or emotional distress)</w:t>
      </w:r>
    </w:p>
    <w:p w14:paraId="5D1A0F21" w14:textId="77777777" w:rsidR="008012E4" w:rsidRPr="008012E4" w:rsidRDefault="008012E4" w:rsidP="008012E4">
      <w:pPr>
        <w:numPr>
          <w:ilvl w:val="0"/>
          <w:numId w:val="5"/>
        </w:numPr>
        <w:spacing w:after="160" w:line="259" w:lineRule="auto"/>
        <w:jc w:val="left"/>
        <w:rPr>
          <w:rFonts w:eastAsia="Calibri"/>
          <w:b/>
        </w:rPr>
      </w:pPr>
      <w:r w:rsidRPr="008012E4">
        <w:rPr>
          <w:rFonts w:eastAsia="Calibri"/>
          <w:i/>
        </w:rPr>
        <w:t>Assignment 15:</w:t>
      </w:r>
      <w:r w:rsidRPr="008012E4">
        <w:rPr>
          <w:rFonts w:eastAsia="Calibri"/>
        </w:rPr>
        <w:t xml:space="preserve"> Read CB pp. 313-29 (unintentional killings resulting from unjustified risk-taking)  </w:t>
      </w:r>
    </w:p>
    <w:p w14:paraId="4BC344BF"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Assignment 16:</w:t>
      </w:r>
      <w:r w:rsidRPr="008012E4">
        <w:rPr>
          <w:rFonts w:eastAsia="Calibri"/>
        </w:rPr>
        <w:t xml:space="preserve"> Read CB pp. 329-336 &amp; 341-49 (felony murder)</w:t>
      </w:r>
    </w:p>
    <w:p w14:paraId="1D313279"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 xml:space="preserve">Assignment 17: </w:t>
      </w:r>
      <w:r w:rsidRPr="008012E4">
        <w:rPr>
          <w:rFonts w:eastAsia="Calibri"/>
        </w:rPr>
        <w:t xml:space="preserve">Read CB pp. 349-59 (felony murder) </w:t>
      </w:r>
    </w:p>
    <w:p w14:paraId="036A12B2" w14:textId="77777777" w:rsidR="008012E4" w:rsidRPr="008012E4" w:rsidRDefault="008012E4" w:rsidP="008012E4">
      <w:pPr>
        <w:spacing w:after="160" w:line="259" w:lineRule="auto"/>
        <w:jc w:val="left"/>
        <w:rPr>
          <w:rFonts w:eastAsia="Calibri"/>
          <w:b/>
          <w:u w:val="single"/>
        </w:rPr>
      </w:pPr>
      <w:r w:rsidRPr="008012E4">
        <w:rPr>
          <w:rFonts w:eastAsia="Calibri"/>
          <w:b/>
          <w:u w:val="single"/>
        </w:rPr>
        <w:t xml:space="preserve">IV. Defenses </w:t>
      </w:r>
    </w:p>
    <w:p w14:paraId="175BD5C3" w14:textId="77777777" w:rsidR="008012E4" w:rsidRPr="008012E4" w:rsidRDefault="008012E4" w:rsidP="008012E4">
      <w:pPr>
        <w:numPr>
          <w:ilvl w:val="0"/>
          <w:numId w:val="6"/>
        </w:numPr>
        <w:spacing w:after="160" w:line="259" w:lineRule="auto"/>
        <w:jc w:val="left"/>
        <w:rPr>
          <w:rFonts w:eastAsia="Calibri"/>
          <w:b/>
        </w:rPr>
      </w:pPr>
      <w:r w:rsidRPr="008012E4">
        <w:rPr>
          <w:rFonts w:eastAsia="Calibri"/>
          <w:b/>
        </w:rPr>
        <w:t>Justifications</w:t>
      </w:r>
    </w:p>
    <w:p w14:paraId="39245BED" w14:textId="77777777" w:rsidR="008012E4" w:rsidRPr="008012E4" w:rsidRDefault="008012E4" w:rsidP="008012E4">
      <w:pPr>
        <w:numPr>
          <w:ilvl w:val="1"/>
          <w:numId w:val="5"/>
        </w:numPr>
        <w:spacing w:after="160" w:line="259" w:lineRule="auto"/>
        <w:jc w:val="left"/>
        <w:rPr>
          <w:rFonts w:eastAsia="Calibri"/>
        </w:rPr>
      </w:pPr>
      <w:r w:rsidRPr="008012E4">
        <w:rPr>
          <w:rFonts w:eastAsia="Calibri"/>
          <w:b/>
        </w:rPr>
        <w:t>Self-Defense</w:t>
      </w:r>
    </w:p>
    <w:p w14:paraId="42E774E1" w14:textId="77777777" w:rsidR="008012E4" w:rsidRPr="008012E4" w:rsidRDefault="008012E4" w:rsidP="008012E4">
      <w:pPr>
        <w:numPr>
          <w:ilvl w:val="2"/>
          <w:numId w:val="5"/>
        </w:numPr>
        <w:spacing w:after="160" w:line="259" w:lineRule="auto"/>
        <w:jc w:val="left"/>
        <w:rPr>
          <w:rFonts w:eastAsia="Calibri"/>
          <w:b/>
        </w:rPr>
      </w:pPr>
      <w:r w:rsidRPr="008012E4">
        <w:rPr>
          <w:rFonts w:eastAsia="Calibri"/>
          <w:i/>
        </w:rPr>
        <w:t>Assignment 18</w:t>
      </w:r>
      <w:r w:rsidRPr="008012E4">
        <w:rPr>
          <w:rFonts w:eastAsia="Calibri"/>
        </w:rPr>
        <w:t>: Read CB pp. 497-503 (overview) &amp; CB pp. 513-27 (principles)</w:t>
      </w:r>
    </w:p>
    <w:p w14:paraId="447BB727" w14:textId="77777777" w:rsidR="008012E4" w:rsidRPr="008012E4" w:rsidRDefault="008012E4" w:rsidP="008012E4">
      <w:pPr>
        <w:numPr>
          <w:ilvl w:val="2"/>
          <w:numId w:val="5"/>
        </w:numPr>
        <w:spacing w:after="160" w:line="259" w:lineRule="auto"/>
        <w:jc w:val="left"/>
        <w:rPr>
          <w:rFonts w:eastAsia="Calibri"/>
        </w:rPr>
      </w:pPr>
      <w:r w:rsidRPr="008012E4">
        <w:rPr>
          <w:rFonts w:eastAsia="Calibri"/>
          <w:i/>
        </w:rPr>
        <w:t>Assignment 19</w:t>
      </w:r>
      <w:r w:rsidRPr="008012E4">
        <w:rPr>
          <w:rFonts w:eastAsia="Calibri"/>
        </w:rPr>
        <w:t>: Read CB pp. 527-49 (defining “reasonable”)</w:t>
      </w:r>
    </w:p>
    <w:p w14:paraId="592E1DB8" w14:textId="77777777" w:rsidR="008012E4" w:rsidRPr="008012E4" w:rsidRDefault="008012E4" w:rsidP="008012E4">
      <w:pPr>
        <w:numPr>
          <w:ilvl w:val="0"/>
          <w:numId w:val="6"/>
        </w:numPr>
        <w:spacing w:after="160" w:line="259" w:lineRule="auto"/>
        <w:jc w:val="left"/>
        <w:rPr>
          <w:rFonts w:eastAsia="Calibri"/>
        </w:rPr>
      </w:pPr>
      <w:r w:rsidRPr="008012E4">
        <w:rPr>
          <w:rFonts w:eastAsia="Calibri"/>
          <w:b/>
        </w:rPr>
        <w:t>Excuse</w:t>
      </w:r>
    </w:p>
    <w:p w14:paraId="593711C8" w14:textId="77777777" w:rsidR="008012E4" w:rsidRPr="008012E4" w:rsidRDefault="008012E4" w:rsidP="008012E4">
      <w:pPr>
        <w:numPr>
          <w:ilvl w:val="0"/>
          <w:numId w:val="7"/>
        </w:numPr>
        <w:spacing w:after="160" w:line="259" w:lineRule="auto"/>
        <w:jc w:val="left"/>
        <w:rPr>
          <w:rFonts w:eastAsia="Calibri"/>
        </w:rPr>
      </w:pPr>
      <w:r w:rsidRPr="008012E4">
        <w:rPr>
          <w:rFonts w:eastAsia="Calibri"/>
          <w:b/>
        </w:rPr>
        <w:t>Duress</w:t>
      </w:r>
    </w:p>
    <w:p w14:paraId="30B1FBC0" w14:textId="77777777" w:rsidR="008012E4" w:rsidRPr="008012E4" w:rsidRDefault="008012E4" w:rsidP="008012E4">
      <w:pPr>
        <w:numPr>
          <w:ilvl w:val="1"/>
          <w:numId w:val="7"/>
        </w:numPr>
        <w:spacing w:after="160" w:line="259" w:lineRule="auto"/>
        <w:contextualSpacing/>
        <w:jc w:val="left"/>
        <w:rPr>
          <w:rFonts w:eastAsia="Calibri"/>
        </w:rPr>
      </w:pPr>
      <w:r w:rsidRPr="008012E4">
        <w:rPr>
          <w:rFonts w:eastAsia="Calibri"/>
          <w:i/>
        </w:rPr>
        <w:t>Assignment 20</w:t>
      </w:r>
      <w:r w:rsidRPr="008012E4">
        <w:rPr>
          <w:rFonts w:eastAsia="Calibri"/>
        </w:rPr>
        <w:t>: Read CB pp. 601-05 (background) &amp; CB pp. 605-19 (principles)</w:t>
      </w:r>
    </w:p>
    <w:p w14:paraId="3713C347" w14:textId="77777777" w:rsidR="008012E4" w:rsidRPr="008012E4" w:rsidRDefault="008012E4" w:rsidP="008012E4">
      <w:pPr>
        <w:numPr>
          <w:ilvl w:val="0"/>
          <w:numId w:val="5"/>
        </w:numPr>
        <w:spacing w:after="160" w:line="259" w:lineRule="auto"/>
        <w:jc w:val="left"/>
        <w:rPr>
          <w:rFonts w:eastAsia="Calibri"/>
        </w:rPr>
      </w:pPr>
      <w:r w:rsidRPr="008012E4">
        <w:rPr>
          <w:rFonts w:eastAsia="Calibri"/>
          <w:b/>
        </w:rPr>
        <w:t>Attempt</w:t>
      </w:r>
    </w:p>
    <w:p w14:paraId="0C373C0F" w14:textId="77777777" w:rsidR="008012E4" w:rsidRPr="008012E4" w:rsidRDefault="008012E4" w:rsidP="008012E4">
      <w:pPr>
        <w:numPr>
          <w:ilvl w:val="1"/>
          <w:numId w:val="5"/>
        </w:numPr>
        <w:spacing w:after="160" w:line="259" w:lineRule="auto"/>
        <w:jc w:val="left"/>
        <w:rPr>
          <w:rFonts w:eastAsia="Calibri"/>
        </w:rPr>
      </w:pPr>
      <w:r w:rsidRPr="008012E4">
        <w:rPr>
          <w:rFonts w:eastAsia="Calibri"/>
          <w:i/>
        </w:rPr>
        <w:t xml:space="preserve">Assignment 21: </w:t>
      </w:r>
      <w:r w:rsidRPr="008012E4">
        <w:rPr>
          <w:rFonts w:eastAsia="Calibri"/>
        </w:rPr>
        <w:t>Read CB pp. 749-52 (introduction) &amp; CB pp. 752-66 (</w:t>
      </w:r>
      <w:proofErr w:type="spellStart"/>
      <w:r w:rsidRPr="008012E4">
        <w:rPr>
          <w:rFonts w:eastAsia="Calibri"/>
          <w:i/>
        </w:rPr>
        <w:t>mens</w:t>
      </w:r>
      <w:proofErr w:type="spellEnd"/>
      <w:r w:rsidRPr="008012E4">
        <w:rPr>
          <w:rFonts w:eastAsia="Calibri"/>
          <w:i/>
        </w:rPr>
        <w:t xml:space="preserve"> rea </w:t>
      </w:r>
      <w:r w:rsidRPr="008012E4">
        <w:rPr>
          <w:rFonts w:eastAsia="Calibri"/>
        </w:rPr>
        <w:t>of an attempt)</w:t>
      </w:r>
    </w:p>
    <w:p w14:paraId="3E07C6F1" w14:textId="77777777" w:rsidR="008012E4" w:rsidRPr="008012E4" w:rsidRDefault="008012E4" w:rsidP="008012E4">
      <w:pPr>
        <w:numPr>
          <w:ilvl w:val="1"/>
          <w:numId w:val="5"/>
        </w:numPr>
        <w:spacing w:after="160" w:line="259" w:lineRule="auto"/>
        <w:jc w:val="left"/>
        <w:rPr>
          <w:rFonts w:eastAsia="Calibri"/>
        </w:rPr>
      </w:pPr>
      <w:r w:rsidRPr="008012E4">
        <w:rPr>
          <w:rFonts w:eastAsia="Calibri"/>
          <w:i/>
        </w:rPr>
        <w:t xml:space="preserve">Assignment 22: </w:t>
      </w:r>
      <w:r w:rsidRPr="008012E4">
        <w:rPr>
          <w:rFonts w:eastAsia="Calibri"/>
        </w:rPr>
        <w:t>Read CB pp. 766-88 (</w:t>
      </w:r>
      <w:r w:rsidRPr="008012E4">
        <w:rPr>
          <w:rFonts w:eastAsia="Calibri"/>
          <w:i/>
        </w:rPr>
        <w:t xml:space="preserve">actus </w:t>
      </w:r>
      <w:proofErr w:type="spellStart"/>
      <w:r w:rsidRPr="008012E4">
        <w:rPr>
          <w:rFonts w:eastAsia="Calibri"/>
          <w:i/>
        </w:rPr>
        <w:t>reus</w:t>
      </w:r>
      <w:proofErr w:type="spellEnd"/>
      <w:r w:rsidRPr="008012E4">
        <w:rPr>
          <w:rFonts w:eastAsia="Calibri"/>
          <w:i/>
        </w:rPr>
        <w:t xml:space="preserve"> </w:t>
      </w:r>
      <w:r w:rsidRPr="008012E4">
        <w:rPr>
          <w:rFonts w:eastAsia="Calibri"/>
        </w:rPr>
        <w:t>of an attempt)</w:t>
      </w:r>
    </w:p>
    <w:p w14:paraId="4B67EDEE" w14:textId="77777777" w:rsidR="008012E4" w:rsidRPr="008012E4" w:rsidRDefault="008012E4" w:rsidP="008012E4">
      <w:pPr>
        <w:numPr>
          <w:ilvl w:val="0"/>
          <w:numId w:val="5"/>
        </w:numPr>
        <w:spacing w:after="160" w:line="259" w:lineRule="auto"/>
        <w:jc w:val="left"/>
        <w:rPr>
          <w:rFonts w:eastAsia="Calibri"/>
        </w:rPr>
      </w:pPr>
      <w:r w:rsidRPr="008012E4">
        <w:rPr>
          <w:rFonts w:eastAsia="Calibri"/>
          <w:b/>
        </w:rPr>
        <w:t>Conspiracy</w:t>
      </w:r>
    </w:p>
    <w:p w14:paraId="6D1FB041" w14:textId="77777777" w:rsidR="008012E4" w:rsidRPr="008012E4" w:rsidRDefault="008012E4" w:rsidP="008012E4">
      <w:pPr>
        <w:numPr>
          <w:ilvl w:val="1"/>
          <w:numId w:val="5"/>
        </w:numPr>
        <w:spacing w:after="160" w:line="259" w:lineRule="auto"/>
        <w:jc w:val="left"/>
        <w:rPr>
          <w:rFonts w:eastAsia="Calibri"/>
        </w:rPr>
      </w:pPr>
      <w:r w:rsidRPr="008012E4">
        <w:rPr>
          <w:rFonts w:eastAsia="Calibri"/>
          <w:i/>
        </w:rPr>
        <w:t xml:space="preserve">Assignment 23: </w:t>
      </w:r>
      <w:r w:rsidRPr="008012E4">
        <w:rPr>
          <w:rFonts w:eastAsia="Calibri"/>
        </w:rPr>
        <w:t>Read CB pp. 822-30 (principles) &amp; CB pp. 831-41 (</w:t>
      </w:r>
      <w:proofErr w:type="spellStart"/>
      <w:r w:rsidRPr="008012E4">
        <w:rPr>
          <w:rFonts w:eastAsia="Calibri"/>
          <w:i/>
        </w:rPr>
        <w:t>mens</w:t>
      </w:r>
      <w:proofErr w:type="spellEnd"/>
      <w:r w:rsidRPr="008012E4">
        <w:rPr>
          <w:rFonts w:eastAsia="Calibri"/>
          <w:i/>
        </w:rPr>
        <w:t xml:space="preserve"> rea</w:t>
      </w:r>
      <w:r w:rsidRPr="008012E4">
        <w:rPr>
          <w:rFonts w:eastAsia="Calibri"/>
        </w:rPr>
        <w:t>)</w:t>
      </w:r>
    </w:p>
    <w:p w14:paraId="73B9A3EC" w14:textId="77777777" w:rsidR="008012E4" w:rsidRPr="008012E4" w:rsidRDefault="008012E4" w:rsidP="008012E4">
      <w:pPr>
        <w:numPr>
          <w:ilvl w:val="1"/>
          <w:numId w:val="5"/>
        </w:numPr>
        <w:spacing w:after="160" w:line="259" w:lineRule="auto"/>
        <w:jc w:val="left"/>
        <w:rPr>
          <w:rFonts w:eastAsia="Calibri"/>
        </w:rPr>
      </w:pPr>
      <w:r w:rsidRPr="008012E4">
        <w:rPr>
          <w:rFonts w:eastAsia="Calibri"/>
          <w:i/>
        </w:rPr>
        <w:t>Assignment 24</w:t>
      </w:r>
      <w:r w:rsidRPr="008012E4">
        <w:rPr>
          <w:rFonts w:eastAsia="Calibri"/>
        </w:rPr>
        <w:t>: Read CB pp. 842-56 (</w:t>
      </w:r>
      <w:r w:rsidRPr="008012E4">
        <w:rPr>
          <w:rFonts w:eastAsia="Calibri"/>
          <w:i/>
        </w:rPr>
        <w:t xml:space="preserve">actus </w:t>
      </w:r>
      <w:proofErr w:type="spellStart"/>
      <w:r w:rsidRPr="008012E4">
        <w:rPr>
          <w:rFonts w:eastAsia="Calibri"/>
          <w:i/>
        </w:rPr>
        <w:t>reus</w:t>
      </w:r>
      <w:proofErr w:type="spellEnd"/>
      <w:r w:rsidRPr="008012E4">
        <w:rPr>
          <w:rFonts w:eastAsia="Calibri"/>
        </w:rPr>
        <w:t>) &amp; CB pp. 872-75 (withdrawal defense)</w:t>
      </w:r>
    </w:p>
    <w:p w14:paraId="33D28DBF" w14:textId="77777777" w:rsidR="008012E4" w:rsidRPr="008012E4" w:rsidRDefault="008012E4" w:rsidP="008012E4">
      <w:pPr>
        <w:spacing w:after="160" w:line="259" w:lineRule="auto"/>
        <w:jc w:val="left"/>
        <w:rPr>
          <w:rFonts w:eastAsia="Calibri"/>
          <w:b/>
        </w:rPr>
      </w:pPr>
    </w:p>
    <w:p w14:paraId="2F94995A" w14:textId="77777777" w:rsidR="0037518B" w:rsidRDefault="0037518B">
      <w:pPr>
        <w:rPr>
          <w:rFonts w:eastAsia="Calibri"/>
          <w:b/>
          <w:u w:val="single"/>
        </w:rPr>
      </w:pPr>
      <w:r>
        <w:rPr>
          <w:rFonts w:eastAsia="Calibri"/>
          <w:b/>
          <w:u w:val="single"/>
        </w:rPr>
        <w:br w:type="page"/>
      </w:r>
    </w:p>
    <w:p w14:paraId="72CBD7AD" w14:textId="77777777" w:rsidR="008012E4" w:rsidRPr="008012E4" w:rsidRDefault="008012E4" w:rsidP="008012E4">
      <w:pPr>
        <w:spacing w:after="160" w:line="259" w:lineRule="auto"/>
        <w:jc w:val="left"/>
        <w:rPr>
          <w:rFonts w:eastAsia="Calibri"/>
          <w:b/>
          <w:u w:val="single"/>
        </w:rPr>
      </w:pPr>
      <w:r w:rsidRPr="008012E4">
        <w:rPr>
          <w:rFonts w:eastAsia="Calibri"/>
          <w:b/>
          <w:u w:val="single"/>
        </w:rPr>
        <w:lastRenderedPageBreak/>
        <w:t>V. Accomplice Liability</w:t>
      </w:r>
    </w:p>
    <w:p w14:paraId="111DFAB7"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Assignment 25</w:t>
      </w:r>
      <w:r w:rsidRPr="008012E4">
        <w:rPr>
          <w:rFonts w:eastAsia="Calibri"/>
        </w:rPr>
        <w:t>: Read CB pp. 877-81 (background) &amp; pp. 885-99 (</w:t>
      </w:r>
      <w:proofErr w:type="spellStart"/>
      <w:r w:rsidRPr="008012E4">
        <w:rPr>
          <w:rFonts w:eastAsia="Calibri"/>
          <w:i/>
        </w:rPr>
        <w:t>mens</w:t>
      </w:r>
      <w:proofErr w:type="spellEnd"/>
      <w:r w:rsidRPr="008012E4">
        <w:rPr>
          <w:rFonts w:eastAsia="Calibri"/>
          <w:i/>
        </w:rPr>
        <w:t xml:space="preserve"> rea</w:t>
      </w:r>
      <w:r w:rsidRPr="008012E4">
        <w:rPr>
          <w:rFonts w:eastAsia="Calibri"/>
        </w:rPr>
        <w:t xml:space="preserve">); </w:t>
      </w:r>
      <w:r w:rsidRPr="008012E4">
        <w:rPr>
          <w:rFonts w:eastAsia="Calibri"/>
          <w:u w:val="single"/>
        </w:rPr>
        <w:t>re</w:t>
      </w:r>
      <w:r w:rsidRPr="008012E4">
        <w:rPr>
          <w:rFonts w:eastAsia="Calibri"/>
        </w:rPr>
        <w:t>-read pp. 836-41 (</w:t>
      </w:r>
      <w:proofErr w:type="spellStart"/>
      <w:r w:rsidRPr="008012E4">
        <w:rPr>
          <w:rFonts w:eastAsia="Calibri"/>
          <w:i/>
        </w:rPr>
        <w:t>Lauria</w:t>
      </w:r>
      <w:proofErr w:type="spellEnd"/>
      <w:r w:rsidRPr="008012E4">
        <w:rPr>
          <w:rFonts w:eastAsia="Calibri"/>
        </w:rPr>
        <w:t>)</w:t>
      </w:r>
      <w:r w:rsidRPr="008012E4">
        <w:rPr>
          <w:rFonts w:eastAsia="Calibri"/>
          <w:i/>
        </w:rPr>
        <w:t xml:space="preserve"> </w:t>
      </w:r>
    </w:p>
    <w:p w14:paraId="4628037D"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Assignment 26</w:t>
      </w:r>
      <w:r w:rsidRPr="008012E4">
        <w:rPr>
          <w:rFonts w:eastAsia="Calibri"/>
        </w:rPr>
        <w:t>: Read CB pp. 899-910 (</w:t>
      </w:r>
      <w:r w:rsidRPr="008012E4">
        <w:rPr>
          <w:rFonts w:eastAsia="Calibri"/>
          <w:i/>
        </w:rPr>
        <w:t xml:space="preserve">actus </w:t>
      </w:r>
      <w:proofErr w:type="spellStart"/>
      <w:r w:rsidRPr="008012E4">
        <w:rPr>
          <w:rFonts w:eastAsia="Calibri"/>
          <w:i/>
        </w:rPr>
        <w:t>reus</w:t>
      </w:r>
      <w:proofErr w:type="spellEnd"/>
      <w:r w:rsidRPr="008012E4">
        <w:rPr>
          <w:rFonts w:eastAsia="Calibri"/>
        </w:rPr>
        <w:t>)</w:t>
      </w:r>
    </w:p>
    <w:p w14:paraId="081AB76B" w14:textId="77777777" w:rsidR="00D64969" w:rsidRDefault="00D64969" w:rsidP="00D64969"/>
    <w:sectPr w:rsidR="00D64969" w:rsidSect="00334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05E00"/>
    <w:multiLevelType w:val="hybridMultilevel"/>
    <w:tmpl w:val="D04A49D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257E0C"/>
    <w:multiLevelType w:val="hybridMultilevel"/>
    <w:tmpl w:val="C384134A"/>
    <w:lvl w:ilvl="0" w:tplc="6ACEBB72">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7B0868DE">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F63DD"/>
    <w:multiLevelType w:val="hybridMultilevel"/>
    <w:tmpl w:val="176AA18C"/>
    <w:lvl w:ilvl="0" w:tplc="2A0C5B9A">
      <w:start w:val="1"/>
      <w:numFmt w:val="bullet"/>
      <w:lvlText w:val=""/>
      <w:lvlJc w:val="left"/>
      <w:pPr>
        <w:ind w:left="720" w:hanging="360"/>
      </w:pPr>
      <w:rPr>
        <w:rFonts w:ascii="Symbol" w:hAnsi="Symbol" w:hint="default"/>
        <w:color w:val="000000" w:themeColor="text1"/>
      </w:rPr>
    </w:lvl>
    <w:lvl w:ilvl="1" w:tplc="EA2C3258">
      <w:start w:val="1"/>
      <w:numFmt w:val="bullet"/>
      <w:lvlText w:val="o"/>
      <w:lvlJc w:val="left"/>
      <w:pPr>
        <w:ind w:left="1440" w:hanging="360"/>
      </w:pPr>
      <w:rPr>
        <w:rFonts w:ascii="Courier New" w:hAnsi="Courier New" w:cs="Courier New" w:hint="default"/>
        <w:color w:val="000000" w:themeColor="text1"/>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734F8"/>
    <w:multiLevelType w:val="hybridMultilevel"/>
    <w:tmpl w:val="4A46F43C"/>
    <w:lvl w:ilvl="0" w:tplc="3B28EF8E">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F2F9F"/>
    <w:multiLevelType w:val="hybridMultilevel"/>
    <w:tmpl w:val="12EC5DCA"/>
    <w:lvl w:ilvl="0" w:tplc="7902C908">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85DAD"/>
    <w:multiLevelType w:val="hybridMultilevel"/>
    <w:tmpl w:val="24CC0CD6"/>
    <w:lvl w:ilvl="0" w:tplc="04090015">
      <w:start w:val="1"/>
      <w:numFmt w:val="upperLetter"/>
      <w:lvlText w:val="%1."/>
      <w:lvlJc w:val="left"/>
      <w:pPr>
        <w:ind w:left="720" w:hanging="360"/>
      </w:pPr>
    </w:lvl>
    <w:lvl w:ilvl="1" w:tplc="1CF67020">
      <w:start w:val="1"/>
      <w:numFmt w:val="lowerLetter"/>
      <w:lvlText w:val="%2."/>
      <w:lvlJc w:val="left"/>
      <w:pPr>
        <w:ind w:left="1440" w:hanging="360"/>
      </w:pPr>
      <w:rPr>
        <w:b w:val="0"/>
      </w:rPr>
    </w:lvl>
    <w:lvl w:ilvl="2" w:tplc="E0B29AEA">
      <w:start w:val="1"/>
      <w:numFmt w:val="lowerRoman"/>
      <w:lvlText w:val="%3."/>
      <w:lvlJc w:val="right"/>
      <w:pPr>
        <w:ind w:left="2160" w:hanging="180"/>
      </w:pPr>
      <w:rPr>
        <w:b w:val="0"/>
      </w:rPr>
    </w:lvl>
    <w:lvl w:ilvl="3" w:tplc="E00A9476">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69"/>
    <w:rsid w:val="000165B3"/>
    <w:rsid w:val="00030AC7"/>
    <w:rsid w:val="00100371"/>
    <w:rsid w:val="001540E0"/>
    <w:rsid w:val="001632C9"/>
    <w:rsid w:val="00180F9F"/>
    <w:rsid w:val="001F3221"/>
    <w:rsid w:val="00206ADB"/>
    <w:rsid w:val="00213B62"/>
    <w:rsid w:val="0022553B"/>
    <w:rsid w:val="00261FE1"/>
    <w:rsid w:val="0027133B"/>
    <w:rsid w:val="002B5CFE"/>
    <w:rsid w:val="002F1ADB"/>
    <w:rsid w:val="002F558C"/>
    <w:rsid w:val="0030567A"/>
    <w:rsid w:val="00334109"/>
    <w:rsid w:val="00373E05"/>
    <w:rsid w:val="0037518B"/>
    <w:rsid w:val="003D15D7"/>
    <w:rsid w:val="003D6F22"/>
    <w:rsid w:val="00433E04"/>
    <w:rsid w:val="00435B9B"/>
    <w:rsid w:val="004A78A9"/>
    <w:rsid w:val="004C6633"/>
    <w:rsid w:val="004D32EE"/>
    <w:rsid w:val="00506ACC"/>
    <w:rsid w:val="005951FF"/>
    <w:rsid w:val="005B0D26"/>
    <w:rsid w:val="005D647A"/>
    <w:rsid w:val="005F3871"/>
    <w:rsid w:val="00610CD5"/>
    <w:rsid w:val="00656BF1"/>
    <w:rsid w:val="007221D4"/>
    <w:rsid w:val="007C11C9"/>
    <w:rsid w:val="008012E4"/>
    <w:rsid w:val="00852258"/>
    <w:rsid w:val="00860379"/>
    <w:rsid w:val="008918FE"/>
    <w:rsid w:val="008C1423"/>
    <w:rsid w:val="008E4952"/>
    <w:rsid w:val="0095393F"/>
    <w:rsid w:val="00962F54"/>
    <w:rsid w:val="00966914"/>
    <w:rsid w:val="00974A2D"/>
    <w:rsid w:val="009A29E5"/>
    <w:rsid w:val="009D16B6"/>
    <w:rsid w:val="009D71BA"/>
    <w:rsid w:val="00A42585"/>
    <w:rsid w:val="00A842D8"/>
    <w:rsid w:val="00A84A5A"/>
    <w:rsid w:val="00AB0822"/>
    <w:rsid w:val="00AE078A"/>
    <w:rsid w:val="00AF6E26"/>
    <w:rsid w:val="00B2449F"/>
    <w:rsid w:val="00B4159B"/>
    <w:rsid w:val="00B62D18"/>
    <w:rsid w:val="00B77F3B"/>
    <w:rsid w:val="00BA61A0"/>
    <w:rsid w:val="00BB0B44"/>
    <w:rsid w:val="00BE582A"/>
    <w:rsid w:val="00C1172D"/>
    <w:rsid w:val="00C42D30"/>
    <w:rsid w:val="00C71FE3"/>
    <w:rsid w:val="00D02A16"/>
    <w:rsid w:val="00D42165"/>
    <w:rsid w:val="00D64969"/>
    <w:rsid w:val="00DB5F00"/>
    <w:rsid w:val="00E35C29"/>
    <w:rsid w:val="00E360F0"/>
    <w:rsid w:val="00E621C1"/>
    <w:rsid w:val="00EA0C23"/>
    <w:rsid w:val="00EA464E"/>
    <w:rsid w:val="00F1663C"/>
    <w:rsid w:val="00FA35F7"/>
    <w:rsid w:val="00FA7B8C"/>
    <w:rsid w:val="00FB25BB"/>
    <w:rsid w:val="00FC73BE"/>
    <w:rsid w:val="00FD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ACD5"/>
  <w15:docId w15:val="{320B31C2-6B26-406B-9CD2-B4A84704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F9F"/>
  </w:style>
  <w:style w:type="paragraph" w:styleId="Heading1">
    <w:name w:val="heading 1"/>
    <w:basedOn w:val="Normal"/>
    <w:next w:val="Normal"/>
    <w:link w:val="Heading1Char"/>
    <w:autoRedefine/>
    <w:uiPriority w:val="9"/>
    <w:qFormat/>
    <w:rsid w:val="00FD1F9D"/>
    <w:pPr>
      <w:keepNext/>
      <w:keepLines/>
      <w:numPr>
        <w:numId w:val="2"/>
      </w:numPr>
      <w:spacing w:before="480"/>
      <w:outlineLvl w:val="0"/>
    </w:pPr>
    <w:rPr>
      <w:rFonts w:eastAsiaTheme="majorEastAsia" w:cstheme="majorBidi"/>
      <w:bCs/>
      <w:smallCap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F9D"/>
    <w:rPr>
      <w:rFonts w:ascii="Times New Roman" w:eastAsiaTheme="majorEastAsia" w:hAnsi="Times New Roman" w:cstheme="majorBidi"/>
      <w:bCs/>
      <w:smallCaps/>
      <w:color w:val="000000" w:themeColor="text1"/>
      <w:sz w:val="24"/>
      <w:szCs w:val="28"/>
    </w:rPr>
  </w:style>
  <w:style w:type="character" w:styleId="Hyperlink">
    <w:name w:val="Hyperlink"/>
    <w:basedOn w:val="DefaultParagraphFont"/>
    <w:uiPriority w:val="99"/>
    <w:unhideWhenUsed/>
    <w:rsid w:val="00A84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ufl.edu/students/polici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ufl.edu/students/policies.shtml" TargetMode="External"/><Relationship Id="rId5" Type="http://schemas.openxmlformats.org/officeDocument/2006/relationships/hyperlink" Target="http://www.registrar.ufl.edu/catalog/policies/regulationgrad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1363</Words>
  <Characters>7774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jstinneford</dc:creator>
  <cp:lastModifiedBy>McIlhenny, Ruth M.</cp:lastModifiedBy>
  <cp:revision>2</cp:revision>
  <dcterms:created xsi:type="dcterms:W3CDTF">2021-01-15T21:13:00Z</dcterms:created>
  <dcterms:modified xsi:type="dcterms:W3CDTF">2021-01-15T21:13:00Z</dcterms:modified>
</cp:coreProperties>
</file>