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2AC4" w14:textId="77777777" w:rsidR="00265810" w:rsidRPr="005A2B66" w:rsidRDefault="00265810" w:rsidP="00265810">
      <w:pPr>
        <w:spacing w:after="200" w:line="276" w:lineRule="auto"/>
        <w:ind w:firstLine="0"/>
        <w:jc w:val="left"/>
        <w:rPr>
          <w:rFonts w:eastAsia="Calibri" w:cs="Times New Roman"/>
          <w:b/>
          <w:szCs w:val="24"/>
        </w:rPr>
      </w:pPr>
      <w:bookmarkStart w:id="0" w:name="_GoBack"/>
      <w:bookmarkEnd w:id="0"/>
      <w:r w:rsidRPr="005A2B66">
        <w:rPr>
          <w:rFonts w:eastAsia="Calibri" w:cs="Times New Roman"/>
          <w:b/>
          <w:szCs w:val="24"/>
        </w:rPr>
        <w:t>Constitutional Law</w:t>
      </w:r>
      <w:r>
        <w:rPr>
          <w:rFonts w:eastAsia="Calibri" w:cs="Times New Roman"/>
          <w:b/>
          <w:szCs w:val="24"/>
        </w:rPr>
        <w:t xml:space="preserve">, </w:t>
      </w:r>
      <w:r w:rsidR="005A6976">
        <w:rPr>
          <w:rFonts w:eastAsia="Calibri" w:cs="Times New Roman"/>
          <w:b/>
          <w:szCs w:val="24"/>
        </w:rPr>
        <w:t xml:space="preserve">Fall </w:t>
      </w:r>
      <w:r>
        <w:rPr>
          <w:rFonts w:eastAsia="Calibri" w:cs="Times New Roman"/>
          <w:b/>
          <w:szCs w:val="24"/>
        </w:rPr>
        <w:t>201</w:t>
      </w:r>
      <w:r w:rsidR="00F654AA">
        <w:rPr>
          <w:rFonts w:eastAsia="Calibri" w:cs="Times New Roman"/>
          <w:b/>
          <w:szCs w:val="24"/>
        </w:rPr>
        <w:t>9</w:t>
      </w:r>
    </w:p>
    <w:p w14:paraId="63B46EE7"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Professor John Stinneford</w:t>
      </w:r>
    </w:p>
    <w:p w14:paraId="1C0F7B9F" w14:textId="77777777" w:rsidR="00265810" w:rsidRPr="005A2B66" w:rsidRDefault="00265810" w:rsidP="00265810">
      <w:pPr>
        <w:spacing w:after="200" w:line="276" w:lineRule="auto"/>
        <w:ind w:firstLine="0"/>
        <w:jc w:val="left"/>
        <w:rPr>
          <w:rFonts w:eastAsia="Calibri" w:cs="Times New Roman"/>
          <w:b/>
          <w:szCs w:val="24"/>
        </w:rPr>
      </w:pPr>
      <w:r>
        <w:rPr>
          <w:rFonts w:eastAsia="Calibri" w:cs="Times New Roman"/>
          <w:b/>
          <w:bCs/>
          <w:szCs w:val="24"/>
        </w:rPr>
        <w:t>Syllabus</w:t>
      </w:r>
    </w:p>
    <w:p w14:paraId="1906453A" w14:textId="77777777"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lang w:val="en-CA"/>
        </w:rPr>
        <w:t xml:space="preserve">Law # </w:t>
      </w:r>
      <w:r w:rsidRPr="005A2B66">
        <w:rPr>
          <w:rFonts w:eastAsia="Calibri" w:cs="Times New Roman"/>
          <w:b/>
          <w:bCs/>
          <w:szCs w:val="24"/>
          <w:highlight w:val="yellow"/>
          <w:lang w:val="en-CA"/>
        </w:rPr>
        <w:fldChar w:fldCharType="begin"/>
      </w:r>
      <w:r w:rsidRPr="005A2B66">
        <w:rPr>
          <w:rFonts w:eastAsia="Calibri" w:cs="Times New Roman"/>
          <w:b/>
          <w:bCs/>
          <w:szCs w:val="24"/>
          <w:highlight w:val="yellow"/>
          <w:lang w:val="en-CA"/>
        </w:rPr>
        <w:instrText xml:space="preserve"> SEQ CHAPTER \h \r 1</w:instrText>
      </w:r>
      <w:r w:rsidRPr="005A2B66">
        <w:rPr>
          <w:rFonts w:eastAsia="Calibri" w:cs="Times New Roman"/>
          <w:b/>
          <w:bCs/>
          <w:szCs w:val="24"/>
          <w:highlight w:val="yellow"/>
          <w:lang w:val="en-CA"/>
        </w:rPr>
        <w:fldChar w:fldCharType="end"/>
      </w:r>
      <w:r w:rsidRPr="005A2B66">
        <w:rPr>
          <w:rFonts w:eastAsia="Calibri" w:cs="Times New Roman"/>
          <w:b/>
          <w:bCs/>
          <w:szCs w:val="24"/>
          <w:lang w:val="en-CA"/>
        </w:rPr>
        <w:t xml:space="preserve">5501 </w:t>
      </w:r>
    </w:p>
    <w:p w14:paraId="209A79F8" w14:textId="77777777"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4 Credits</w:t>
      </w:r>
    </w:p>
    <w:p w14:paraId="6145E5E6" w14:textId="77777777" w:rsidR="000E1493" w:rsidRPr="005A2B66" w:rsidRDefault="000E1493" w:rsidP="000E1493">
      <w:pPr>
        <w:spacing w:after="200" w:line="276" w:lineRule="auto"/>
        <w:ind w:firstLine="0"/>
        <w:jc w:val="left"/>
        <w:rPr>
          <w:rFonts w:eastAsia="Calibri" w:cs="Times New Roman"/>
          <w:szCs w:val="24"/>
        </w:rPr>
      </w:pPr>
      <w:r w:rsidRPr="005A2B66">
        <w:rPr>
          <w:rFonts w:eastAsia="Calibri" w:cs="Times New Roman"/>
          <w:b/>
          <w:bCs/>
          <w:szCs w:val="24"/>
        </w:rPr>
        <w:t>Course Description</w:t>
      </w:r>
    </w:p>
    <w:p w14:paraId="51919B58"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This is a course about constitutional law. We will cover three major topics: separation of powers, federalism, and individual rights. “Separation of powers” refers to how the powers of the national government are divided among three branches: the legislature, the executive, and the judiciary. “Federalism” refers to how power is divided between the national government and the states. “Individual rights” is a term for the liberties that are protected against the national and state governments (e.g., the right</w:t>
      </w:r>
      <w:r w:rsidR="005A6976">
        <w:rPr>
          <w:rFonts w:eastAsia="Calibri" w:cs="Times New Roman"/>
          <w:szCs w:val="24"/>
        </w:rPr>
        <w:t>s</w:t>
      </w:r>
      <w:r w:rsidRPr="00332D47">
        <w:rPr>
          <w:rFonts w:eastAsia="Calibri" w:cs="Times New Roman"/>
          <w:szCs w:val="24"/>
        </w:rPr>
        <w:t xml:space="preserve"> </w:t>
      </w:r>
      <w:r w:rsidR="005A6976">
        <w:rPr>
          <w:rFonts w:eastAsia="Calibri" w:cs="Times New Roman"/>
          <w:szCs w:val="24"/>
        </w:rPr>
        <w:t xml:space="preserve">to </w:t>
      </w:r>
      <w:r w:rsidRPr="00332D47">
        <w:rPr>
          <w:rFonts w:eastAsia="Calibri" w:cs="Times New Roman"/>
          <w:szCs w:val="24"/>
        </w:rPr>
        <w:t>due process</w:t>
      </w:r>
      <w:r w:rsidR="005A6976">
        <w:rPr>
          <w:rFonts w:eastAsia="Calibri" w:cs="Times New Roman"/>
          <w:szCs w:val="24"/>
        </w:rPr>
        <w:t xml:space="preserve"> of law and equal protection of law</w:t>
      </w:r>
      <w:r w:rsidRPr="00332D47">
        <w:rPr>
          <w:rFonts w:eastAsia="Calibri" w:cs="Times New Roman"/>
          <w:szCs w:val="24"/>
        </w:rPr>
        <w:t xml:space="preserve">). </w:t>
      </w:r>
    </w:p>
    <w:p w14:paraId="5A01634C"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There is far more constitutional law than we could cover in a single course. I am therefore not trying to give you a snapshot of all of constitutional doctrine at the present moment. That kind of constitutional law knowledge would be quickly out of date, and if you need it in practice you can always look it up in a treatise. Instead, the goals of this course are: (1) for you to become familiar with the Constitution itself, including what it says and what it leaves undecided; (2) for you to learn some of the landmark decisions in our constitutional tradition, including important precedents both inside and outside the courts; and (3) for you to develop your skills in making and evaluating constitutional arguments, which include appeals to text, structure, historical purpose, precedent or practice, and policy. As you will discover, constitutional arguments must appeal to specific kinds of authority to work effectively. </w:t>
      </w:r>
    </w:p>
    <w:p w14:paraId="024B3CC5"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We may discuss questions you feel strongly about. After all, the Constitution stirs more passions than the law of estates in land. That’s good. And so is disagreement. Disagreement has been part of our constitutional tradition from the very beginning. So I encourage you to say what you think in class. As you do so, remember that a critical part of a lawyer’s training is to learn to listen to, consider, and respond to any argument or point of view. So be willing to understand the views of others. Be willing to defend your own views. Be willing to persuade others. Be willing to change your mind. </w:t>
      </w:r>
    </w:p>
    <w:p w14:paraId="1B670319" w14:textId="77777777" w:rsidR="009F5E89" w:rsidRDefault="000E1493" w:rsidP="000E1493">
      <w:pPr>
        <w:spacing w:after="200" w:line="276" w:lineRule="auto"/>
        <w:ind w:firstLine="0"/>
        <w:jc w:val="left"/>
        <w:rPr>
          <w:rFonts w:eastAsia="Calibri" w:cs="Times New Roman"/>
          <w:b/>
          <w:szCs w:val="24"/>
        </w:rPr>
      </w:pPr>
      <w:r w:rsidRPr="00332D47">
        <w:rPr>
          <w:rFonts w:eastAsia="Calibri" w:cs="Times New Roman"/>
          <w:szCs w:val="24"/>
        </w:rPr>
        <w:t xml:space="preserve">We will be learning about and discussing the Constitution we </w:t>
      </w:r>
      <w:r>
        <w:rPr>
          <w:rFonts w:eastAsia="Calibri" w:cs="Times New Roman"/>
          <w:szCs w:val="24"/>
        </w:rPr>
        <w:t>have, and also the Constitution</w:t>
      </w:r>
      <w:r w:rsidRPr="00332D47">
        <w:rPr>
          <w:rFonts w:eastAsia="Calibri" w:cs="Times New Roman"/>
          <w:szCs w:val="24"/>
        </w:rPr>
        <w:t xml:space="preserve"> we could have. It might be helpful to think of this as a two-step process. First, we could think about what the Constitution says: how it allocates power, who gets the final say, what rights it declares and protects, and so on. Second, we could think about whether what it says is good. Is this the best way to allocate power? Is this who should have the final say? Are these the rights it should declare and protect? It isn’t always a rigid two-step process. It’s more like a useful heuristic, a kind of logical order to our analysis. So think about what the Constitution says—try to postpone the evaluation until you’ve thought through what it says—and then assess it. Pulling apart these two questions will make you a better student of the Constitution and a better attorney.</w:t>
      </w:r>
    </w:p>
    <w:p w14:paraId="59EE8C08" w14:textId="77777777" w:rsidR="009F5E89" w:rsidRPr="009F5E89" w:rsidRDefault="009F5E89" w:rsidP="009F5E89">
      <w:pPr>
        <w:ind w:firstLine="0"/>
        <w:rPr>
          <w:b/>
        </w:rPr>
      </w:pPr>
      <w:r w:rsidRPr="009F5E89">
        <w:rPr>
          <w:b/>
        </w:rPr>
        <w:t>Student Learning Outcomes</w:t>
      </w:r>
    </w:p>
    <w:p w14:paraId="2F7EF75C" w14:textId="77777777" w:rsidR="009F5E89" w:rsidRDefault="009F5E89" w:rsidP="009F5E89">
      <w:pPr>
        <w:ind w:firstLine="0"/>
      </w:pPr>
    </w:p>
    <w:p w14:paraId="34E43FD7" w14:textId="77777777" w:rsidR="009F5E89" w:rsidRPr="00683B89" w:rsidRDefault="009F5E89" w:rsidP="009F5E8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14:paraId="3371F685"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constitutional text and judicial opinions governing various aspects of constitutional law.</w:t>
      </w:r>
    </w:p>
    <w:p w14:paraId="360B16DF"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and articulate the major types of constitutional argument.</w:t>
      </w:r>
    </w:p>
    <w:p w14:paraId="62793895" w14:textId="77777777" w:rsidR="009F5E89" w:rsidRDefault="009F5E89" w:rsidP="009F5E8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constitutional issues in given fact patterns and work through their solutions using the relevant legal rules.</w:t>
      </w:r>
    </w:p>
    <w:p w14:paraId="5F7CA895" w14:textId="77777777" w:rsidR="00896DB0" w:rsidRDefault="00896DB0" w:rsidP="00265810">
      <w:pPr>
        <w:spacing w:after="200" w:line="276" w:lineRule="auto"/>
        <w:ind w:firstLine="0"/>
        <w:jc w:val="left"/>
        <w:rPr>
          <w:rFonts w:eastAsia="Calibri" w:cs="Times New Roman"/>
          <w:b/>
          <w:szCs w:val="24"/>
        </w:rPr>
      </w:pPr>
    </w:p>
    <w:p w14:paraId="4C5C5104"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Required Text</w:t>
      </w:r>
    </w:p>
    <w:p w14:paraId="0C9CEE15" w14:textId="77777777" w:rsidR="00265810" w:rsidRDefault="00265810" w:rsidP="00265810">
      <w:pPr>
        <w:ind w:firstLine="0"/>
        <w:rPr>
          <w:rFonts w:eastAsia="Calibri" w:cs="Times New Roman"/>
          <w:szCs w:val="24"/>
        </w:rPr>
      </w:pPr>
      <w:r w:rsidRPr="00507065">
        <w:t xml:space="preserve">The casebook for this class is Paulsen, </w:t>
      </w:r>
      <w:proofErr w:type="spellStart"/>
      <w:r w:rsidRPr="00507065">
        <w:t>Calabresi</w:t>
      </w:r>
      <w:proofErr w:type="spellEnd"/>
      <w:r w:rsidRPr="00507065">
        <w:t xml:space="preserve">, McConnell, Bray &amp; Baude, </w:t>
      </w:r>
      <w:r w:rsidRPr="00611112">
        <w:rPr>
          <w:smallCaps/>
        </w:rPr>
        <w:t>The Constitution of the United States</w:t>
      </w:r>
      <w:r w:rsidRPr="00507065">
        <w:t xml:space="preserve"> (3d ed. 2016)</w:t>
      </w:r>
      <w:r w:rsidR="00F654AA">
        <w:t xml:space="preserve"> and 2018 supplement (located at </w:t>
      </w:r>
      <w:hyperlink r:id="rId5" w:history="1">
        <w:r w:rsidR="00F654AA" w:rsidRPr="0009396A">
          <w:rPr>
            <w:rStyle w:val="Hyperlink"/>
          </w:rPr>
          <w:t>http://www.paulsencalabresiconstitution.com/forms/Paulsen2018supplement.pdf</w:t>
        </w:r>
      </w:hyperlink>
      <w:r w:rsidR="00F654AA">
        <w:t>)</w:t>
      </w:r>
      <w:r w:rsidRPr="00507065">
        <w:t>.</w:t>
      </w:r>
      <w:r w:rsidR="00F654AA">
        <w:t xml:space="preserve"> </w:t>
      </w:r>
      <w:r w:rsidRPr="005A2B66">
        <w:rPr>
          <w:rFonts w:eastAsia="Calibri" w:cs="Times New Roman"/>
          <w:szCs w:val="24"/>
        </w:rPr>
        <w:t>Other handouts or materials may be assigned during the semester.  You may access supplemental materials and view other course related information on the course TWEN page. You are required to register on TWEN by the end of the drop/add period for the semester.</w:t>
      </w:r>
    </w:p>
    <w:p w14:paraId="7B66571E" w14:textId="77777777" w:rsidR="00265810" w:rsidRPr="005A2B66" w:rsidRDefault="00265810" w:rsidP="00265810">
      <w:pPr>
        <w:rPr>
          <w:rFonts w:eastAsia="Calibri" w:cs="Times New Roman"/>
          <w:szCs w:val="24"/>
        </w:rPr>
      </w:pPr>
    </w:p>
    <w:p w14:paraId="202922A5"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Classes</w:t>
      </w:r>
    </w:p>
    <w:p w14:paraId="6522DA72"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Classes will be held on </w:t>
      </w:r>
      <w:r w:rsidR="00016BB2">
        <w:rPr>
          <w:rFonts w:eastAsia="Calibri" w:cs="Times New Roman"/>
          <w:szCs w:val="24"/>
        </w:rPr>
        <w:t xml:space="preserve">Mondays, Tuesdays, and </w:t>
      </w:r>
      <w:r w:rsidRPr="005A2B66">
        <w:rPr>
          <w:rFonts w:eastAsia="Calibri" w:cs="Times New Roman"/>
          <w:szCs w:val="24"/>
        </w:rPr>
        <w:t xml:space="preserve">Wednesdays from </w:t>
      </w:r>
      <w:r>
        <w:rPr>
          <w:rFonts w:eastAsia="Calibri" w:cs="Times New Roman"/>
          <w:szCs w:val="24"/>
        </w:rPr>
        <w:t>1</w:t>
      </w:r>
      <w:r w:rsidR="00F654AA">
        <w:rPr>
          <w:rFonts w:eastAsia="Calibri" w:cs="Times New Roman"/>
          <w:szCs w:val="24"/>
        </w:rPr>
        <w:t>0</w:t>
      </w:r>
      <w:r w:rsidRPr="005A2B66">
        <w:rPr>
          <w:rFonts w:eastAsia="Calibri" w:cs="Times New Roman"/>
          <w:szCs w:val="24"/>
        </w:rPr>
        <w:t>:</w:t>
      </w:r>
      <w:r w:rsidR="00016BB2">
        <w:rPr>
          <w:rFonts w:eastAsia="Calibri" w:cs="Times New Roman"/>
          <w:szCs w:val="24"/>
        </w:rPr>
        <w:t xml:space="preserve">45 a.m. </w:t>
      </w:r>
      <w:r w:rsidRPr="005A2B66">
        <w:rPr>
          <w:rFonts w:eastAsia="Calibri" w:cs="Times New Roman"/>
          <w:szCs w:val="24"/>
        </w:rPr>
        <w:t>-</w:t>
      </w:r>
      <w:r w:rsidR="00F654AA">
        <w:rPr>
          <w:rFonts w:eastAsia="Calibri" w:cs="Times New Roman"/>
          <w:szCs w:val="24"/>
        </w:rPr>
        <w:t>1</w:t>
      </w:r>
      <w:r w:rsidR="00016BB2">
        <w:rPr>
          <w:rFonts w:eastAsia="Calibri" w:cs="Times New Roman"/>
          <w:szCs w:val="24"/>
        </w:rPr>
        <w:t>2</w:t>
      </w:r>
      <w:r w:rsidR="00F654AA">
        <w:rPr>
          <w:rFonts w:eastAsia="Calibri" w:cs="Times New Roman"/>
          <w:szCs w:val="24"/>
        </w:rPr>
        <w:t>:</w:t>
      </w:r>
      <w:r w:rsidR="00016BB2">
        <w:rPr>
          <w:rFonts w:eastAsia="Calibri" w:cs="Times New Roman"/>
          <w:szCs w:val="24"/>
        </w:rPr>
        <w:t>0</w:t>
      </w:r>
      <w:r w:rsidRPr="005A2B66">
        <w:rPr>
          <w:rFonts w:eastAsia="Calibri" w:cs="Times New Roman"/>
          <w:szCs w:val="24"/>
        </w:rPr>
        <w:t>0</w:t>
      </w:r>
      <w:r w:rsidR="00F654AA">
        <w:rPr>
          <w:rFonts w:eastAsia="Calibri" w:cs="Times New Roman"/>
          <w:szCs w:val="24"/>
        </w:rPr>
        <w:t xml:space="preserve"> </w:t>
      </w:r>
      <w:r w:rsidR="00016BB2">
        <w:rPr>
          <w:rFonts w:eastAsia="Calibri" w:cs="Times New Roman"/>
          <w:szCs w:val="24"/>
        </w:rPr>
        <w:t>p</w:t>
      </w:r>
      <w:r w:rsidRPr="005A2B66">
        <w:rPr>
          <w:rFonts w:eastAsia="Calibri" w:cs="Times New Roman"/>
          <w:szCs w:val="24"/>
        </w:rPr>
        <w:t xml:space="preserve">.m. in Room </w:t>
      </w:r>
      <w:r w:rsidR="00016BB2">
        <w:rPr>
          <w:rFonts w:eastAsia="Calibri" w:cs="Times New Roman"/>
          <w:szCs w:val="24"/>
        </w:rPr>
        <w:t>283</w:t>
      </w:r>
      <w:r w:rsidRPr="005A2B66">
        <w:rPr>
          <w:rFonts w:eastAsia="Calibri" w:cs="Times New Roman"/>
          <w:szCs w:val="24"/>
        </w:rPr>
        <w:t xml:space="preserve">.  The final exam is tentatively scheduled for </w:t>
      </w:r>
      <w:r w:rsidR="00016BB2">
        <w:rPr>
          <w:rFonts w:eastAsia="Calibri" w:cs="Times New Roman"/>
          <w:szCs w:val="24"/>
        </w:rPr>
        <w:t>December 10</w:t>
      </w:r>
      <w:r>
        <w:rPr>
          <w:rFonts w:eastAsia="Calibri" w:cs="Times New Roman"/>
          <w:szCs w:val="24"/>
        </w:rPr>
        <w:t xml:space="preserve"> at 8:30 a</w:t>
      </w:r>
      <w:r w:rsidRPr="005A2B66">
        <w:rPr>
          <w:rFonts w:eastAsia="Calibri" w:cs="Times New Roman"/>
          <w:szCs w:val="24"/>
        </w:rPr>
        <w:t xml:space="preserve">.m. </w:t>
      </w:r>
    </w:p>
    <w:p w14:paraId="052344B3"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Office Hours</w:t>
      </w:r>
    </w:p>
    <w:p w14:paraId="350F2F1D"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hours are on </w:t>
      </w:r>
      <w:r w:rsidR="00016BB2">
        <w:rPr>
          <w:rFonts w:eastAsia="Calibri" w:cs="Times New Roman"/>
          <w:szCs w:val="24"/>
        </w:rPr>
        <w:t>Tues</w:t>
      </w:r>
      <w:r w:rsidRPr="005A2B66">
        <w:rPr>
          <w:rFonts w:eastAsia="Calibri" w:cs="Times New Roman"/>
          <w:szCs w:val="24"/>
        </w:rPr>
        <w:t xml:space="preserve">days from </w:t>
      </w:r>
      <w:r w:rsidR="00122538">
        <w:rPr>
          <w:rFonts w:eastAsia="Calibri" w:cs="Times New Roman"/>
          <w:szCs w:val="24"/>
        </w:rPr>
        <w:t>3</w:t>
      </w:r>
      <w:r>
        <w:rPr>
          <w:rFonts w:eastAsia="Calibri" w:cs="Times New Roman"/>
          <w:szCs w:val="24"/>
        </w:rPr>
        <w:t>:</w:t>
      </w:r>
      <w:r w:rsidR="00016BB2">
        <w:rPr>
          <w:rFonts w:eastAsia="Calibri" w:cs="Times New Roman"/>
          <w:szCs w:val="24"/>
        </w:rPr>
        <w:t>00</w:t>
      </w:r>
      <w:r>
        <w:rPr>
          <w:rFonts w:eastAsia="Calibri" w:cs="Times New Roman"/>
          <w:szCs w:val="24"/>
        </w:rPr>
        <w:t>-</w:t>
      </w:r>
      <w:r w:rsidR="00122538">
        <w:rPr>
          <w:rFonts w:eastAsia="Calibri" w:cs="Times New Roman"/>
          <w:szCs w:val="24"/>
        </w:rPr>
        <w:t>5:00</w:t>
      </w:r>
      <w:r w:rsidR="00016BB2">
        <w:rPr>
          <w:rFonts w:eastAsia="Calibri" w:cs="Times New Roman"/>
          <w:szCs w:val="24"/>
        </w:rPr>
        <w:t xml:space="preserve"> p.m.</w:t>
      </w:r>
      <w:r w:rsidRPr="005A2B66">
        <w:rPr>
          <w:rFonts w:eastAsia="Calibri" w:cs="Times New Roman"/>
          <w:szCs w:val="24"/>
        </w:rPr>
        <w:t xml:space="preserve">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14:paraId="228F4C32"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Contact Information </w:t>
      </w:r>
    </w:p>
    <w:p w14:paraId="6E6AD9C7"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is in Room 379 and the telephone number is (352) 273-0959. My e-mail address is </w:t>
      </w:r>
      <w:hyperlink r:id="rId6" w:history="1">
        <w:r w:rsidRPr="00BC0861">
          <w:rPr>
            <w:rFonts w:eastAsia="Calibri" w:cs="Times New Roman"/>
            <w:color w:val="0000FF"/>
            <w:szCs w:val="22"/>
            <w:u w:val="single"/>
          </w:rPr>
          <w:t>jstinneford@law.ufl.edu</w:t>
        </w:r>
      </w:hyperlink>
      <w:r w:rsidRPr="005A2B66">
        <w:rPr>
          <w:rFonts w:eastAsia="Calibri" w:cs="Times New Roman"/>
          <w:szCs w:val="24"/>
        </w:rPr>
        <w:t xml:space="preserve">.   I encourage you to contact me regularly during the semester and to ask any questions that you may have about the course or even more generally about the practice of law.  </w:t>
      </w:r>
    </w:p>
    <w:p w14:paraId="1431894D"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Grading </w:t>
      </w:r>
    </w:p>
    <w:p w14:paraId="4B6D18ED"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Your final course grade will be based principally on a final exam (90%), and will be subject to modification based upon course participation and attendance as described below.  </w:t>
      </w:r>
    </w:p>
    <w:p w14:paraId="336220A7"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After course grades have been posted, if you wish to review your exam I will make your exam available along with a model answer.  If you wish to speak to me after you have reviewed your exam, you may do so </w:t>
      </w:r>
      <w:r>
        <w:rPr>
          <w:rFonts w:eastAsia="Calibri" w:cs="Times New Roman"/>
          <w:szCs w:val="24"/>
        </w:rPr>
        <w:t>in the fall semester</w:t>
      </w:r>
      <w:r w:rsidRPr="00876B1D">
        <w:rPr>
          <w:rFonts w:eastAsia="Calibri" w:cs="Times New Roman"/>
          <w:szCs w:val="24"/>
        </w:rPr>
        <w:t xml:space="preserve">.  For further information on the University’s grading policies and calculation of grade points please see </w:t>
      </w:r>
      <w:hyperlink r:id="rId7" w:history="1">
        <w:r w:rsidRPr="00876B1D">
          <w:rPr>
            <w:rStyle w:val="Hyperlink"/>
            <w:rFonts w:eastAsia="Calibri" w:cs="Times New Roman"/>
            <w:szCs w:val="24"/>
          </w:rPr>
          <w:t>http://www.registrar.ufl.edu/catalog/policies/regulationgrades.html</w:t>
        </w:r>
      </w:hyperlink>
      <w:r w:rsidRPr="00876B1D">
        <w:rPr>
          <w:rFonts w:eastAsia="Calibri" w:cs="Times New Roman"/>
          <w:szCs w:val="24"/>
        </w:rPr>
        <w:t>.</w:t>
      </w:r>
    </w:p>
    <w:p w14:paraId="568B775D" w14:textId="77777777" w:rsidR="00265810" w:rsidRPr="00E717A9" w:rsidRDefault="00265810" w:rsidP="00265810">
      <w:pPr>
        <w:spacing w:after="200" w:line="276" w:lineRule="auto"/>
        <w:ind w:firstLine="0"/>
        <w:jc w:val="left"/>
        <w:rPr>
          <w:rFonts w:eastAsia="Calibri" w:cs="Times New Roman"/>
          <w:b/>
          <w:szCs w:val="24"/>
        </w:rPr>
      </w:pPr>
      <w:r w:rsidRPr="00E717A9">
        <w:rPr>
          <w:rFonts w:eastAsia="Calibri" w:cs="Times New Roman"/>
          <w:b/>
          <w:szCs w:val="24"/>
        </w:rPr>
        <w:t xml:space="preserve">Policy related to Make-up exams or other work </w:t>
      </w:r>
    </w:p>
    <w:p w14:paraId="3F6F1CAD"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The law school policy on delay in taking exams can be found at: </w:t>
      </w:r>
      <w:hyperlink r:id="rId8" w:anchor="12" w:history="1">
        <w:r w:rsidRPr="00876B1D">
          <w:rPr>
            <w:rStyle w:val="Hyperlink"/>
            <w:rFonts w:eastAsia="Calibri" w:cs="Times New Roman"/>
            <w:szCs w:val="24"/>
          </w:rPr>
          <w:t>http://www.law.ufl.edu/students/policies.shtml#12</w:t>
        </w:r>
      </w:hyperlink>
      <w:r w:rsidRPr="00876B1D">
        <w:rPr>
          <w:rFonts w:eastAsia="Calibri" w:cs="Times New Roman"/>
          <w:szCs w:val="24"/>
        </w:rPr>
        <w:t xml:space="preserve">. </w:t>
      </w:r>
    </w:p>
    <w:p w14:paraId="24ABF649" w14:textId="77777777" w:rsidR="00265810" w:rsidRPr="000855BD" w:rsidRDefault="00265810" w:rsidP="00265810">
      <w:pPr>
        <w:ind w:firstLine="0"/>
        <w:rPr>
          <w:rFonts w:eastAsia="Calibri" w:cs="Times New Roman"/>
          <w:b/>
          <w:szCs w:val="24"/>
        </w:rPr>
      </w:pPr>
      <w:r w:rsidRPr="000855BD">
        <w:rPr>
          <w:rFonts w:eastAsia="Calibri" w:cs="Times New Roman"/>
          <w:b/>
          <w:szCs w:val="24"/>
        </w:rPr>
        <w:t>Statement related to accommodations for students with disabilities</w:t>
      </w:r>
    </w:p>
    <w:p w14:paraId="74141566" w14:textId="77777777" w:rsidR="00265810" w:rsidRPr="000855BD" w:rsidRDefault="00265810" w:rsidP="00265810">
      <w:pPr>
        <w:ind w:firstLine="0"/>
        <w:rPr>
          <w:rFonts w:eastAsia="Calibri" w:cs="Times New Roman"/>
          <w:szCs w:val="24"/>
          <w:u w:val="single"/>
        </w:rPr>
      </w:pPr>
    </w:p>
    <w:p w14:paraId="4185E3D0" w14:textId="77777777" w:rsidR="00265810" w:rsidRDefault="00265810" w:rsidP="00265810">
      <w:pPr>
        <w:ind w:firstLine="0"/>
        <w:rPr>
          <w:rFonts w:eastAsia="Calibri" w:cs="Times New Roman"/>
          <w:szCs w:val="24"/>
        </w:rPr>
      </w:pPr>
      <w:r w:rsidRPr="000855BD">
        <w:rPr>
          <w:rFonts w:eastAsia="Calibri" w:cs="Times New Roman"/>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488182D8" w14:textId="77777777" w:rsidR="00C14549" w:rsidRDefault="00C14549" w:rsidP="00265810">
      <w:pPr>
        <w:ind w:firstLine="0"/>
        <w:rPr>
          <w:rFonts w:eastAsia="Calibri" w:cs="Times New Roman"/>
          <w:szCs w:val="24"/>
        </w:rPr>
      </w:pPr>
    </w:p>
    <w:p w14:paraId="2B8581F8" w14:textId="77777777" w:rsidR="00C14549" w:rsidRDefault="00C14549" w:rsidP="00265810">
      <w:pPr>
        <w:ind w:firstLine="0"/>
        <w:rPr>
          <w:rFonts w:eastAsia="Calibri" w:cs="Times New Roman"/>
          <w:szCs w:val="24"/>
        </w:rPr>
      </w:pPr>
      <w:r w:rsidRPr="00C14549">
        <w:rPr>
          <w:rFonts w:eastAsia="Calibri" w:cs="Times New Roman"/>
          <w:b/>
          <w:szCs w:val="24"/>
        </w:rPr>
        <w:t>University Policy on Academic Misconduct</w:t>
      </w:r>
      <w:r w:rsidRPr="00C14549">
        <w:rPr>
          <w:rFonts w:eastAsia="Calibri" w:cs="Times New Roman"/>
          <w:szCs w:val="24"/>
        </w:rPr>
        <w:t xml:space="preserve">  </w:t>
      </w:r>
    </w:p>
    <w:p w14:paraId="3BD7D758" w14:textId="77777777" w:rsidR="00C14549" w:rsidRDefault="00C14549" w:rsidP="00265810">
      <w:pPr>
        <w:ind w:firstLine="0"/>
        <w:rPr>
          <w:rFonts w:eastAsia="Calibri" w:cs="Times New Roman"/>
          <w:szCs w:val="24"/>
        </w:rPr>
      </w:pPr>
    </w:p>
    <w:p w14:paraId="626D130C" w14:textId="77777777" w:rsidR="00C14549" w:rsidRPr="000855BD" w:rsidRDefault="00C14549" w:rsidP="00265810">
      <w:pPr>
        <w:ind w:firstLine="0"/>
        <w:rPr>
          <w:rFonts w:eastAsia="Calibri" w:cs="Times New Roman"/>
          <w:szCs w:val="24"/>
        </w:rPr>
      </w:pPr>
      <w:r w:rsidRPr="00C14549">
        <w:rPr>
          <w:rFonts w:eastAsia="Calibri" w:cs="Times New Roman"/>
          <w:szCs w:val="24"/>
        </w:rPr>
        <w:t>Academic honesty and integrity are fundamental values of the University community. Students should be sure that they understand the UF Student Honor Code at http://www.dso.ufl.edu/students.php.</w:t>
      </w:r>
    </w:p>
    <w:p w14:paraId="0D80A986" w14:textId="77777777" w:rsidR="00265810" w:rsidRPr="000855BD" w:rsidRDefault="00265810" w:rsidP="00265810">
      <w:pPr>
        <w:ind w:firstLine="0"/>
        <w:rPr>
          <w:rFonts w:eastAsia="Calibri" w:cs="Times New Roman"/>
          <w:szCs w:val="24"/>
          <w:u w:val="single"/>
        </w:rPr>
      </w:pPr>
    </w:p>
    <w:p w14:paraId="1BF43E51" w14:textId="77777777" w:rsidR="00265810" w:rsidRPr="000855BD" w:rsidRDefault="00265810" w:rsidP="00265810">
      <w:pPr>
        <w:ind w:firstLine="0"/>
        <w:rPr>
          <w:rFonts w:eastAsia="Calibri" w:cs="Times New Roman"/>
          <w:b/>
          <w:szCs w:val="24"/>
        </w:rPr>
      </w:pPr>
      <w:r w:rsidRPr="000855BD">
        <w:rPr>
          <w:rFonts w:eastAsia="Calibri" w:cs="Times New Roman"/>
          <w:b/>
          <w:szCs w:val="24"/>
        </w:rPr>
        <w:t>Information on UF Law grading policies</w:t>
      </w:r>
    </w:p>
    <w:p w14:paraId="04076B97" w14:textId="77777777" w:rsidR="00265810" w:rsidRPr="000855BD" w:rsidRDefault="00265810" w:rsidP="00265810">
      <w:pPr>
        <w:ind w:firstLine="0"/>
        <w:rPr>
          <w:rFonts w:eastAsia="Calibri" w:cs="Times New Roman"/>
          <w:szCs w:val="24"/>
          <w:u w:val="single"/>
        </w:rPr>
      </w:pPr>
    </w:p>
    <w:p w14:paraId="2BB7423E"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u w:val="single"/>
        </w:rPr>
        <w:t>Points</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p>
    <w:p w14:paraId="30751BD1"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 (Excellent)</w:t>
      </w:r>
      <w:r w:rsidRPr="000855BD">
        <w:rPr>
          <w:rFonts w:eastAsia="Calibri" w:cs="Times New Roman"/>
          <w:szCs w:val="24"/>
        </w:rPr>
        <w:tab/>
        <w:t>4.0</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2.33</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t>0.67</w:t>
      </w:r>
    </w:p>
    <w:p w14:paraId="17B8EBDB"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w:t>
      </w:r>
      <w:r w:rsidRPr="000855BD">
        <w:rPr>
          <w:rFonts w:eastAsia="Calibri" w:cs="Times New Roman"/>
          <w:szCs w:val="24"/>
        </w:rPr>
        <w:tab/>
        <w:t>3.67</w:t>
      </w:r>
      <w:r w:rsidRPr="000855BD">
        <w:rPr>
          <w:rFonts w:eastAsia="Calibri" w:cs="Times New Roman"/>
          <w:szCs w:val="24"/>
        </w:rPr>
        <w:tab/>
      </w:r>
      <w:r w:rsidRPr="000855BD">
        <w:rPr>
          <w:rFonts w:eastAsia="Calibri" w:cs="Times New Roman"/>
          <w:szCs w:val="24"/>
        </w:rPr>
        <w:tab/>
        <w:t>C (Satisfactory)</w:t>
      </w:r>
      <w:r w:rsidRPr="000855BD">
        <w:rPr>
          <w:rFonts w:eastAsia="Calibri" w:cs="Times New Roman"/>
          <w:szCs w:val="24"/>
        </w:rPr>
        <w:tab/>
        <w:t>2.00</w:t>
      </w:r>
      <w:r w:rsidRPr="000855BD">
        <w:rPr>
          <w:rFonts w:eastAsia="Calibri" w:cs="Times New Roman"/>
          <w:szCs w:val="24"/>
        </w:rPr>
        <w:tab/>
      </w:r>
      <w:r w:rsidRPr="000855BD">
        <w:rPr>
          <w:rFonts w:eastAsia="Calibri" w:cs="Times New Roman"/>
          <w:szCs w:val="24"/>
        </w:rPr>
        <w:tab/>
        <w:t>E (Failure)</w:t>
      </w:r>
      <w:r w:rsidRPr="000855BD">
        <w:rPr>
          <w:rFonts w:eastAsia="Calibri" w:cs="Times New Roman"/>
          <w:szCs w:val="24"/>
        </w:rPr>
        <w:tab/>
        <w:t>0.0</w:t>
      </w:r>
    </w:p>
    <w:p w14:paraId="2C3CFC9D"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w:t>
      </w:r>
      <w:r w:rsidRPr="000855BD">
        <w:rPr>
          <w:rFonts w:eastAsia="Calibri" w:cs="Times New Roman"/>
          <w:szCs w:val="24"/>
        </w:rPr>
        <w:tab/>
        <w:t>3.33</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1.67</w:t>
      </w:r>
    </w:p>
    <w:p w14:paraId="3AB3D486"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 (Good)</w:t>
      </w:r>
      <w:r w:rsidRPr="000855BD">
        <w:rPr>
          <w:rFonts w:eastAsia="Calibri" w:cs="Times New Roman"/>
          <w:szCs w:val="24"/>
        </w:rPr>
        <w:tab/>
        <w:t>3.00</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1.33</w:t>
      </w:r>
    </w:p>
    <w:p w14:paraId="1FECE914" w14:textId="77777777" w:rsidR="00265810" w:rsidRPr="000855BD" w:rsidRDefault="00265810" w:rsidP="00265810">
      <w:pPr>
        <w:ind w:firstLine="0"/>
        <w:rPr>
          <w:rFonts w:eastAsia="Calibri" w:cs="Times New Roman"/>
          <w:szCs w:val="24"/>
        </w:rPr>
      </w:pPr>
      <w:r w:rsidRPr="000855BD">
        <w:rPr>
          <w:rFonts w:eastAsia="Calibri" w:cs="Times New Roman"/>
          <w:szCs w:val="24"/>
        </w:rPr>
        <w:t>B-</w:t>
      </w:r>
      <w:r w:rsidRPr="000855BD">
        <w:rPr>
          <w:rFonts w:eastAsia="Calibri" w:cs="Times New Roman"/>
          <w:szCs w:val="24"/>
        </w:rPr>
        <w:tab/>
      </w:r>
      <w:r w:rsidRPr="000855BD">
        <w:rPr>
          <w:rFonts w:eastAsia="Calibri" w:cs="Times New Roman"/>
          <w:szCs w:val="24"/>
        </w:rPr>
        <w:tab/>
        <w:t xml:space="preserve">        2.67</w:t>
      </w:r>
      <w:r w:rsidRPr="000855BD">
        <w:rPr>
          <w:rFonts w:eastAsia="Calibri" w:cs="Times New Roman"/>
          <w:szCs w:val="24"/>
        </w:rPr>
        <w:tab/>
      </w:r>
      <w:r w:rsidRPr="000855BD">
        <w:rPr>
          <w:rFonts w:eastAsia="Calibri" w:cs="Times New Roman"/>
          <w:szCs w:val="24"/>
        </w:rPr>
        <w:tab/>
        <w:t>D (Poor)</w:t>
      </w:r>
      <w:r w:rsidRPr="000855BD">
        <w:rPr>
          <w:rFonts w:eastAsia="Calibri" w:cs="Times New Roman"/>
          <w:szCs w:val="24"/>
        </w:rPr>
        <w:tab/>
      </w:r>
      <w:r w:rsidRPr="000855BD">
        <w:rPr>
          <w:rFonts w:eastAsia="Calibri" w:cs="Times New Roman"/>
          <w:szCs w:val="24"/>
        </w:rPr>
        <w:tab/>
        <w:t>1.00</w:t>
      </w:r>
    </w:p>
    <w:p w14:paraId="5EB67A48" w14:textId="77777777" w:rsidR="00265810" w:rsidRPr="000855BD" w:rsidRDefault="00265810" w:rsidP="00265810">
      <w:pPr>
        <w:ind w:firstLine="0"/>
        <w:rPr>
          <w:rFonts w:eastAsia="Calibri" w:cs="Times New Roman"/>
          <w:szCs w:val="24"/>
        </w:rPr>
      </w:pPr>
    </w:p>
    <w:p w14:paraId="197E0A14" w14:textId="77777777" w:rsidR="00265810" w:rsidRPr="000855BD" w:rsidRDefault="00265810" w:rsidP="00265810">
      <w:pPr>
        <w:ind w:firstLine="0"/>
        <w:rPr>
          <w:rFonts w:eastAsia="Calibri" w:cs="Times New Roman"/>
          <w:szCs w:val="24"/>
        </w:rPr>
      </w:pPr>
      <w:r w:rsidRPr="000855BD">
        <w:rPr>
          <w:rFonts w:eastAsia="Calibri" w:cs="Times New Roman"/>
          <w:szCs w:val="24"/>
        </w:rPr>
        <w:t xml:space="preserve">The law school grading policy is available at: </w:t>
      </w:r>
      <w:hyperlink r:id="rId9" w:anchor="9" w:history="1">
        <w:r w:rsidRPr="000855BD">
          <w:rPr>
            <w:rFonts w:eastAsia="Calibri" w:cs="Times New Roman"/>
            <w:color w:val="0000FF"/>
            <w:szCs w:val="24"/>
            <w:u w:val="single"/>
          </w:rPr>
          <w:t>http://www.law.ufl.edu/students/policies.shtml#9</w:t>
        </w:r>
      </w:hyperlink>
      <w:r w:rsidRPr="000855BD">
        <w:rPr>
          <w:rFonts w:eastAsia="Calibri" w:cs="Times New Roman"/>
          <w:szCs w:val="24"/>
        </w:rPr>
        <w:t xml:space="preserve"> .</w:t>
      </w:r>
    </w:p>
    <w:p w14:paraId="135566A7" w14:textId="77777777" w:rsidR="00265810" w:rsidRDefault="00265810" w:rsidP="00265810">
      <w:pPr>
        <w:spacing w:after="200" w:line="276" w:lineRule="auto"/>
        <w:ind w:firstLine="0"/>
        <w:jc w:val="left"/>
        <w:rPr>
          <w:rFonts w:eastAsia="Calibri" w:cs="Times New Roman"/>
          <w:b/>
          <w:szCs w:val="24"/>
        </w:rPr>
      </w:pPr>
    </w:p>
    <w:p w14:paraId="4E4FCFC9"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 Preparation, Participation, and Attendance</w:t>
      </w:r>
    </w:p>
    <w:p w14:paraId="66E337EC" w14:textId="77777777" w:rsidR="0001427B" w:rsidRPr="0001427B" w:rsidRDefault="00265810" w:rsidP="0001427B">
      <w:pPr>
        <w:spacing w:after="200" w:line="276" w:lineRule="auto"/>
        <w:ind w:firstLine="0"/>
        <w:jc w:val="left"/>
        <w:rPr>
          <w:rFonts w:eastAsia="Calibri" w:cs="Times New Roman"/>
          <w:szCs w:val="24"/>
        </w:rPr>
      </w:pPr>
      <w:bookmarkStart w:id="1" w:name="Preparation"/>
      <w:bookmarkEnd w:id="1"/>
      <w:r w:rsidRPr="005A2B66">
        <w:rPr>
          <w:rFonts w:eastAsia="Calibri" w:cs="Times New Roman"/>
          <w:szCs w:val="24"/>
        </w:rPr>
        <w:t xml:space="preserve"> </w:t>
      </w:r>
      <w:r w:rsidR="0001427B" w:rsidRPr="0001427B">
        <w:rPr>
          <w:rFonts w:eastAsia="Calibri" w:cs="Times New Roman"/>
          <w:szCs w:val="24"/>
        </w:rPr>
        <w:t xml:space="preserve">ABA Standard 310 requires that students devote 120 minutes to out-of-class preparation for every “classroom hour” of in-class instruction. </w:t>
      </w:r>
      <w:r w:rsidR="0001427B">
        <w:rPr>
          <w:rFonts w:eastAsia="Calibri" w:cs="Times New Roman"/>
          <w:szCs w:val="24"/>
        </w:rPr>
        <w:t>Constitutional Law</w:t>
      </w:r>
      <w:r w:rsidR="0001427B" w:rsidRPr="0001427B">
        <w:rPr>
          <w:rFonts w:eastAsia="Calibri" w:cs="Times New Roman"/>
          <w:szCs w:val="24"/>
        </w:rPr>
        <w:t xml:space="preserve"> has </w:t>
      </w:r>
      <w:r w:rsidR="0001427B">
        <w:rPr>
          <w:rFonts w:eastAsia="Calibri" w:cs="Times New Roman"/>
          <w:szCs w:val="24"/>
        </w:rPr>
        <w:t>4</w:t>
      </w:r>
      <w:r w:rsidR="0001427B" w:rsidRPr="0001427B">
        <w:rPr>
          <w:rFonts w:eastAsia="Calibri" w:cs="Times New Roman"/>
          <w:szCs w:val="24"/>
        </w:rPr>
        <w:t xml:space="preserve"> “classroom hours” of in-class instruction each week, requiring at least </w:t>
      </w:r>
      <w:r w:rsidR="0001427B">
        <w:rPr>
          <w:rFonts w:eastAsia="Calibri" w:cs="Times New Roman"/>
          <w:szCs w:val="24"/>
        </w:rPr>
        <w:t>8</w:t>
      </w:r>
      <w:r w:rsidR="0001427B" w:rsidRPr="0001427B">
        <w:rPr>
          <w:rFonts w:eastAsia="Calibri" w:cs="Times New Roman"/>
          <w:szCs w:val="24"/>
        </w:rPr>
        <w:t xml:space="preserve"> hours of preparation outside of class.  </w:t>
      </w:r>
    </w:p>
    <w:p w14:paraId="35E533C6" w14:textId="77777777"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35000102" w14:textId="77777777"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5C33678A" w14:textId="77777777" w:rsidR="00265810" w:rsidRPr="005A2B66" w:rsidRDefault="0001427B" w:rsidP="0001427B">
      <w:pPr>
        <w:spacing w:after="200" w:line="276" w:lineRule="auto"/>
        <w:ind w:firstLine="0"/>
        <w:jc w:val="left"/>
        <w:rPr>
          <w:rFonts w:eastAsia="Calibri" w:cs="Times New Roman"/>
          <w:szCs w:val="24"/>
        </w:rPr>
      </w:pPr>
      <w:r w:rsidRPr="0001427B">
        <w:rPr>
          <w:rFonts w:eastAsia="Calibri" w:cs="Times New Roman"/>
          <w:szCs w:val="24"/>
        </w:rPr>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14:paraId="3B1813B7" w14:textId="77777777" w:rsidR="00265810" w:rsidRPr="005A2B66" w:rsidRDefault="00265810" w:rsidP="00265810">
      <w:pPr>
        <w:spacing w:after="200" w:line="276" w:lineRule="auto"/>
        <w:ind w:firstLine="0"/>
        <w:jc w:val="left"/>
        <w:rPr>
          <w:rFonts w:eastAsia="Calibri" w:cs="Times New Roman"/>
          <w:b/>
          <w:szCs w:val="24"/>
        </w:rPr>
      </w:pPr>
      <w:bookmarkStart w:id="2" w:name="Attendance"/>
      <w:bookmarkStart w:id="3" w:name="Grades"/>
      <w:bookmarkEnd w:id="2"/>
      <w:bookmarkEnd w:id="3"/>
      <w:r w:rsidRPr="005A2B66">
        <w:rPr>
          <w:rFonts w:eastAsia="Calibri" w:cs="Times New Roman"/>
          <w:b/>
          <w:szCs w:val="24"/>
        </w:rPr>
        <w:t>Recording Devices and Cell Phones</w:t>
      </w:r>
    </w:p>
    <w:p w14:paraId="25B9339E"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Use of any recording devices (including audio and/or video) is not permitted in the classroom without my express permission. Cellular telephones should not be used during class, and ringers should be silenced.</w:t>
      </w:r>
    </w:p>
    <w:p w14:paraId="4CFDE999" w14:textId="77777777" w:rsidR="004C7E3C" w:rsidRDefault="00265810" w:rsidP="00265810">
      <w:pPr>
        <w:spacing w:after="200" w:line="276" w:lineRule="auto"/>
        <w:ind w:firstLine="0"/>
        <w:jc w:val="left"/>
        <w:rPr>
          <w:rFonts w:eastAsia="Calibri" w:cs="Times New Roman"/>
          <w:szCs w:val="24"/>
        </w:rPr>
      </w:pPr>
      <w:r w:rsidRPr="005A2B66">
        <w:rPr>
          <w:rFonts w:eastAsia="Calibri" w:cs="Times New Roman"/>
          <w:b/>
          <w:szCs w:val="24"/>
        </w:rPr>
        <w:t>Computer Usage</w:t>
      </w:r>
      <w:r>
        <w:rPr>
          <w:rFonts w:eastAsia="Calibri" w:cs="Times New Roman"/>
          <w:szCs w:val="24"/>
        </w:rPr>
        <w:t xml:space="preserve">  </w:t>
      </w:r>
    </w:p>
    <w:p w14:paraId="43F76B13" w14:textId="77777777" w:rsidR="00265810" w:rsidRDefault="00265810" w:rsidP="00265810">
      <w:pPr>
        <w:spacing w:after="200" w:line="276" w:lineRule="auto"/>
        <w:ind w:firstLine="0"/>
        <w:jc w:val="left"/>
        <w:rPr>
          <w:rFonts w:eastAsia="Calibri" w:cs="Times New Roman"/>
          <w:szCs w:val="24"/>
        </w:rPr>
      </w:pPr>
      <w:r>
        <w:rPr>
          <w:rFonts w:eastAsia="Calibri" w:cs="Times New Roman"/>
          <w:szCs w:val="24"/>
        </w:rPr>
        <w:t>Y</w:t>
      </w:r>
      <w:r w:rsidRPr="005A2B66">
        <w:rPr>
          <w:rFonts w:eastAsia="Calibri" w:cs="Times New Roman"/>
          <w:szCs w:val="24"/>
        </w:rPr>
        <w:t xml:space="preserve">ou </w:t>
      </w:r>
      <w:r>
        <w:rPr>
          <w:rFonts w:eastAsia="Calibri" w:cs="Times New Roman"/>
          <w:szCs w:val="24"/>
        </w:rPr>
        <w:t>may</w:t>
      </w:r>
      <w:r w:rsidRPr="005A2B66">
        <w:rPr>
          <w:rFonts w:eastAsia="Calibri" w:cs="Times New Roman"/>
          <w:szCs w:val="24"/>
        </w:rPr>
        <w:t xml:space="preserve"> use a laptop to take notes, prepare your outline, and take exams.  Please do not surf the web, send emails </w:t>
      </w:r>
      <w:r>
        <w:rPr>
          <w:rFonts w:eastAsia="Calibri" w:cs="Times New Roman"/>
          <w:szCs w:val="24"/>
        </w:rPr>
        <w:t xml:space="preserve">or IMs, look up old crushes on </w:t>
      </w:r>
      <w:r w:rsidRPr="005A2B66">
        <w:rPr>
          <w:rFonts w:eastAsia="Calibri" w:cs="Times New Roman"/>
          <w:szCs w:val="24"/>
        </w:rPr>
        <w:t xml:space="preserve">Facebook, shop for autographed Tim Tebow photos on </w:t>
      </w:r>
      <w:proofErr w:type="spellStart"/>
      <w:r w:rsidRPr="005A2B66">
        <w:rPr>
          <w:rFonts w:eastAsia="Calibri" w:cs="Times New Roman"/>
          <w:szCs w:val="24"/>
        </w:rPr>
        <w:t>EBay</w:t>
      </w:r>
      <w:proofErr w:type="spellEnd"/>
      <w:r w:rsidRPr="005A2B66">
        <w:rPr>
          <w:rFonts w:eastAsia="Calibri" w:cs="Times New Roman"/>
          <w:szCs w:val="24"/>
        </w:rPr>
        <w:t>, or generally mess around on your computer.  Such conduct is unprofessional, and shows a lack of respect for your classmates and me.  Such conduct may result in a grade reduction as discussed in the “class participation” section, above.</w:t>
      </w:r>
    </w:p>
    <w:p w14:paraId="05D37F3D" w14:textId="77777777" w:rsidR="004C7E3C" w:rsidRDefault="004C7E3C" w:rsidP="00265810">
      <w:pPr>
        <w:spacing w:after="200" w:line="276" w:lineRule="auto"/>
        <w:ind w:firstLine="0"/>
        <w:jc w:val="left"/>
        <w:rPr>
          <w:rFonts w:eastAsia="Calibri" w:cs="Times New Roman"/>
          <w:szCs w:val="24"/>
        </w:rPr>
      </w:pPr>
      <w:r>
        <w:rPr>
          <w:rFonts w:eastAsia="Calibri" w:cs="Times New Roman"/>
          <w:b/>
          <w:szCs w:val="24"/>
        </w:rPr>
        <w:t>Student Evaluations</w:t>
      </w:r>
    </w:p>
    <w:p w14:paraId="1DC4F7A4" w14:textId="77777777" w:rsidR="004C7E3C" w:rsidRPr="005A2B66" w:rsidRDefault="004C7E3C" w:rsidP="00265810">
      <w:pPr>
        <w:spacing w:after="200" w:line="276" w:lineRule="auto"/>
        <w:ind w:firstLine="0"/>
        <w:jc w:val="left"/>
        <w:rPr>
          <w:rFonts w:eastAsia="Calibri" w:cs="Times New Roman"/>
          <w:szCs w:val="24"/>
        </w:rPr>
      </w:pPr>
      <w:r>
        <w:rPr>
          <w:rFonts w:eastAsia="Calibri" w:cs="Times New Roman"/>
          <w:szCs w:val="24"/>
        </w:rPr>
        <w:t xml:space="preserve"> </w:t>
      </w:r>
      <w:r w:rsidRPr="004C7E3C">
        <w:rPr>
          <w:rFonts w:eastAsia="Calibri" w:cs="Times New Roman"/>
          <w:szCs w:val="24"/>
        </w:rPr>
        <w:t xml:space="preserve">Students are expected to provide professional and respectful feedback on the quality of instruction in this course by completing course evaluations online via </w:t>
      </w:r>
      <w:proofErr w:type="spellStart"/>
      <w:r w:rsidRPr="004C7E3C">
        <w:rPr>
          <w:rFonts w:eastAsia="Calibri" w:cs="Times New Roman"/>
          <w:szCs w:val="24"/>
        </w:rPr>
        <w:t>GatorEvals</w:t>
      </w:r>
      <w:proofErr w:type="spellEnd"/>
      <w:r w:rsidRPr="004C7E3C">
        <w:rPr>
          <w:rFonts w:eastAsia="Calibri" w:cs="Times New Roman"/>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4C7E3C">
        <w:rPr>
          <w:rFonts w:eastAsia="Calibri" w:cs="Times New Roman"/>
          <w:szCs w:val="24"/>
        </w:rPr>
        <w:t>GatorEvals</w:t>
      </w:r>
      <w:proofErr w:type="spellEnd"/>
      <w:r w:rsidRPr="004C7E3C">
        <w:rPr>
          <w:rFonts w:eastAsia="Calibri" w:cs="Times New Roman"/>
          <w:szCs w:val="24"/>
        </w:rPr>
        <w:t xml:space="preserve">, in their Canvas course menu under </w:t>
      </w:r>
      <w:proofErr w:type="spellStart"/>
      <w:r w:rsidRPr="004C7E3C">
        <w:rPr>
          <w:rFonts w:eastAsia="Calibri" w:cs="Times New Roman"/>
          <w:szCs w:val="24"/>
        </w:rPr>
        <w:t>GatorEvals</w:t>
      </w:r>
      <w:proofErr w:type="spellEnd"/>
      <w:r w:rsidRPr="004C7E3C">
        <w:rPr>
          <w:rFonts w:eastAsia="Calibri" w:cs="Times New Roman"/>
          <w:szCs w:val="24"/>
        </w:rPr>
        <w:t>, or via https://ufl.bluera.com/ufl/. Summaries of course evaluation results are available to students at https://gatorevals.aa.ufl.edu/public-results/.</w:t>
      </w:r>
    </w:p>
    <w:p w14:paraId="285D1610" w14:textId="77777777"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Assignments</w:t>
      </w:r>
    </w:p>
    <w:p w14:paraId="1624223B" w14:textId="77777777" w:rsidR="00265810" w:rsidRDefault="00265810" w:rsidP="00265810">
      <w:pPr>
        <w:ind w:firstLine="0"/>
      </w:pPr>
      <w:r w:rsidRPr="005A2B66">
        <w:rPr>
          <w:rFonts w:eastAsia="Calibri" w:cs="Times New Roman"/>
          <w:szCs w:val="24"/>
        </w:rPr>
        <w:t>Below are the expected reading assignments for the course.   Please note that this plan is subject to change. I reserve the right to modify</w:t>
      </w:r>
      <w:r w:rsidRPr="005A2B66">
        <w:rPr>
          <w:rFonts w:eastAsia="Calibri" w:cs="Times New Roman"/>
          <w:i/>
          <w:szCs w:val="24"/>
        </w:rPr>
        <w:t xml:space="preserve"> </w:t>
      </w:r>
      <w:r w:rsidRPr="005A2B66">
        <w:rPr>
          <w:rFonts w:eastAsia="Calibri" w:cs="Times New Roman"/>
          <w:szCs w:val="24"/>
        </w:rPr>
        <w:t>the assignments from time to time, and to utilize additional handouts and materials. All assignments are from the required texts, unless otherwise noted.</w:t>
      </w:r>
    </w:p>
    <w:p w14:paraId="0341F0AD" w14:textId="77777777" w:rsidR="00265810" w:rsidRDefault="00265810" w:rsidP="00507065"/>
    <w:p w14:paraId="13BADC04" w14:textId="77777777" w:rsidR="00507065" w:rsidRDefault="00507065" w:rsidP="00332D47">
      <w:pPr>
        <w:ind w:firstLine="0"/>
      </w:pPr>
      <w:r w:rsidRPr="00507065">
        <w:t>As a general rule, for each class you should read the next entry in the list of readings. That general rule will have plenty of exceptions, because some of the assignments will turn out to require multiple classes, but I will mention the exceptions as we go along.</w:t>
      </w:r>
    </w:p>
    <w:p w14:paraId="02973DA8" w14:textId="77777777" w:rsidR="00611112" w:rsidRDefault="00611112" w:rsidP="00507065"/>
    <w:p w14:paraId="7F2502FC" w14:textId="77777777" w:rsidR="00507065" w:rsidRPr="00611112" w:rsidRDefault="00507065" w:rsidP="00507065">
      <w:pPr>
        <w:rPr>
          <w:u w:val="single"/>
        </w:rPr>
      </w:pPr>
      <w:r w:rsidRPr="00611112">
        <w:rPr>
          <w:u w:val="single"/>
        </w:rPr>
        <w:t>Introduction</w:t>
      </w:r>
    </w:p>
    <w:p w14:paraId="49F07D27" w14:textId="77777777" w:rsidR="00611112" w:rsidRDefault="00611112" w:rsidP="00507065"/>
    <w:p w14:paraId="29FE1876" w14:textId="77777777" w:rsidR="00507065" w:rsidRDefault="00507065" w:rsidP="00507065">
      <w:r>
        <w:t>1. Before the Constitution (19-34, 1673-1679)</w:t>
      </w:r>
    </w:p>
    <w:p w14:paraId="13FD31CC" w14:textId="77777777" w:rsidR="00507065" w:rsidRDefault="00507065" w:rsidP="00507065">
      <w:r>
        <w:t>2. The Constitution (1-15, 35-46)</w:t>
      </w:r>
    </w:p>
    <w:p w14:paraId="736C2B29" w14:textId="77777777" w:rsidR="00507065" w:rsidRDefault="00507065" w:rsidP="00507065">
      <w:r>
        <w:t>3. The Alien and Sedition Acts: a case study in constitutional powers</w:t>
      </w:r>
    </w:p>
    <w:p w14:paraId="17C0ABBF" w14:textId="77777777" w:rsidR="00507065" w:rsidRDefault="00507065" w:rsidP="00507065">
      <w:r>
        <w:t>and rights (46-68)</w:t>
      </w:r>
    </w:p>
    <w:p w14:paraId="55898EEF" w14:textId="77777777" w:rsidR="00611112" w:rsidRDefault="00611112" w:rsidP="00507065"/>
    <w:p w14:paraId="193D4AC8" w14:textId="77777777" w:rsidR="00507065" w:rsidRPr="00611112" w:rsidRDefault="00507065" w:rsidP="00507065">
      <w:pPr>
        <w:rPr>
          <w:u w:val="single"/>
        </w:rPr>
      </w:pPr>
      <w:r w:rsidRPr="00611112">
        <w:rPr>
          <w:u w:val="single"/>
        </w:rPr>
        <w:t>Separation of Powers</w:t>
      </w:r>
    </w:p>
    <w:p w14:paraId="5F6A99F8" w14:textId="77777777" w:rsidR="00611112" w:rsidRDefault="00611112" w:rsidP="00507065"/>
    <w:p w14:paraId="17A1AB98" w14:textId="77777777" w:rsidR="00507065" w:rsidRDefault="00507065" w:rsidP="00507065">
      <w:r>
        <w:t>4. Introduction to separation of powers (69-86)</w:t>
      </w:r>
    </w:p>
    <w:p w14:paraId="30409A4C" w14:textId="77777777" w:rsidR="00507065" w:rsidRDefault="00507065" w:rsidP="00507065">
      <w:r>
        <w:t>5. Legislative power: specificity and delegation (86-103)</w:t>
      </w:r>
    </w:p>
    <w:p w14:paraId="396C124D" w14:textId="77777777" w:rsidR="00507065" w:rsidRDefault="00507065" w:rsidP="00507065">
      <w:r>
        <w:t xml:space="preserve">6. Legislative power: </w:t>
      </w:r>
      <w:r w:rsidR="00E067BC">
        <w:t>Bicameralism and presentment (140-160</w:t>
      </w:r>
      <w:r>
        <w:t>)</w:t>
      </w:r>
    </w:p>
    <w:p w14:paraId="0206F2C3" w14:textId="77777777" w:rsidR="00E067BC" w:rsidRDefault="00E067BC" w:rsidP="00507065">
      <w:r>
        <w:t>7. Legislative power: The power of the purse (160-176)</w:t>
      </w:r>
    </w:p>
    <w:p w14:paraId="5F9BCDB2" w14:textId="77777777" w:rsidR="00507065" w:rsidRDefault="00E067BC" w:rsidP="00507065">
      <w:r>
        <w:t>8</w:t>
      </w:r>
      <w:r w:rsidR="00507065">
        <w:t xml:space="preserve">. Executive power: </w:t>
      </w:r>
      <w:r>
        <w:t>The Appointment Power (176-89; supp. 3-14)</w:t>
      </w:r>
    </w:p>
    <w:p w14:paraId="772F21F8" w14:textId="77777777" w:rsidR="00507065" w:rsidRDefault="00F623B1" w:rsidP="00F623B1">
      <w:r>
        <w:t>9</w:t>
      </w:r>
      <w:r w:rsidR="00507065">
        <w:t xml:space="preserve">. Executive power: </w:t>
      </w:r>
      <w:r>
        <w:t>The Removal Power (207-229)</w:t>
      </w:r>
    </w:p>
    <w:p w14:paraId="6637250C" w14:textId="77777777" w:rsidR="00F623B1" w:rsidRDefault="00F623B1" w:rsidP="00F623B1">
      <w:r>
        <w:t>10. Executive power: Morrison v. Olson (248-268)</w:t>
      </w:r>
    </w:p>
    <w:p w14:paraId="6C95243C" w14:textId="77777777" w:rsidR="00762210" w:rsidRDefault="00762210" w:rsidP="00F623B1">
      <w:r>
        <w:t>11. Judicial power: Judicial review (365-390)</w:t>
      </w:r>
    </w:p>
    <w:p w14:paraId="309BFAB3" w14:textId="77777777" w:rsidR="00507065" w:rsidRDefault="00762210" w:rsidP="00507065">
      <w:r>
        <w:t>12</w:t>
      </w:r>
      <w:r w:rsidR="00507065">
        <w:t xml:space="preserve">. Judicial power: </w:t>
      </w:r>
      <w:r>
        <w:t>A</w:t>
      </w:r>
      <w:r w:rsidR="00507065">
        <w:t>dvisory opinions and standing (413-</w:t>
      </w:r>
      <w:r>
        <w:t>430</w:t>
      </w:r>
      <w:r w:rsidR="00507065">
        <w:t>)</w:t>
      </w:r>
    </w:p>
    <w:p w14:paraId="6AED63E4" w14:textId="77777777" w:rsidR="00611112" w:rsidRDefault="00611112" w:rsidP="00507065"/>
    <w:p w14:paraId="301E0AE1" w14:textId="77777777" w:rsidR="00507065" w:rsidRPr="00611112" w:rsidRDefault="00507065" w:rsidP="00507065">
      <w:pPr>
        <w:rPr>
          <w:u w:val="single"/>
        </w:rPr>
      </w:pPr>
      <w:r w:rsidRPr="00611112">
        <w:rPr>
          <w:u w:val="single"/>
        </w:rPr>
        <w:t>Federalism</w:t>
      </w:r>
    </w:p>
    <w:p w14:paraId="0B9426B1" w14:textId="77777777" w:rsidR="00611112" w:rsidRDefault="00611112" w:rsidP="00507065"/>
    <w:p w14:paraId="4D9D1CAE" w14:textId="77777777" w:rsidR="00507065" w:rsidRDefault="00741BD2" w:rsidP="00507065">
      <w:r>
        <w:t>1</w:t>
      </w:r>
      <w:r w:rsidR="00A703E2">
        <w:t>3</w:t>
      </w:r>
      <w:r w:rsidR="00507065">
        <w:t>. Introduction to federalism (463-4</w:t>
      </w:r>
      <w:r w:rsidR="00A703E2">
        <w:t>86</w:t>
      </w:r>
      <w:r w:rsidR="00507065">
        <w:t>)</w:t>
      </w:r>
    </w:p>
    <w:p w14:paraId="1F622AE3" w14:textId="77777777" w:rsidR="00507065" w:rsidRDefault="00741BD2" w:rsidP="00507065">
      <w:r>
        <w:t>14</w:t>
      </w:r>
      <w:r w:rsidR="00507065">
        <w:t>. The Second Bank of the United States (486-509)</w:t>
      </w:r>
    </w:p>
    <w:p w14:paraId="1413FA9E" w14:textId="77777777" w:rsidR="00507065" w:rsidRDefault="00741BD2" w:rsidP="00507065">
      <w:r>
        <w:t>15</w:t>
      </w:r>
      <w:r w:rsidR="00507065">
        <w:t xml:space="preserve">. The </w:t>
      </w:r>
      <w:r w:rsidR="00A703E2">
        <w:t>C</w:t>
      </w:r>
      <w:r w:rsidR="00507065">
        <w:t>ommerce power (510-525)</w:t>
      </w:r>
    </w:p>
    <w:p w14:paraId="5D82430F" w14:textId="77777777" w:rsidR="00507065" w:rsidRDefault="00741BD2" w:rsidP="00507065">
      <w:r>
        <w:t>16</w:t>
      </w:r>
      <w:r w:rsidR="00A703E2">
        <w:t>. The C</w:t>
      </w:r>
      <w:r w:rsidR="00507065">
        <w:t>ommerce power, continued (525-547)</w:t>
      </w:r>
    </w:p>
    <w:p w14:paraId="6953711C" w14:textId="77777777" w:rsidR="00A703E2" w:rsidRDefault="00A703E2" w:rsidP="00507065">
      <w:r>
        <w:t>17. The Commerce and Necessary &amp; Proper Clauses (547-571)</w:t>
      </w:r>
    </w:p>
    <w:p w14:paraId="41273722" w14:textId="77777777" w:rsidR="00507065" w:rsidRDefault="00741BD2" w:rsidP="00507065">
      <w:r>
        <w:t>1</w:t>
      </w:r>
      <w:r w:rsidR="00A703E2">
        <w:t>8</w:t>
      </w:r>
      <w:r w:rsidR="00507065">
        <w:t>. Commandeering (</w:t>
      </w:r>
      <w:r w:rsidR="00A703E2" w:rsidRPr="00A703E2">
        <w:t>1244-1248</w:t>
      </w:r>
      <w:r w:rsidR="00A703E2">
        <w:t xml:space="preserve">, </w:t>
      </w:r>
      <w:r w:rsidR="00507065">
        <w:t>582-596,</w:t>
      </w:r>
      <w:r w:rsidR="00A703E2">
        <w:t xml:space="preserve"> supp. 15-27</w:t>
      </w:r>
      <w:r w:rsidR="00507065">
        <w:t>)</w:t>
      </w:r>
    </w:p>
    <w:p w14:paraId="187AE5C7" w14:textId="77777777" w:rsidR="00507065" w:rsidRDefault="00A703E2" w:rsidP="00507065">
      <w:r>
        <w:t>19</w:t>
      </w:r>
      <w:r w:rsidR="00507065">
        <w:t>. The taxing and spending powers (609-629)</w:t>
      </w:r>
    </w:p>
    <w:p w14:paraId="3DCDAF47" w14:textId="77777777" w:rsidR="00507065" w:rsidRDefault="00A703E2" w:rsidP="00507065">
      <w:r>
        <w:t>20</w:t>
      </w:r>
      <w:r w:rsidR="00507065">
        <w:t>. Synthesis: the commerce, taxing, and necessary and proper powers</w:t>
      </w:r>
    </w:p>
    <w:p w14:paraId="16CA022C" w14:textId="77777777" w:rsidR="00507065" w:rsidRDefault="00507065" w:rsidP="00507065">
      <w:r>
        <w:t>(629-659)</w:t>
      </w:r>
    </w:p>
    <w:p w14:paraId="5EC2217B" w14:textId="77777777" w:rsidR="00507065" w:rsidRPr="00611112" w:rsidRDefault="00507065" w:rsidP="00507065">
      <w:pPr>
        <w:rPr>
          <w:u w:val="single"/>
        </w:rPr>
      </w:pPr>
      <w:r w:rsidRPr="00611112">
        <w:rPr>
          <w:u w:val="single"/>
        </w:rPr>
        <w:t>Individual Rights</w:t>
      </w:r>
    </w:p>
    <w:p w14:paraId="588B612C" w14:textId="77777777" w:rsidR="00611112" w:rsidRDefault="00611112" w:rsidP="00507065"/>
    <w:p w14:paraId="761BA7A1" w14:textId="77777777" w:rsidR="007C355C" w:rsidRDefault="00741BD2" w:rsidP="007C355C">
      <w:pPr>
        <w:ind w:left="720" w:firstLine="0"/>
      </w:pPr>
      <w:r>
        <w:t>21</w:t>
      </w:r>
      <w:r w:rsidR="00507065">
        <w:t>. Introduction to the Bill of Rights</w:t>
      </w:r>
      <w:r w:rsidR="007C355C">
        <w:t xml:space="preserve"> and Reconstruction Amendments</w:t>
      </w:r>
      <w:r w:rsidR="00507065">
        <w:t xml:space="preserve"> (809</w:t>
      </w:r>
      <w:r w:rsidR="001B18B8">
        <w:t>-</w:t>
      </w:r>
      <w:r w:rsidR="00507065">
        <w:t>816</w:t>
      </w:r>
      <w:r w:rsidR="007C355C">
        <w:t xml:space="preserve">, </w:t>
      </w:r>
      <w:r w:rsidR="00507065">
        <w:t>1249</w:t>
      </w:r>
      <w:r w:rsidR="007C355C">
        <w:t>-1264)</w:t>
      </w:r>
    </w:p>
    <w:p w14:paraId="1DFAB2BE" w14:textId="77777777" w:rsidR="00507065" w:rsidRDefault="007C355C" w:rsidP="00507065">
      <w:r>
        <w:t>22. Proposing the 14</w:t>
      </w:r>
      <w:r w:rsidRPr="007C355C">
        <w:rPr>
          <w:vertAlign w:val="superscript"/>
        </w:rPr>
        <w:t>th</w:t>
      </w:r>
      <w:r>
        <w:t xml:space="preserve"> Amendment</w:t>
      </w:r>
      <w:r w:rsidR="00507065">
        <w:t xml:space="preserve"> </w:t>
      </w:r>
      <w:r>
        <w:t>(</w:t>
      </w:r>
      <w:r w:rsidR="00507065">
        <w:t>1264-1284)</w:t>
      </w:r>
    </w:p>
    <w:p w14:paraId="35A7E230" w14:textId="77777777" w:rsidR="00507065" w:rsidRDefault="00741BD2" w:rsidP="00507065">
      <w:r>
        <w:t>2</w:t>
      </w:r>
      <w:r w:rsidR="007C355C">
        <w:t>3</w:t>
      </w:r>
      <w:r w:rsidR="00507065">
        <w:t>. The Slaughter-House Cases (1284-1309)</w:t>
      </w:r>
    </w:p>
    <w:p w14:paraId="049D2A00" w14:textId="77777777" w:rsidR="007C355C" w:rsidRDefault="007C355C" w:rsidP="00507065">
      <w:r>
        <w:t>24. Congressional Enforcement power (1309-1335)</w:t>
      </w:r>
    </w:p>
    <w:p w14:paraId="1C60FE52" w14:textId="77777777" w:rsidR="00507065" w:rsidRDefault="00741BD2" w:rsidP="00507065">
      <w:r>
        <w:t>2</w:t>
      </w:r>
      <w:r w:rsidR="007C355C">
        <w:t>5</w:t>
      </w:r>
      <w:r w:rsidR="00507065">
        <w:t>. Plessy and Segregation (1336-1354)</w:t>
      </w:r>
    </w:p>
    <w:p w14:paraId="50094BBB" w14:textId="77777777" w:rsidR="00741BD2" w:rsidRDefault="007C355C" w:rsidP="00741BD2">
      <w:r>
        <w:t>26</w:t>
      </w:r>
      <w:r w:rsidR="00507065">
        <w:t>. Brown and Desegregation (1355-1372, 1381</w:t>
      </w:r>
      <w:r w:rsidR="00741BD2">
        <w:t>)</w:t>
      </w:r>
    </w:p>
    <w:p w14:paraId="0FAB2AC4" w14:textId="77777777" w:rsidR="00507065" w:rsidRDefault="007C355C" w:rsidP="00507065">
      <w:r>
        <w:t>27</w:t>
      </w:r>
      <w:r w:rsidR="00741BD2">
        <w:t xml:space="preserve">. Loving, </w:t>
      </w:r>
      <w:proofErr w:type="spellStart"/>
      <w:r w:rsidR="00741BD2">
        <w:t>Yick</w:t>
      </w:r>
      <w:proofErr w:type="spellEnd"/>
      <w:r w:rsidR="00741BD2">
        <w:t xml:space="preserve"> Wo, and Washington v. Davis (1375-1392)</w:t>
      </w:r>
    </w:p>
    <w:p w14:paraId="34944EE9" w14:textId="77777777" w:rsidR="00741BD2" w:rsidRDefault="007C355C" w:rsidP="00507065">
      <w:r>
        <w:t>28</w:t>
      </w:r>
      <w:r w:rsidR="00741BD2">
        <w:t>. Affirmative Action (1396-1414)</w:t>
      </w:r>
    </w:p>
    <w:p w14:paraId="38A412D7" w14:textId="77777777" w:rsidR="00507065" w:rsidRDefault="007C355C" w:rsidP="00507065">
      <w:r>
        <w:t>29</w:t>
      </w:r>
      <w:r w:rsidR="00507065">
        <w:t>. Sex discrimination (1440-1462)</w:t>
      </w:r>
    </w:p>
    <w:p w14:paraId="0973A5EA" w14:textId="77777777" w:rsidR="00507065" w:rsidRDefault="00741BD2" w:rsidP="00507065">
      <w:r>
        <w:t>3</w:t>
      </w:r>
      <w:r w:rsidR="007C355C">
        <w:t>0</w:t>
      </w:r>
      <w:r w:rsidR="00507065">
        <w:t>. Substantive due process (1519-1536)</w:t>
      </w:r>
    </w:p>
    <w:p w14:paraId="34B0B363" w14:textId="77777777" w:rsidR="00507065" w:rsidRDefault="00741BD2" w:rsidP="00507065">
      <w:r>
        <w:t>3</w:t>
      </w:r>
      <w:r w:rsidR="007C355C">
        <w:t>1</w:t>
      </w:r>
      <w:r w:rsidR="00507065">
        <w:t>. Substantive due process, continued (1536-1560)</w:t>
      </w:r>
    </w:p>
    <w:p w14:paraId="79DEAB56" w14:textId="77777777" w:rsidR="00507065" w:rsidRDefault="007C355C" w:rsidP="00507065">
      <w:r>
        <w:t>32</w:t>
      </w:r>
      <w:r w:rsidR="00507065">
        <w:t>. Substantive due process, continued (1560-1575)</w:t>
      </w:r>
    </w:p>
    <w:p w14:paraId="6E60024B" w14:textId="77777777" w:rsidR="000C6072" w:rsidRDefault="007C355C" w:rsidP="00507065">
      <w:r>
        <w:t>33</w:t>
      </w:r>
      <w:r w:rsidR="00507065">
        <w:t>. Substantive due process, continued (1576-1607)</w:t>
      </w:r>
    </w:p>
    <w:p w14:paraId="7444E16B" w14:textId="77777777" w:rsidR="005152A3" w:rsidRDefault="007C355C" w:rsidP="00507065">
      <w:r>
        <w:t>34</w:t>
      </w:r>
      <w:r w:rsidR="005152A3">
        <w:t>. Limiting Principles? (1606-1631)</w:t>
      </w:r>
    </w:p>
    <w:p w14:paraId="1188AE8D" w14:textId="77777777" w:rsidR="005152A3" w:rsidRDefault="007C355C" w:rsidP="00507065">
      <w:r>
        <w:t>35</w:t>
      </w:r>
      <w:r w:rsidR="005152A3">
        <w:t>. Same sex marriage (1632-1662)</w:t>
      </w:r>
    </w:p>
    <w:sectPr w:rsidR="0051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65"/>
    <w:rsid w:val="0001427B"/>
    <w:rsid w:val="00016BB2"/>
    <w:rsid w:val="000D3D1D"/>
    <w:rsid w:val="000E1493"/>
    <w:rsid w:val="00122538"/>
    <w:rsid w:val="001B18B8"/>
    <w:rsid w:val="00265810"/>
    <w:rsid w:val="002D62BE"/>
    <w:rsid w:val="002D69FD"/>
    <w:rsid w:val="00304A15"/>
    <w:rsid w:val="00332D47"/>
    <w:rsid w:val="003E72BB"/>
    <w:rsid w:val="004C7E3C"/>
    <w:rsid w:val="00507065"/>
    <w:rsid w:val="005152A3"/>
    <w:rsid w:val="005205FC"/>
    <w:rsid w:val="0054330B"/>
    <w:rsid w:val="005A6976"/>
    <w:rsid w:val="00602DEF"/>
    <w:rsid w:val="00611112"/>
    <w:rsid w:val="00670F4C"/>
    <w:rsid w:val="006D74E3"/>
    <w:rsid w:val="006D7E15"/>
    <w:rsid w:val="00741BD2"/>
    <w:rsid w:val="00762210"/>
    <w:rsid w:val="007C355C"/>
    <w:rsid w:val="00896DB0"/>
    <w:rsid w:val="0097420A"/>
    <w:rsid w:val="009F5E89"/>
    <w:rsid w:val="00A068FA"/>
    <w:rsid w:val="00A703E2"/>
    <w:rsid w:val="00C14549"/>
    <w:rsid w:val="00E067BC"/>
    <w:rsid w:val="00E86BD8"/>
    <w:rsid w:val="00F623B1"/>
    <w:rsid w:val="00F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6FE"/>
  <w15:docId w15:val="{9EE59059-1900-407D-A788-C27DB2B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character" w:styleId="Hyperlink">
    <w:name w:val="Hyperlink"/>
    <w:basedOn w:val="DefaultParagraphFont"/>
    <w:uiPriority w:val="99"/>
    <w:unhideWhenUsed/>
    <w:rsid w:val="00265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 TargetMode="External"/><Relationship Id="rId3" Type="http://schemas.openxmlformats.org/officeDocument/2006/relationships/settings" Target="settings.xml"/><Relationship Id="rId7" Type="http://schemas.openxmlformats.org/officeDocument/2006/relationships/hyperlink" Target="http://www.registrar.ufl.edu/catalog/policies/regulationgra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inneford@law.ufl.edu" TargetMode="External"/><Relationship Id="rId11" Type="http://schemas.openxmlformats.org/officeDocument/2006/relationships/theme" Target="theme/theme1.xml"/><Relationship Id="rId5" Type="http://schemas.openxmlformats.org/officeDocument/2006/relationships/hyperlink" Target="http://www.paulsencalabresiconstitution.com/forms/Paulsen2018suppleme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ufl.edu/students/polic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1908</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Reviewer</cp:lastModifiedBy>
  <cp:revision>2</cp:revision>
  <dcterms:created xsi:type="dcterms:W3CDTF">2019-08-13T19:04:00Z</dcterms:created>
  <dcterms:modified xsi:type="dcterms:W3CDTF">2019-08-13T19:04:00Z</dcterms:modified>
</cp:coreProperties>
</file>