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93" w:rsidRDefault="00AA1E93" w:rsidP="00AA1E93">
      <w:pPr>
        <w:ind w:firstLine="0"/>
        <w:rPr>
          <w:b/>
        </w:rPr>
      </w:pPr>
      <w:r>
        <w:rPr>
          <w:b/>
        </w:rPr>
        <w:t>Professional Responsibility</w:t>
      </w:r>
      <w:r w:rsidRPr="00AA1E93">
        <w:rPr>
          <w:b/>
        </w:rPr>
        <w:t>, Spring 201</w:t>
      </w:r>
      <w:r w:rsidR="006A7258">
        <w:rPr>
          <w:b/>
        </w:rPr>
        <w:t>9</w:t>
      </w:r>
    </w:p>
    <w:p w:rsidR="005B4E70" w:rsidRDefault="005B4E70" w:rsidP="00AA1E93">
      <w:pPr>
        <w:ind w:firstLine="0"/>
        <w:rPr>
          <w:b/>
        </w:rPr>
      </w:pPr>
      <w:r>
        <w:rPr>
          <w:b/>
        </w:rPr>
        <w:t>Law 6750</w:t>
      </w:r>
    </w:p>
    <w:p w:rsidR="005B4E70" w:rsidRPr="00AA1E93" w:rsidRDefault="005B4E70" w:rsidP="005B4E70">
      <w:pPr>
        <w:ind w:firstLine="0"/>
        <w:rPr>
          <w:b/>
        </w:rPr>
      </w:pPr>
      <w:r>
        <w:rPr>
          <w:b/>
        </w:rPr>
        <w:t>3</w:t>
      </w:r>
      <w:r w:rsidRPr="00AA1E93">
        <w:rPr>
          <w:b/>
        </w:rPr>
        <w:t xml:space="preserve"> Credits</w:t>
      </w:r>
    </w:p>
    <w:p w:rsidR="00AA1E93" w:rsidRPr="00AA1E93" w:rsidRDefault="00AA1E93" w:rsidP="00AA1E93">
      <w:pPr>
        <w:ind w:firstLine="0"/>
        <w:rPr>
          <w:b/>
        </w:rPr>
      </w:pPr>
      <w:r w:rsidRPr="00AA1E93">
        <w:rPr>
          <w:b/>
        </w:rPr>
        <w:t>Professor John Stinneford</w:t>
      </w:r>
    </w:p>
    <w:p w:rsidR="00AA1E93" w:rsidRDefault="00AA1E93" w:rsidP="00AA1E93">
      <w:pPr>
        <w:ind w:firstLine="0"/>
      </w:pPr>
    </w:p>
    <w:p w:rsidR="00203328" w:rsidRDefault="00203328" w:rsidP="00203328">
      <w:pPr>
        <w:ind w:firstLine="0"/>
      </w:pPr>
      <w:r w:rsidRPr="003918C1">
        <w:t>Th</w:t>
      </w:r>
      <w:r>
        <w:t>is</w:t>
      </w:r>
      <w:r w:rsidRPr="003918C1">
        <w:t xml:space="preserve"> course will give you an overview of the law governing lawyers and allow you to explore the ethical problems lawyers encounter in practice.  The course also considers the various professional roles lawyers assume and the moral quandaries they face.  The primary focus of the course will be ethical problem-solving. The ultimate goal is to give students the opportunity to begin to develop an informed, personalized, ethical problem-solving methodology as part of a developing individualized professional identity.</w:t>
      </w:r>
    </w:p>
    <w:p w:rsidR="00FC4659" w:rsidRDefault="00FC4659" w:rsidP="00203328">
      <w:pPr>
        <w:ind w:firstLine="0"/>
      </w:pPr>
    </w:p>
    <w:p w:rsidR="00FC4659" w:rsidRPr="00FC4659" w:rsidRDefault="00FC4659" w:rsidP="00203328">
      <w:pPr>
        <w:ind w:firstLine="0"/>
        <w:rPr>
          <w:u w:val="single"/>
        </w:rPr>
      </w:pPr>
      <w:r>
        <w:rPr>
          <w:u w:val="single"/>
        </w:rPr>
        <w:t>Student Learning Outcomes</w:t>
      </w:r>
    </w:p>
    <w:p w:rsidR="00FC4659" w:rsidRDefault="00FC4659" w:rsidP="00203328">
      <w:pPr>
        <w:ind w:firstLine="0"/>
      </w:pPr>
    </w:p>
    <w:p w:rsidR="00FC4659" w:rsidRPr="00683B89" w:rsidRDefault="00FC4659" w:rsidP="00FC465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rules, commentary, statutes, and judicial opinions governing the ethical conduct of lawyers.</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the ethical, moral, and policy concerns underlying the law regulating lawyers.</w:t>
      </w:r>
    </w:p>
    <w:p w:rsidR="00FC4659" w:rsidRDefault="00FC4659" w:rsidP="00FC465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ethical issues in given fact patterns and work through their solutions using the relevant legal rules.</w:t>
      </w:r>
    </w:p>
    <w:p w:rsidR="00203328" w:rsidRDefault="00203328" w:rsidP="00AA1E93">
      <w:pPr>
        <w:ind w:firstLine="0"/>
        <w:rPr>
          <w:u w:val="single"/>
        </w:rPr>
      </w:pPr>
    </w:p>
    <w:p w:rsidR="00AA1E93" w:rsidRPr="00AA1E93" w:rsidRDefault="00AA1E93" w:rsidP="00AA1E93">
      <w:pPr>
        <w:ind w:firstLine="0"/>
        <w:rPr>
          <w:u w:val="single"/>
        </w:rPr>
      </w:pPr>
      <w:r w:rsidRPr="00AA1E93">
        <w:rPr>
          <w:u w:val="single"/>
        </w:rPr>
        <w:t>Required Text</w:t>
      </w:r>
    </w:p>
    <w:p w:rsidR="00AA1E93" w:rsidRDefault="00AA1E93" w:rsidP="00AA1E93">
      <w:pPr>
        <w:ind w:firstLine="0"/>
      </w:pPr>
    </w:p>
    <w:p w:rsidR="00AA1E93" w:rsidRDefault="00AA1E93" w:rsidP="00AA1E93">
      <w:pPr>
        <w:ind w:firstLine="0"/>
      </w:pPr>
      <w:r>
        <w:t xml:space="preserve">The required text for this course is </w:t>
      </w:r>
      <w:r w:rsidR="00C3551E">
        <w:t>Lerman &amp; Schrag</w:t>
      </w:r>
      <w:r>
        <w:t xml:space="preserve">, </w:t>
      </w:r>
      <w:r w:rsidR="00C3551E" w:rsidRPr="00C3551E">
        <w:rPr>
          <w:smallCaps/>
        </w:rPr>
        <w:t>Ethical Problems in the Practice of Law</w:t>
      </w:r>
      <w:r w:rsidR="00C3551E">
        <w:t xml:space="preserve"> </w:t>
      </w:r>
      <w:r>
        <w:t>(</w:t>
      </w:r>
      <w:r w:rsidR="00C3551E">
        <w:t>4</w:t>
      </w:r>
      <w:r w:rsidR="00C3551E" w:rsidRPr="00C3551E">
        <w:rPr>
          <w:vertAlign w:val="superscript"/>
        </w:rPr>
        <w:t>th</w:t>
      </w:r>
      <w:r w:rsidR="00C3551E">
        <w:t xml:space="preserve"> edition </w:t>
      </w:r>
      <w:r>
        <w:t>201</w:t>
      </w:r>
      <w:r w:rsidR="00C3551E">
        <w:t>6</w:t>
      </w:r>
      <w:r>
        <w:t>), as well as the 201</w:t>
      </w:r>
      <w:r w:rsidR="00310812">
        <w:t>9</w:t>
      </w:r>
      <w:r>
        <w:t xml:space="preserve"> </w:t>
      </w:r>
      <w:r w:rsidR="00C3551E">
        <w:t>s</w:t>
      </w:r>
      <w:r>
        <w:t xml:space="preserve">upplement </w:t>
      </w:r>
      <w:r w:rsidR="00C3551E">
        <w:t xml:space="preserve">entitled </w:t>
      </w:r>
      <w:r w:rsidR="00C3551E" w:rsidRPr="00C3551E">
        <w:rPr>
          <w:smallCaps/>
        </w:rPr>
        <w:t>Ethical Problems in the Practice of Law: Model Rules, State Variations, and Practice Questions</w:t>
      </w:r>
      <w:r>
        <w:t>. Other handouts or materials may be assigned during the semester.  You may access supplemental materials and view other course related information on the course TWEN page. You are required to register on TWEN by the end of the drop/add period for the semester.</w:t>
      </w:r>
    </w:p>
    <w:p w:rsidR="00AA1E93" w:rsidRDefault="00AA1E93" w:rsidP="00AA1E93">
      <w:pPr>
        <w:ind w:firstLine="0"/>
      </w:pPr>
    </w:p>
    <w:p w:rsidR="00AA1E93" w:rsidRPr="00AA1E93" w:rsidRDefault="00AA1E93" w:rsidP="00AA1E93">
      <w:pPr>
        <w:ind w:firstLine="0"/>
        <w:rPr>
          <w:u w:val="single"/>
        </w:rPr>
      </w:pPr>
      <w:r w:rsidRPr="00AA1E93">
        <w:rPr>
          <w:u w:val="single"/>
        </w:rPr>
        <w:t>Classes</w:t>
      </w:r>
    </w:p>
    <w:p w:rsidR="00AA1E93" w:rsidRDefault="00AA1E93" w:rsidP="00AA1E93">
      <w:pPr>
        <w:ind w:firstLine="0"/>
      </w:pPr>
    </w:p>
    <w:p w:rsidR="00AA1E93" w:rsidRDefault="00AA1E93" w:rsidP="00AA1E93">
      <w:pPr>
        <w:ind w:firstLine="0"/>
      </w:pPr>
      <w:r>
        <w:t>Classes will be held on Wednesdays, Thursdays</w:t>
      </w:r>
      <w:r w:rsidR="00826374">
        <w:t>, and Fridays</w:t>
      </w:r>
      <w:r>
        <w:t xml:space="preserve"> from </w:t>
      </w:r>
      <w:r w:rsidR="00826374">
        <w:t>2</w:t>
      </w:r>
      <w:r>
        <w:t>:00-</w:t>
      </w:r>
      <w:r w:rsidR="00826374">
        <w:t>2</w:t>
      </w:r>
      <w:r>
        <w:t xml:space="preserve">:50 </w:t>
      </w:r>
      <w:r w:rsidR="00826374">
        <w:t>p</w:t>
      </w:r>
      <w:r>
        <w:t xml:space="preserve">.m. in Room </w:t>
      </w:r>
      <w:r w:rsidR="00826374">
        <w:t>355C</w:t>
      </w:r>
      <w:r>
        <w:t xml:space="preserve">.  The final exam is tentatively scheduled for May </w:t>
      </w:r>
      <w:r w:rsidR="00201B95">
        <w:t>3</w:t>
      </w:r>
      <w:r>
        <w:t xml:space="preserve"> at </w:t>
      </w:r>
      <w:r w:rsidR="00C3551E">
        <w:t>1:00 p</w:t>
      </w:r>
      <w:r>
        <w:t xml:space="preserve">.m. </w:t>
      </w:r>
    </w:p>
    <w:p w:rsidR="00C3551E" w:rsidRDefault="00C3551E" w:rsidP="00AA1E93">
      <w:pPr>
        <w:ind w:firstLine="0"/>
      </w:pPr>
    </w:p>
    <w:p w:rsidR="00AA1E93" w:rsidRPr="00C3551E" w:rsidRDefault="00AA1E93" w:rsidP="00AA1E93">
      <w:pPr>
        <w:ind w:firstLine="0"/>
        <w:rPr>
          <w:u w:val="single"/>
        </w:rPr>
      </w:pPr>
      <w:r w:rsidRPr="00C3551E">
        <w:rPr>
          <w:u w:val="single"/>
        </w:rPr>
        <w:t>Office Hours</w:t>
      </w:r>
    </w:p>
    <w:p w:rsidR="00C3551E" w:rsidRDefault="00C3551E" w:rsidP="00AA1E93">
      <w:pPr>
        <w:ind w:firstLine="0"/>
      </w:pPr>
    </w:p>
    <w:p w:rsidR="00AA1E93" w:rsidRDefault="00AA1E93" w:rsidP="00AA1E93">
      <w:pPr>
        <w:ind w:firstLine="0"/>
      </w:pPr>
      <w:r>
        <w:t xml:space="preserve">My office hours are on </w:t>
      </w:r>
      <w:r w:rsidR="00AE41C2">
        <w:t>Wedn</w:t>
      </w:r>
      <w:r>
        <w:t xml:space="preserve">esdays from </w:t>
      </w:r>
      <w:r w:rsidR="004D1139">
        <w:t>3</w:t>
      </w:r>
      <w:r>
        <w:t>:15-</w:t>
      </w:r>
      <w:r w:rsidR="004D1139">
        <w:t>5</w:t>
      </w:r>
      <w:r w:rsidR="005B4E70">
        <w:t>:00</w:t>
      </w:r>
      <w: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rsidR="00C3551E" w:rsidRDefault="00C3551E"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r w:rsidRPr="00C3551E">
        <w:rPr>
          <w:u w:val="single"/>
        </w:rPr>
        <w:lastRenderedPageBreak/>
        <w:t xml:space="preserve">Contact Information </w:t>
      </w:r>
    </w:p>
    <w:p w:rsidR="00C3551E" w:rsidRDefault="00C3551E" w:rsidP="00AA1E93">
      <w:pPr>
        <w:ind w:firstLine="0"/>
      </w:pPr>
    </w:p>
    <w:p w:rsidR="00AA1E93" w:rsidRDefault="00AA1E93" w:rsidP="00AA1E93">
      <w:pPr>
        <w:ind w:firstLine="0"/>
      </w:pPr>
      <w:r>
        <w:t xml:space="preserve">My office is in Room 379 and the telephone number is (352) 273-0959. My e-mail address is jstinneford@law.ufl.edu.   I encourage you to contact me regularly during the semester and to ask any questions that you may have about the course or even more generally about the practice of law.  </w:t>
      </w:r>
    </w:p>
    <w:p w:rsidR="00C3551E" w:rsidRDefault="00C3551E" w:rsidP="00AA1E93">
      <w:pPr>
        <w:ind w:firstLine="0"/>
      </w:pPr>
    </w:p>
    <w:p w:rsidR="00AA1E93" w:rsidRPr="00C3551E" w:rsidRDefault="00AA1E93" w:rsidP="00AA1E93">
      <w:pPr>
        <w:ind w:firstLine="0"/>
        <w:rPr>
          <w:u w:val="single"/>
        </w:rPr>
      </w:pPr>
      <w:r w:rsidRPr="00C3551E">
        <w:rPr>
          <w:u w:val="single"/>
        </w:rPr>
        <w:t xml:space="preserve">Grading </w:t>
      </w:r>
    </w:p>
    <w:p w:rsidR="00C3551E" w:rsidRDefault="00C3551E" w:rsidP="00AA1E93">
      <w:pPr>
        <w:ind w:firstLine="0"/>
      </w:pPr>
    </w:p>
    <w:p w:rsidR="00AA1E93" w:rsidRDefault="00AA1E93" w:rsidP="00AA1E93">
      <w:pPr>
        <w:ind w:firstLine="0"/>
      </w:pPr>
      <w:r>
        <w:t xml:space="preserve">Your final course grade will be based principally on a final exam (90%), and will be subject to modification based upon course participation and attendance as described below.  </w:t>
      </w:r>
    </w:p>
    <w:p w:rsidR="001E66A7" w:rsidRDefault="001E66A7" w:rsidP="00AA1E93">
      <w:pPr>
        <w:ind w:firstLine="0"/>
      </w:pPr>
    </w:p>
    <w:p w:rsidR="00AA1E93" w:rsidRDefault="00AA1E93" w:rsidP="00AA1E93">
      <w:pPr>
        <w:ind w:firstLine="0"/>
      </w:pPr>
      <w:r>
        <w:t>After course grades have been posted, if you wish to review your exam I will make your exam available along with a model answer.  If you wish to speak to me after you have reviewed your exam, you may do so in the fall semester.  For further information on the University’s grading policies and calculation of grade points please see http://www.registrar.ufl.edu/catalog/policies/regulationgrades.html.</w:t>
      </w:r>
    </w:p>
    <w:p w:rsidR="005B4E70" w:rsidRDefault="005B4E70" w:rsidP="00AA1E93">
      <w:pPr>
        <w:ind w:firstLine="0"/>
      </w:pPr>
    </w:p>
    <w:p w:rsidR="00AA1E93" w:rsidRPr="005B4E70" w:rsidRDefault="00AA1E93" w:rsidP="00AA1E93">
      <w:pPr>
        <w:ind w:firstLine="0"/>
        <w:rPr>
          <w:u w:val="single"/>
        </w:rPr>
      </w:pPr>
      <w:r w:rsidRPr="005B4E70">
        <w:rPr>
          <w:u w:val="single"/>
        </w:rPr>
        <w:t xml:space="preserve">Policy related to Make-up exams or other work </w:t>
      </w:r>
    </w:p>
    <w:p w:rsidR="005B4E70" w:rsidRDefault="005B4E70" w:rsidP="00AA1E93">
      <w:pPr>
        <w:ind w:firstLine="0"/>
      </w:pPr>
    </w:p>
    <w:p w:rsidR="00AA1E93" w:rsidRDefault="00AA1E93" w:rsidP="00AA1E93">
      <w:pPr>
        <w:ind w:firstLine="0"/>
      </w:pPr>
      <w:r>
        <w:t xml:space="preserve">The law school policy on delay in taking exams can be found at: http://www.law.ufl.edu/students/policies.shtml#12. </w:t>
      </w:r>
    </w:p>
    <w:p w:rsidR="005B4E70" w:rsidRDefault="005B4E70" w:rsidP="00AA1E93">
      <w:pPr>
        <w:ind w:firstLine="0"/>
      </w:pPr>
    </w:p>
    <w:p w:rsidR="00AA1E93" w:rsidRPr="005B4E70" w:rsidRDefault="00AA1E93" w:rsidP="00AA1E93">
      <w:pPr>
        <w:ind w:firstLine="0"/>
        <w:rPr>
          <w:u w:val="single"/>
        </w:rPr>
      </w:pPr>
      <w:r w:rsidRPr="005B4E70">
        <w:rPr>
          <w:u w:val="single"/>
        </w:rPr>
        <w:t>Statement related to accommodations for students with disabilities</w:t>
      </w:r>
    </w:p>
    <w:p w:rsidR="00AA1E93" w:rsidRDefault="00AA1E93" w:rsidP="00AA1E93">
      <w:pPr>
        <w:ind w:firstLine="0"/>
      </w:pPr>
    </w:p>
    <w:p w:rsidR="00AA1E93" w:rsidRDefault="00AA1E93" w:rsidP="00AA1E93">
      <w:pPr>
        <w:ind w:firstLine="0"/>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1E66A7" w:rsidRDefault="001E66A7" w:rsidP="00AA1E93">
      <w:pPr>
        <w:ind w:firstLine="0"/>
      </w:pPr>
    </w:p>
    <w:p w:rsidR="001E66A7" w:rsidRDefault="001E66A7" w:rsidP="00AA1E93">
      <w:pPr>
        <w:ind w:firstLine="0"/>
      </w:pPr>
      <w:r>
        <w:rPr>
          <w:u w:val="single"/>
        </w:rPr>
        <w:lastRenderedPageBreak/>
        <w:t>University Policy o</w:t>
      </w:r>
      <w:r w:rsidRPr="00BB0B9B">
        <w:rPr>
          <w:u w:val="single"/>
        </w:rPr>
        <w:t>n Academic Misconduct:</w:t>
      </w:r>
      <w:r w:rsidRPr="004E39D7">
        <w:t xml:space="preserve">  Academic honesty and integrity are fundamental values of the University community. Students should be sure that they understand the UF Student Honor Code at http://www.dso.ufl.edu/students.php.</w:t>
      </w:r>
    </w:p>
    <w:p w:rsidR="00AA1E93" w:rsidRDefault="00AA1E93" w:rsidP="00AA1E93">
      <w:pPr>
        <w:ind w:firstLine="0"/>
      </w:pPr>
    </w:p>
    <w:p w:rsidR="00AA1E93" w:rsidRPr="005B4E70" w:rsidRDefault="00AA1E93" w:rsidP="00AA1E93">
      <w:pPr>
        <w:ind w:firstLine="0"/>
        <w:rPr>
          <w:u w:val="single"/>
        </w:rPr>
      </w:pPr>
      <w:r w:rsidRPr="005B4E70">
        <w:rPr>
          <w:u w:val="single"/>
        </w:rPr>
        <w:t>Information on UF Law grading policies</w:t>
      </w:r>
    </w:p>
    <w:p w:rsidR="00AA1E93" w:rsidRDefault="00AA1E93" w:rsidP="00AA1E93">
      <w:pPr>
        <w:ind w:firstLine="0"/>
      </w:pPr>
    </w:p>
    <w:p w:rsidR="00AA1E93" w:rsidRDefault="00AA1E93" w:rsidP="00AA1E93">
      <w:pPr>
        <w:ind w:firstLine="0"/>
      </w:pPr>
      <w:r>
        <w:t>Grade</w:t>
      </w:r>
      <w:r>
        <w:tab/>
        <w:t>Points</w:t>
      </w:r>
      <w:r>
        <w:tab/>
      </w:r>
      <w:r>
        <w:tab/>
        <w:t>Grade</w:t>
      </w:r>
      <w:r>
        <w:tab/>
        <w:t>Point</w:t>
      </w:r>
      <w:r>
        <w:tab/>
      </w:r>
      <w:r>
        <w:tab/>
      </w:r>
      <w:r w:rsidR="001B285F">
        <w:tab/>
      </w:r>
      <w:r>
        <w:t>Grade</w:t>
      </w:r>
      <w:r>
        <w:tab/>
      </w:r>
      <w:r>
        <w:tab/>
        <w:t>Point</w:t>
      </w:r>
    </w:p>
    <w:p w:rsidR="00AA1E93" w:rsidRDefault="00AA1E93" w:rsidP="00AA1E93">
      <w:pPr>
        <w:ind w:firstLine="0"/>
      </w:pPr>
      <w:r>
        <w:t>A (Excellent)</w:t>
      </w:r>
      <w:r>
        <w:tab/>
        <w:t>4.0</w:t>
      </w:r>
      <w:r>
        <w:tab/>
        <w:t>C+</w:t>
      </w:r>
      <w:r>
        <w:tab/>
        <w:t>2.33</w:t>
      </w:r>
      <w:r>
        <w:tab/>
      </w:r>
      <w:r>
        <w:tab/>
      </w:r>
      <w:r w:rsidR="001B285F">
        <w:tab/>
      </w:r>
      <w:r>
        <w:t>D-</w:t>
      </w:r>
      <w:r>
        <w:tab/>
      </w:r>
      <w:r>
        <w:tab/>
        <w:t>0.67</w:t>
      </w:r>
    </w:p>
    <w:p w:rsidR="00AA1E93" w:rsidRDefault="00AA1E93" w:rsidP="00AA1E93">
      <w:pPr>
        <w:ind w:firstLine="0"/>
      </w:pPr>
      <w:r>
        <w:t>A-</w:t>
      </w:r>
      <w:r>
        <w:tab/>
        <w:t>3.67</w:t>
      </w:r>
      <w:r>
        <w:tab/>
      </w:r>
      <w:r>
        <w:tab/>
        <w:t>C</w:t>
      </w:r>
      <w:r>
        <w:tab/>
        <w:t>2.00</w:t>
      </w:r>
      <w:r>
        <w:tab/>
      </w:r>
      <w:r>
        <w:tab/>
      </w:r>
      <w:r w:rsidR="001B285F">
        <w:tab/>
      </w:r>
      <w:r>
        <w:t>E (Failure)</w:t>
      </w:r>
      <w:r>
        <w:tab/>
        <w:t>0.0</w:t>
      </w:r>
    </w:p>
    <w:p w:rsidR="00AA1E93" w:rsidRDefault="00AA1E93" w:rsidP="00AA1E93">
      <w:pPr>
        <w:ind w:firstLine="0"/>
      </w:pPr>
      <w:r>
        <w:t>B+</w:t>
      </w:r>
      <w:r>
        <w:tab/>
        <w:t>3.33</w:t>
      </w:r>
      <w:r>
        <w:tab/>
      </w:r>
      <w:r>
        <w:tab/>
        <w:t>C-</w:t>
      </w:r>
      <w:r>
        <w:tab/>
        <w:t>1.67</w:t>
      </w:r>
    </w:p>
    <w:p w:rsidR="00AA1E93" w:rsidRDefault="00AA1E93" w:rsidP="00AA1E93">
      <w:pPr>
        <w:ind w:firstLine="0"/>
      </w:pPr>
      <w:r>
        <w:t>B</w:t>
      </w:r>
      <w:r>
        <w:tab/>
        <w:t>3.00</w:t>
      </w:r>
      <w:r>
        <w:tab/>
      </w:r>
      <w:r w:rsidR="001B285F">
        <w:tab/>
      </w:r>
      <w:r>
        <w:t>D+</w:t>
      </w:r>
      <w:r>
        <w:tab/>
        <w:t>1.33</w:t>
      </w:r>
    </w:p>
    <w:p w:rsidR="00AA1E93" w:rsidRDefault="00AA1E93" w:rsidP="00AA1E93">
      <w:pPr>
        <w:ind w:firstLine="0"/>
      </w:pPr>
      <w:r>
        <w:t>B-</w:t>
      </w:r>
      <w:r>
        <w:tab/>
        <w:t>2.67</w:t>
      </w:r>
      <w:r>
        <w:tab/>
      </w:r>
      <w:r>
        <w:tab/>
        <w:t>D (Poor)</w:t>
      </w:r>
      <w:r>
        <w:tab/>
      </w:r>
      <w:r>
        <w:tab/>
        <w:t>1.00</w:t>
      </w:r>
    </w:p>
    <w:p w:rsidR="00AA1E93" w:rsidRDefault="00AA1E93" w:rsidP="00AA1E93">
      <w:pPr>
        <w:ind w:firstLine="0"/>
      </w:pPr>
    </w:p>
    <w:p w:rsidR="00AA1E93" w:rsidRDefault="00AA1E93" w:rsidP="00AA1E93">
      <w:pPr>
        <w:ind w:firstLine="0"/>
      </w:pPr>
      <w:r>
        <w:t>The law school grading policy is available at: http://www.law.ufl.edu/students/policies.shtml#9 .</w:t>
      </w:r>
    </w:p>
    <w:p w:rsidR="00AA1E93" w:rsidRDefault="00AA1E93"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bookmarkStart w:id="0" w:name="_GoBack"/>
      <w:bookmarkEnd w:id="0"/>
      <w:r w:rsidRPr="00C3551E">
        <w:rPr>
          <w:u w:val="single"/>
        </w:rPr>
        <w:lastRenderedPageBreak/>
        <w:t>Class Preparation, Participation, and Attendance</w:t>
      </w:r>
    </w:p>
    <w:p w:rsidR="00C3551E" w:rsidRDefault="00C3551E" w:rsidP="00AA1E93">
      <w:pPr>
        <w:ind w:firstLine="0"/>
      </w:pPr>
    </w:p>
    <w:p w:rsidR="001E66A7" w:rsidRDefault="001E66A7" w:rsidP="00AA1E93">
      <w:pPr>
        <w:ind w:firstLine="0"/>
      </w:pPr>
      <w:r w:rsidRPr="001E66A7">
        <w:t xml:space="preserve">ABA Standard 310 requires that students devote 120 minutes to out-of-class preparation for every “classroom hour” of in-class instruction. Professional Responsibility has 3 “classroom hours” of in-class instruction each week, requiring at least 6 hours of preparation outside of class.  </w:t>
      </w:r>
    </w:p>
    <w:p w:rsidR="001E66A7" w:rsidRDefault="001E66A7" w:rsidP="00AA1E93">
      <w:pPr>
        <w:ind w:firstLine="0"/>
      </w:pPr>
    </w:p>
    <w:p w:rsidR="00AA1E93" w:rsidRDefault="00AA1E93" w:rsidP="00AA1E93">
      <w:pPr>
        <w:ind w:firstLine="0"/>
      </w:pPr>
      <w: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C3551E" w:rsidRDefault="00C3551E" w:rsidP="00AA1E93">
      <w:pPr>
        <w:ind w:firstLine="0"/>
      </w:pPr>
    </w:p>
    <w:p w:rsidR="00AA1E93" w:rsidRDefault="00AA1E93" w:rsidP="00AA1E93">
      <w:pPr>
        <w:ind w:firstLine="0"/>
      </w:pPr>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C3551E" w:rsidRDefault="00C3551E" w:rsidP="00AA1E93">
      <w:pPr>
        <w:ind w:firstLine="0"/>
      </w:pPr>
    </w:p>
    <w:p w:rsidR="00AA1E93" w:rsidRDefault="00AA1E93" w:rsidP="00AA1E93">
      <w:pPr>
        <w:ind w:firstLine="0"/>
      </w:pPr>
      <w:r>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C3551E" w:rsidRDefault="00C3551E" w:rsidP="00AA1E93">
      <w:pPr>
        <w:ind w:firstLine="0"/>
      </w:pPr>
    </w:p>
    <w:p w:rsidR="00AA1E93" w:rsidRPr="00C3551E" w:rsidRDefault="00AA1E93" w:rsidP="00AA1E93">
      <w:pPr>
        <w:ind w:firstLine="0"/>
        <w:rPr>
          <w:u w:val="single"/>
        </w:rPr>
      </w:pPr>
      <w:r w:rsidRPr="00C3551E">
        <w:rPr>
          <w:u w:val="single"/>
        </w:rPr>
        <w:t>Recording Devices and Cell Phones</w:t>
      </w:r>
    </w:p>
    <w:p w:rsidR="00C3551E" w:rsidRDefault="00C3551E" w:rsidP="00AA1E93">
      <w:pPr>
        <w:ind w:firstLine="0"/>
      </w:pPr>
    </w:p>
    <w:p w:rsidR="00AA1E93" w:rsidRDefault="00AA1E93" w:rsidP="00AA1E93">
      <w:pPr>
        <w:ind w:firstLine="0"/>
      </w:pPr>
      <w:r>
        <w:lastRenderedPageBreak/>
        <w:t>Use of any recording devices (including audio and/or video) is not permitted in the classroom without my express permission. Cellular telephones should not be used during class, and ringers should be silenced.</w:t>
      </w:r>
    </w:p>
    <w:p w:rsidR="00C3551E" w:rsidRDefault="00C3551E" w:rsidP="00AA1E93">
      <w:pPr>
        <w:ind w:firstLine="0"/>
      </w:pPr>
    </w:p>
    <w:p w:rsidR="00AA1E93" w:rsidRDefault="00AA1E93" w:rsidP="00AA1E93">
      <w:pPr>
        <w:ind w:firstLine="0"/>
      </w:pPr>
      <w:r w:rsidRPr="00C3551E">
        <w:rPr>
          <w:u w:val="single"/>
        </w:rPr>
        <w:t>Computer Usage</w:t>
      </w:r>
      <w:r>
        <w:t>:  You may use a laptop to take notes, prepare your outline, and take exams.  Please do not surf the web, send emails or IMs, look up old crushes on Facebook, shop for autographed Tim Tebow photos on EBay, or generally mess around on your computer.  Such conduct is unprofessional, and shows a lack of respect for your classmates and me.  Such conduct may result in a grade reduction as discussed in the “class participation” section, above.</w:t>
      </w:r>
    </w:p>
    <w:p w:rsidR="003918C1" w:rsidRDefault="003918C1" w:rsidP="00AA1E93">
      <w:pPr>
        <w:ind w:firstLine="0"/>
      </w:pPr>
    </w:p>
    <w:p w:rsidR="003918C1" w:rsidRDefault="003918C1" w:rsidP="00AA1E93">
      <w:pPr>
        <w:ind w:firstLine="0"/>
      </w:pPr>
      <w:r w:rsidRPr="003918C1">
        <w:rPr>
          <w:u w:val="single"/>
        </w:rPr>
        <w:t>Study Aids and Supplemental Materials</w:t>
      </w:r>
      <w:r w:rsidRPr="003918C1">
        <w:t>. Many supplements and study aids are available to assist you in mastering the material for Professional Responsibility and the MPRE.  You do not need to use or purchase any of them to do well in this course.  You may, however, find them helpful.  If so, I would recommend two types of supplemental aids:  (1) those that give you a narrative overview of the subject and explain how the concepts fit together (e.g., Freedman and Smith, Understanding Legal Ethics); and (2) those that help you to apply the Model Rules precisely (e.g., Wendel, Examples &amp; Explanations:  Professional Responsibility (Most Recent Edition)). You might be able to find recent editions of these books in the library, but be careful about using older editions—the law governing lawyers is a rapidly changing area of law! Also, be careful not to overwhelm yourself with materials specifically designed to prepare you for the MPRE—they often discuss material we do not cover in class.</w:t>
      </w:r>
    </w:p>
    <w:p w:rsidR="00C3551E" w:rsidRDefault="00C3551E" w:rsidP="00AA1E93">
      <w:pPr>
        <w:ind w:firstLine="0"/>
      </w:pPr>
    </w:p>
    <w:p w:rsidR="00AA1E93" w:rsidRPr="00C3551E" w:rsidRDefault="00AA1E93" w:rsidP="00AA1E93">
      <w:pPr>
        <w:ind w:firstLine="0"/>
        <w:rPr>
          <w:u w:val="single"/>
        </w:rPr>
      </w:pPr>
      <w:r w:rsidRPr="00C3551E">
        <w:rPr>
          <w:u w:val="single"/>
        </w:rPr>
        <w:t>Assignments</w:t>
      </w:r>
    </w:p>
    <w:p w:rsidR="00C3551E" w:rsidRDefault="00C3551E" w:rsidP="00AA1E93">
      <w:pPr>
        <w:ind w:firstLine="0"/>
      </w:pPr>
    </w:p>
    <w:p w:rsidR="00AA1E93" w:rsidRDefault="00AA1E93" w:rsidP="00AA1E93">
      <w:pPr>
        <w:ind w:firstLine="0"/>
      </w:pPr>
      <w:r>
        <w:t>Below are the expected reading assignments.   Please note that this plan is subject to change. I reserve the right to modify the assignments from time to time, and to utilize additional handouts and materials. All assignments are from the required texts, unless otherwise noted.</w:t>
      </w:r>
    </w:p>
    <w:p w:rsidR="00B4019D" w:rsidRDefault="00B4019D" w:rsidP="00AA1E93">
      <w:pPr>
        <w:ind w:firstLine="0"/>
      </w:pPr>
    </w:p>
    <w:p w:rsidR="00B4019D" w:rsidRPr="00B4019D" w:rsidRDefault="00B4019D" w:rsidP="00AA1E93">
      <w:pPr>
        <w:ind w:firstLine="0"/>
        <w:rPr>
          <w:u w:val="single"/>
        </w:rPr>
      </w:pPr>
      <w:r>
        <w:rPr>
          <w:u w:val="single"/>
        </w:rPr>
        <w:t>Introduction and Chapter 1: The Regulation of Lawyers</w:t>
      </w:r>
    </w:p>
    <w:p w:rsidR="00AA1E93" w:rsidRDefault="00AA1E93" w:rsidP="00AA1E93">
      <w:pPr>
        <w:ind w:firstLine="0"/>
      </w:pPr>
    </w:p>
    <w:p w:rsidR="00846B2B" w:rsidRDefault="00846B2B" w:rsidP="00846B2B">
      <w:pPr>
        <w:ind w:firstLine="0"/>
      </w:pPr>
      <w:r>
        <w:t xml:space="preserve">1. </w:t>
      </w:r>
      <w:r>
        <w:tab/>
        <w:t>CB pp. xxxiii-xxxvii &amp; 1-41</w:t>
      </w:r>
    </w:p>
    <w:p w:rsidR="00846B2B" w:rsidRDefault="00846B2B" w:rsidP="00846B2B"/>
    <w:p w:rsidR="00846B2B" w:rsidRDefault="00846B2B" w:rsidP="00203328">
      <w:pPr>
        <w:ind w:left="720" w:hanging="720"/>
      </w:pPr>
      <w:r>
        <w:t>2.</w:t>
      </w:r>
      <w:r>
        <w:tab/>
        <w:t xml:space="preserve">CB pp. 42-63. </w:t>
      </w:r>
    </w:p>
    <w:p w:rsidR="00B4019D" w:rsidRDefault="00B4019D" w:rsidP="00203328">
      <w:pPr>
        <w:ind w:left="720" w:hanging="720"/>
      </w:pPr>
    </w:p>
    <w:p w:rsidR="00B4019D" w:rsidRPr="00B4019D" w:rsidRDefault="00B4019D" w:rsidP="00203328">
      <w:pPr>
        <w:ind w:left="720" w:hanging="720"/>
        <w:rPr>
          <w:u w:val="single"/>
        </w:rPr>
      </w:pPr>
      <w:r>
        <w:rPr>
          <w:u w:val="single"/>
        </w:rPr>
        <w:t>Chapter 2: Lawyer Liability</w:t>
      </w:r>
    </w:p>
    <w:p w:rsidR="00846B2B" w:rsidRDefault="00846B2B" w:rsidP="00846B2B"/>
    <w:p w:rsidR="000C6072" w:rsidRDefault="00846B2B" w:rsidP="00203328">
      <w:pPr>
        <w:ind w:left="720" w:hanging="720"/>
      </w:pPr>
      <w:r>
        <w:t xml:space="preserve">3. </w:t>
      </w:r>
      <w:r>
        <w:tab/>
        <w:t>CB pp. 65-79</w:t>
      </w:r>
    </w:p>
    <w:p w:rsidR="00846B2B" w:rsidRDefault="00846B2B" w:rsidP="00846B2B">
      <w:pPr>
        <w:ind w:firstLine="0"/>
      </w:pPr>
    </w:p>
    <w:p w:rsidR="00846B2B" w:rsidRDefault="00846B2B" w:rsidP="00203328">
      <w:pPr>
        <w:ind w:left="720" w:hanging="720"/>
      </w:pPr>
      <w:r>
        <w:t xml:space="preserve">4. </w:t>
      </w:r>
      <w:r w:rsidR="000D096E">
        <w:tab/>
      </w:r>
      <w:r w:rsidR="00E66AFF">
        <w:t xml:space="preserve">CB pp. </w:t>
      </w:r>
      <w:r>
        <w:t>79-101</w:t>
      </w:r>
    </w:p>
    <w:p w:rsidR="00846B2B" w:rsidRDefault="00846B2B" w:rsidP="00846B2B">
      <w:pPr>
        <w:ind w:firstLine="0"/>
      </w:pPr>
    </w:p>
    <w:p w:rsidR="00846B2B" w:rsidRDefault="00846B2B" w:rsidP="00203328">
      <w:pPr>
        <w:ind w:firstLine="0"/>
      </w:pPr>
      <w:r>
        <w:t xml:space="preserve">5. </w:t>
      </w:r>
      <w:r w:rsidR="00E66AFF">
        <w:tab/>
      </w:r>
      <w:r w:rsidR="005C60E2">
        <w:t xml:space="preserve">CB pp. </w:t>
      </w:r>
      <w:r>
        <w:t>101-119</w:t>
      </w:r>
    </w:p>
    <w:p w:rsidR="00846B2B" w:rsidRDefault="00846B2B" w:rsidP="00846B2B">
      <w:pPr>
        <w:ind w:firstLine="0"/>
      </w:pPr>
    </w:p>
    <w:p w:rsidR="00846B2B" w:rsidRDefault="00846B2B" w:rsidP="005C60E2">
      <w:pPr>
        <w:ind w:firstLine="0"/>
      </w:pPr>
      <w:r>
        <w:t xml:space="preserve">6. </w:t>
      </w:r>
      <w:r w:rsidR="005C60E2">
        <w:tab/>
        <w:t xml:space="preserve">CB pp. </w:t>
      </w:r>
      <w:r>
        <w:t>119-140</w:t>
      </w:r>
    </w:p>
    <w:p w:rsidR="00846B2B" w:rsidRDefault="00846B2B" w:rsidP="00846B2B">
      <w:pPr>
        <w:ind w:firstLine="0"/>
      </w:pPr>
    </w:p>
    <w:p w:rsidR="00B4019D" w:rsidRDefault="00B4019D" w:rsidP="00203328">
      <w:pPr>
        <w:ind w:firstLine="0"/>
      </w:pPr>
      <w:r>
        <w:rPr>
          <w:u w:val="single"/>
        </w:rPr>
        <w:t>Chapter 3: The Duty to Protect Client Confidences</w:t>
      </w:r>
    </w:p>
    <w:p w:rsidR="00B4019D" w:rsidRPr="00B4019D" w:rsidRDefault="00B4019D" w:rsidP="00203328">
      <w:pPr>
        <w:ind w:firstLine="0"/>
      </w:pPr>
    </w:p>
    <w:p w:rsidR="00846B2B" w:rsidRDefault="00846B2B" w:rsidP="00203328">
      <w:pPr>
        <w:ind w:firstLine="0"/>
      </w:pPr>
      <w:r>
        <w:t xml:space="preserve">7. </w:t>
      </w:r>
      <w:r w:rsidR="005C60E2">
        <w:tab/>
        <w:t xml:space="preserve">CB pp. </w:t>
      </w:r>
      <w:r>
        <w:t>141-163</w:t>
      </w:r>
    </w:p>
    <w:p w:rsidR="00846B2B" w:rsidRDefault="00846B2B" w:rsidP="00846B2B">
      <w:pPr>
        <w:ind w:firstLine="0"/>
      </w:pPr>
    </w:p>
    <w:p w:rsidR="00846B2B" w:rsidRDefault="00846B2B" w:rsidP="00203328">
      <w:pPr>
        <w:ind w:firstLine="0"/>
      </w:pPr>
      <w:r>
        <w:t xml:space="preserve">8. </w:t>
      </w:r>
      <w:r w:rsidR="003D0EB5">
        <w:tab/>
        <w:t xml:space="preserve">CB pp. </w:t>
      </w:r>
      <w:r>
        <w:t>163-181</w:t>
      </w:r>
    </w:p>
    <w:p w:rsidR="00846B2B" w:rsidRDefault="00846B2B" w:rsidP="00846B2B">
      <w:pPr>
        <w:ind w:firstLine="0"/>
      </w:pPr>
    </w:p>
    <w:p w:rsidR="00846B2B" w:rsidRDefault="00846B2B" w:rsidP="00203328">
      <w:pPr>
        <w:ind w:firstLine="0"/>
      </w:pPr>
      <w:r>
        <w:t xml:space="preserve">9. </w:t>
      </w:r>
      <w:r w:rsidR="003D0EB5">
        <w:tab/>
        <w:t xml:space="preserve">CB pp. </w:t>
      </w:r>
      <w:r>
        <w:t>181-196</w:t>
      </w:r>
    </w:p>
    <w:p w:rsidR="00B4019D" w:rsidRDefault="00B4019D" w:rsidP="00203328">
      <w:pPr>
        <w:ind w:firstLine="0"/>
      </w:pPr>
    </w:p>
    <w:p w:rsidR="00B4019D" w:rsidRPr="00B4019D" w:rsidRDefault="00B4019D" w:rsidP="00203328">
      <w:pPr>
        <w:ind w:firstLine="0"/>
        <w:rPr>
          <w:u w:val="single"/>
        </w:rPr>
      </w:pPr>
      <w:r>
        <w:rPr>
          <w:u w:val="single"/>
        </w:rPr>
        <w:t>Chapter 4: The Attorney-Client Privilege and the Work Product Doctrine</w:t>
      </w:r>
    </w:p>
    <w:p w:rsidR="00846B2B" w:rsidRDefault="00846B2B" w:rsidP="00846B2B">
      <w:pPr>
        <w:ind w:firstLine="0"/>
      </w:pPr>
    </w:p>
    <w:p w:rsidR="00846B2B" w:rsidRDefault="00846B2B" w:rsidP="00846B2B">
      <w:pPr>
        <w:ind w:firstLine="0"/>
      </w:pPr>
      <w:r>
        <w:t xml:space="preserve">10. </w:t>
      </w:r>
      <w:r w:rsidR="006E4F2F">
        <w:tab/>
        <w:t xml:space="preserve">CB pp. </w:t>
      </w:r>
      <w:r>
        <w:t>197-218</w:t>
      </w:r>
    </w:p>
    <w:p w:rsidR="00846B2B" w:rsidRDefault="00846B2B" w:rsidP="00846B2B">
      <w:pPr>
        <w:ind w:firstLine="0"/>
      </w:pPr>
    </w:p>
    <w:p w:rsidR="00846B2B" w:rsidRDefault="00846B2B" w:rsidP="00203328">
      <w:pPr>
        <w:ind w:firstLine="0"/>
      </w:pPr>
      <w:r>
        <w:lastRenderedPageBreak/>
        <w:t xml:space="preserve">11. </w:t>
      </w:r>
      <w:r w:rsidR="006E4F2F">
        <w:tab/>
        <w:t xml:space="preserve">CB pp. </w:t>
      </w:r>
      <w:r w:rsidR="005441CD">
        <w:t>219-238</w:t>
      </w:r>
    </w:p>
    <w:p w:rsidR="00B4019D" w:rsidRDefault="00B4019D" w:rsidP="00203328">
      <w:pPr>
        <w:ind w:firstLine="0"/>
      </w:pPr>
    </w:p>
    <w:p w:rsidR="00B4019D" w:rsidRPr="00B4019D" w:rsidRDefault="00B4019D" w:rsidP="00203328">
      <w:pPr>
        <w:ind w:firstLine="0"/>
        <w:rPr>
          <w:u w:val="single"/>
        </w:rPr>
      </w:pPr>
      <w:r>
        <w:rPr>
          <w:u w:val="single"/>
        </w:rPr>
        <w:t>Chapter 5: Relationships between Lawyers and Clients</w:t>
      </w:r>
    </w:p>
    <w:p w:rsidR="005441CD" w:rsidRDefault="005441CD" w:rsidP="00846B2B">
      <w:pPr>
        <w:ind w:firstLine="0"/>
      </w:pPr>
    </w:p>
    <w:p w:rsidR="005441CD" w:rsidRDefault="005441CD" w:rsidP="00203328">
      <w:pPr>
        <w:ind w:firstLine="0"/>
      </w:pPr>
      <w:r>
        <w:t xml:space="preserve">12. </w:t>
      </w:r>
      <w:r w:rsidR="00092ABC">
        <w:tab/>
        <w:t xml:space="preserve">CB pp. </w:t>
      </w:r>
      <w:r>
        <w:t>23</w:t>
      </w:r>
      <w:r w:rsidR="00092ABC">
        <w:t>9</w:t>
      </w:r>
      <w:r>
        <w:t>-256</w:t>
      </w:r>
    </w:p>
    <w:p w:rsidR="005441CD" w:rsidRDefault="005441CD" w:rsidP="00846B2B">
      <w:pPr>
        <w:ind w:firstLine="0"/>
      </w:pPr>
    </w:p>
    <w:p w:rsidR="005441CD" w:rsidRDefault="005441CD" w:rsidP="00846B2B">
      <w:pPr>
        <w:ind w:firstLine="0"/>
      </w:pPr>
      <w:r>
        <w:t xml:space="preserve">13. </w:t>
      </w:r>
      <w:r w:rsidR="0008232E">
        <w:tab/>
        <w:t xml:space="preserve">CB pp. </w:t>
      </w:r>
      <w:r>
        <w:t>256-282</w:t>
      </w:r>
    </w:p>
    <w:p w:rsidR="005441CD" w:rsidRDefault="005441CD" w:rsidP="00846B2B">
      <w:pPr>
        <w:ind w:firstLine="0"/>
      </w:pPr>
    </w:p>
    <w:p w:rsidR="005441CD" w:rsidRDefault="005441CD" w:rsidP="00203328">
      <w:pPr>
        <w:ind w:left="720" w:hanging="720"/>
      </w:pPr>
      <w:r>
        <w:t xml:space="preserve">14. </w:t>
      </w:r>
      <w:r w:rsidR="0008232E">
        <w:tab/>
        <w:t xml:space="preserve">CB pp. </w:t>
      </w:r>
      <w:r>
        <w:t>282-301</w:t>
      </w:r>
    </w:p>
    <w:p w:rsidR="005441CD" w:rsidRDefault="005441CD" w:rsidP="00846B2B">
      <w:pPr>
        <w:ind w:firstLine="0"/>
      </w:pPr>
    </w:p>
    <w:p w:rsidR="005441CD" w:rsidRDefault="005441CD" w:rsidP="00846B2B">
      <w:pPr>
        <w:ind w:firstLine="0"/>
      </w:pPr>
      <w:r>
        <w:t xml:space="preserve">15. </w:t>
      </w:r>
      <w:r w:rsidR="00C77B53">
        <w:tab/>
        <w:t xml:space="preserve">CB pp. </w:t>
      </w:r>
      <w:r>
        <w:t>301-328</w:t>
      </w:r>
    </w:p>
    <w:p w:rsidR="005441CD" w:rsidRDefault="005441CD" w:rsidP="00846B2B">
      <w:pPr>
        <w:ind w:firstLine="0"/>
      </w:pPr>
    </w:p>
    <w:p w:rsidR="00B4019D" w:rsidRPr="00B4019D" w:rsidRDefault="00B4019D" w:rsidP="00846B2B">
      <w:pPr>
        <w:ind w:firstLine="0"/>
        <w:rPr>
          <w:u w:val="single"/>
        </w:rPr>
      </w:pPr>
      <w:r>
        <w:rPr>
          <w:u w:val="single"/>
        </w:rPr>
        <w:t>Chapter 6: Conflicts of Interest: Current Clients</w:t>
      </w:r>
    </w:p>
    <w:p w:rsidR="00B4019D" w:rsidRDefault="00B4019D" w:rsidP="00846B2B">
      <w:pPr>
        <w:ind w:firstLine="0"/>
      </w:pPr>
    </w:p>
    <w:p w:rsidR="005441CD" w:rsidRDefault="005441CD" w:rsidP="00203328">
      <w:pPr>
        <w:ind w:firstLine="0"/>
      </w:pPr>
      <w:r>
        <w:t>16.</w:t>
      </w:r>
      <w:r w:rsidR="00C77B53">
        <w:tab/>
        <w:t xml:space="preserve">CB pp. </w:t>
      </w:r>
      <w:r>
        <w:t>329-356</w:t>
      </w:r>
    </w:p>
    <w:p w:rsidR="005441CD" w:rsidRDefault="005441CD" w:rsidP="00846B2B">
      <w:pPr>
        <w:ind w:firstLine="0"/>
      </w:pPr>
    </w:p>
    <w:p w:rsidR="005441CD" w:rsidRDefault="005441CD" w:rsidP="00203328">
      <w:pPr>
        <w:ind w:firstLine="0"/>
      </w:pPr>
      <w:r>
        <w:t xml:space="preserve">17. </w:t>
      </w:r>
      <w:r w:rsidR="00C77B53">
        <w:tab/>
        <w:t xml:space="preserve">CB pp. </w:t>
      </w:r>
      <w:r>
        <w:t>356-375</w:t>
      </w:r>
    </w:p>
    <w:p w:rsidR="005441CD" w:rsidRDefault="005441CD" w:rsidP="00846B2B">
      <w:pPr>
        <w:ind w:firstLine="0"/>
      </w:pPr>
    </w:p>
    <w:p w:rsidR="00B4019D" w:rsidRPr="00B4019D" w:rsidRDefault="00B4019D" w:rsidP="00846B2B">
      <w:pPr>
        <w:ind w:firstLine="0"/>
        <w:rPr>
          <w:u w:val="single"/>
        </w:rPr>
      </w:pPr>
      <w:r>
        <w:rPr>
          <w:u w:val="single"/>
        </w:rPr>
        <w:t>Chapter 7: Current Client Conflicts in Particular Settings</w:t>
      </w:r>
    </w:p>
    <w:p w:rsidR="00B4019D" w:rsidRDefault="00B4019D" w:rsidP="00846B2B">
      <w:pPr>
        <w:ind w:firstLine="0"/>
      </w:pPr>
    </w:p>
    <w:p w:rsidR="005441CD" w:rsidRDefault="005441CD" w:rsidP="00203328">
      <w:pPr>
        <w:ind w:firstLine="0"/>
      </w:pPr>
      <w:r>
        <w:t xml:space="preserve">18. </w:t>
      </w:r>
      <w:r w:rsidR="002B1DAF">
        <w:tab/>
        <w:t xml:space="preserve">CB. </w:t>
      </w:r>
      <w:r>
        <w:t>377- 405</w:t>
      </w:r>
    </w:p>
    <w:p w:rsidR="005441CD" w:rsidRDefault="005441CD" w:rsidP="00846B2B">
      <w:pPr>
        <w:ind w:firstLine="0"/>
      </w:pPr>
    </w:p>
    <w:p w:rsidR="005441CD" w:rsidRDefault="005441CD" w:rsidP="00203328">
      <w:pPr>
        <w:ind w:firstLine="0"/>
      </w:pPr>
      <w:r>
        <w:t xml:space="preserve">19. </w:t>
      </w:r>
      <w:r w:rsidR="002B1DAF">
        <w:tab/>
        <w:t xml:space="preserve">CB pp. </w:t>
      </w:r>
      <w:r>
        <w:t>405-426</w:t>
      </w:r>
    </w:p>
    <w:p w:rsidR="00B4019D" w:rsidRDefault="00B4019D" w:rsidP="00203328">
      <w:pPr>
        <w:ind w:firstLine="0"/>
      </w:pPr>
    </w:p>
    <w:p w:rsidR="00B4019D" w:rsidRPr="00B4019D" w:rsidRDefault="00B4019D" w:rsidP="00203328">
      <w:pPr>
        <w:ind w:firstLine="0"/>
        <w:rPr>
          <w:u w:val="single"/>
        </w:rPr>
      </w:pPr>
      <w:r>
        <w:rPr>
          <w:u w:val="single"/>
        </w:rPr>
        <w:t>Chapter 8: Conflicts Involving Former Clients</w:t>
      </w:r>
    </w:p>
    <w:p w:rsidR="005441CD" w:rsidRDefault="005441CD" w:rsidP="00846B2B">
      <w:pPr>
        <w:ind w:firstLine="0"/>
      </w:pPr>
    </w:p>
    <w:p w:rsidR="005441CD" w:rsidRDefault="001E37C9" w:rsidP="00846B2B">
      <w:pPr>
        <w:ind w:firstLine="0"/>
      </w:pPr>
      <w:r>
        <w:t xml:space="preserve">20. </w:t>
      </w:r>
      <w:r w:rsidR="00BC588D">
        <w:tab/>
        <w:t xml:space="preserve">CB pp. </w:t>
      </w:r>
      <w:r>
        <w:t>427-453</w:t>
      </w:r>
    </w:p>
    <w:p w:rsidR="001E37C9" w:rsidRDefault="001E37C9" w:rsidP="00846B2B">
      <w:pPr>
        <w:ind w:firstLine="0"/>
      </w:pPr>
    </w:p>
    <w:p w:rsidR="001E37C9" w:rsidRDefault="001E37C9" w:rsidP="00846B2B">
      <w:pPr>
        <w:ind w:firstLine="0"/>
      </w:pPr>
      <w:r>
        <w:t xml:space="preserve">21. </w:t>
      </w:r>
      <w:r w:rsidR="00BC588D">
        <w:tab/>
        <w:t xml:space="preserve">CB pp. </w:t>
      </w:r>
      <w:r>
        <w:t>454-475</w:t>
      </w:r>
    </w:p>
    <w:p w:rsidR="00203328" w:rsidRDefault="00203328" w:rsidP="00846B2B">
      <w:pPr>
        <w:ind w:firstLine="0"/>
      </w:pPr>
    </w:p>
    <w:p w:rsidR="00203328" w:rsidRDefault="00203328" w:rsidP="00203328">
      <w:pPr>
        <w:ind w:firstLine="0"/>
      </w:pPr>
      <w:r>
        <w:t xml:space="preserve">22. </w:t>
      </w:r>
      <w:r>
        <w:tab/>
        <w:t>CB pp. 454-475</w:t>
      </w:r>
    </w:p>
    <w:p w:rsidR="00203328" w:rsidRDefault="00203328" w:rsidP="00203328">
      <w:pPr>
        <w:ind w:firstLine="0"/>
      </w:pPr>
    </w:p>
    <w:p w:rsidR="00B4019D" w:rsidRDefault="00B4019D" w:rsidP="00203328">
      <w:pPr>
        <w:ind w:firstLine="0"/>
        <w:rPr>
          <w:u w:val="single"/>
        </w:rPr>
      </w:pPr>
      <w:r>
        <w:rPr>
          <w:u w:val="single"/>
        </w:rPr>
        <w:t>Chapter 9: Conflicts Between Lawyers and Clients</w:t>
      </w:r>
    </w:p>
    <w:p w:rsidR="00B4019D" w:rsidRPr="00B4019D" w:rsidRDefault="00B4019D" w:rsidP="00203328">
      <w:pPr>
        <w:ind w:firstLine="0"/>
        <w:rPr>
          <w:u w:val="single"/>
        </w:rPr>
      </w:pPr>
    </w:p>
    <w:p w:rsidR="00203328" w:rsidRDefault="00203328" w:rsidP="00203328">
      <w:pPr>
        <w:ind w:firstLine="0"/>
      </w:pPr>
      <w:r>
        <w:t xml:space="preserve">23. </w:t>
      </w:r>
      <w:r>
        <w:tab/>
        <w:t>CB pp. 477-495</w:t>
      </w:r>
    </w:p>
    <w:p w:rsidR="00203328" w:rsidRDefault="00203328" w:rsidP="00203328">
      <w:pPr>
        <w:ind w:firstLine="0"/>
      </w:pPr>
    </w:p>
    <w:p w:rsidR="00203328" w:rsidRDefault="00203328" w:rsidP="00203328">
      <w:pPr>
        <w:ind w:firstLine="0"/>
      </w:pPr>
      <w:r>
        <w:t xml:space="preserve">24. </w:t>
      </w:r>
      <w:r>
        <w:tab/>
        <w:t>CB pp. 496-514</w:t>
      </w:r>
    </w:p>
    <w:p w:rsidR="00203328" w:rsidRDefault="00203328" w:rsidP="00203328">
      <w:pPr>
        <w:ind w:firstLine="0"/>
      </w:pPr>
    </w:p>
    <w:p w:rsidR="00203328" w:rsidRDefault="00203328" w:rsidP="00203328">
      <w:pPr>
        <w:ind w:firstLine="0"/>
      </w:pPr>
      <w:r>
        <w:t xml:space="preserve">25. </w:t>
      </w:r>
      <w:r>
        <w:tab/>
        <w:t>CB pp. 514-534</w:t>
      </w:r>
    </w:p>
    <w:p w:rsidR="00203328" w:rsidRDefault="00203328" w:rsidP="00203328">
      <w:pPr>
        <w:ind w:firstLine="0"/>
      </w:pPr>
    </w:p>
    <w:p w:rsidR="00203328" w:rsidRDefault="00203328" w:rsidP="00203328">
      <w:pPr>
        <w:ind w:firstLine="0"/>
      </w:pPr>
      <w:r>
        <w:t xml:space="preserve">26. </w:t>
      </w:r>
      <w:r>
        <w:tab/>
        <w:t>CB pp. 534-554</w:t>
      </w:r>
    </w:p>
    <w:p w:rsidR="00203328" w:rsidRDefault="00203328" w:rsidP="00203328">
      <w:pPr>
        <w:ind w:firstLine="0"/>
      </w:pPr>
    </w:p>
    <w:p w:rsidR="00B4019D" w:rsidRPr="00B4019D" w:rsidRDefault="00B4019D" w:rsidP="00203328">
      <w:pPr>
        <w:ind w:firstLine="0"/>
        <w:rPr>
          <w:u w:val="single"/>
        </w:rPr>
      </w:pPr>
      <w:r>
        <w:rPr>
          <w:u w:val="single"/>
        </w:rPr>
        <w:t>Chapter 11: Lawyers’ Duties to Courts</w:t>
      </w:r>
    </w:p>
    <w:p w:rsidR="00B4019D" w:rsidRDefault="00B4019D" w:rsidP="00203328">
      <w:pPr>
        <w:ind w:firstLine="0"/>
      </w:pPr>
    </w:p>
    <w:p w:rsidR="00203328" w:rsidRDefault="00203328" w:rsidP="00203328">
      <w:pPr>
        <w:ind w:firstLine="0"/>
      </w:pPr>
      <w:r>
        <w:t xml:space="preserve">27. </w:t>
      </w:r>
      <w:r>
        <w:tab/>
        <w:t>CB pp. 597-613</w:t>
      </w:r>
    </w:p>
    <w:p w:rsidR="00203328" w:rsidRDefault="00203328" w:rsidP="00203328">
      <w:pPr>
        <w:ind w:firstLine="0"/>
      </w:pPr>
    </w:p>
    <w:p w:rsidR="00203328" w:rsidRDefault="00203328" w:rsidP="00203328">
      <w:pPr>
        <w:ind w:firstLine="0"/>
      </w:pPr>
      <w:r>
        <w:t xml:space="preserve">28. </w:t>
      </w:r>
      <w:r>
        <w:tab/>
        <w:t>CB pp. 613-628</w:t>
      </w:r>
    </w:p>
    <w:p w:rsidR="00203328" w:rsidRDefault="00203328" w:rsidP="00203328">
      <w:pPr>
        <w:ind w:firstLine="0"/>
      </w:pPr>
    </w:p>
    <w:p w:rsidR="00203328" w:rsidRDefault="00203328" w:rsidP="00203328">
      <w:pPr>
        <w:ind w:firstLine="0"/>
      </w:pPr>
      <w:r>
        <w:t xml:space="preserve">29. </w:t>
      </w:r>
      <w:r>
        <w:tab/>
        <w:t>CB pp. 628-640</w:t>
      </w:r>
    </w:p>
    <w:p w:rsidR="00203328" w:rsidRDefault="00203328" w:rsidP="00203328">
      <w:pPr>
        <w:ind w:firstLine="0"/>
      </w:pPr>
    </w:p>
    <w:p w:rsidR="00203328" w:rsidRDefault="00203328" w:rsidP="00203328">
      <w:pPr>
        <w:ind w:firstLine="0"/>
      </w:pPr>
      <w:r>
        <w:lastRenderedPageBreak/>
        <w:t xml:space="preserve">30. </w:t>
      </w:r>
      <w:r>
        <w:tab/>
        <w:t>CB pp. 640-655</w:t>
      </w:r>
    </w:p>
    <w:p w:rsidR="00203328" w:rsidRDefault="00203328" w:rsidP="00203328">
      <w:pPr>
        <w:ind w:firstLine="0"/>
      </w:pPr>
    </w:p>
    <w:p w:rsidR="00203328" w:rsidRDefault="00203328" w:rsidP="00203328">
      <w:pPr>
        <w:ind w:firstLine="0"/>
      </w:pPr>
      <w:r>
        <w:t xml:space="preserve">31. </w:t>
      </w:r>
      <w:r>
        <w:tab/>
        <w:t>CB pp. 655-672</w:t>
      </w:r>
    </w:p>
    <w:p w:rsidR="00203328" w:rsidRDefault="00203328" w:rsidP="00203328">
      <w:pPr>
        <w:ind w:firstLine="0"/>
      </w:pPr>
    </w:p>
    <w:p w:rsidR="00203328" w:rsidRDefault="00203328" w:rsidP="00203328">
      <w:pPr>
        <w:ind w:firstLine="0"/>
      </w:pPr>
      <w:r>
        <w:t xml:space="preserve">32. </w:t>
      </w:r>
      <w:r>
        <w:tab/>
        <w:t>CB pp. 672-685</w:t>
      </w:r>
    </w:p>
    <w:p w:rsidR="00B4019D" w:rsidRDefault="00B4019D" w:rsidP="00203328">
      <w:pPr>
        <w:ind w:firstLine="0"/>
      </w:pPr>
    </w:p>
    <w:p w:rsidR="00B4019D" w:rsidRPr="00B4019D" w:rsidRDefault="00B4019D" w:rsidP="00203328">
      <w:pPr>
        <w:ind w:firstLine="0"/>
        <w:rPr>
          <w:u w:val="single"/>
        </w:rPr>
      </w:pPr>
      <w:r>
        <w:rPr>
          <w:u w:val="single"/>
        </w:rPr>
        <w:t>Chapter 12: Lawyers’ Duties to Adversaries and Third Persons</w:t>
      </w:r>
    </w:p>
    <w:p w:rsidR="00203328" w:rsidRDefault="00203328" w:rsidP="00203328">
      <w:pPr>
        <w:ind w:firstLine="0"/>
      </w:pPr>
    </w:p>
    <w:p w:rsidR="00203328" w:rsidRDefault="00203328" w:rsidP="00203328">
      <w:pPr>
        <w:ind w:firstLine="0"/>
      </w:pPr>
      <w:r>
        <w:t xml:space="preserve">33. </w:t>
      </w:r>
      <w:r>
        <w:tab/>
        <w:t>CB pp. 687-702</w:t>
      </w:r>
    </w:p>
    <w:p w:rsidR="00203328" w:rsidRDefault="00203328" w:rsidP="00203328">
      <w:pPr>
        <w:ind w:firstLine="0"/>
      </w:pPr>
    </w:p>
    <w:p w:rsidR="00203328" w:rsidRDefault="00203328" w:rsidP="00203328">
      <w:pPr>
        <w:ind w:firstLine="0"/>
      </w:pPr>
      <w:r>
        <w:t xml:space="preserve">34. </w:t>
      </w:r>
      <w:r>
        <w:tab/>
        <w:t>CB pp. 702-717</w:t>
      </w:r>
    </w:p>
    <w:p w:rsidR="00203328" w:rsidRDefault="00203328" w:rsidP="00203328">
      <w:pPr>
        <w:ind w:firstLine="0"/>
      </w:pPr>
    </w:p>
    <w:p w:rsidR="00203328" w:rsidRDefault="00203328" w:rsidP="00203328">
      <w:pPr>
        <w:ind w:firstLine="0"/>
      </w:pPr>
      <w:r>
        <w:t xml:space="preserve">35. </w:t>
      </w:r>
      <w:r>
        <w:tab/>
        <w:t>CB pp. 717-719; 738-743</w:t>
      </w:r>
    </w:p>
    <w:p w:rsidR="00846B2B" w:rsidRDefault="00846B2B" w:rsidP="00846B2B"/>
    <w:p w:rsidR="00846B2B" w:rsidRDefault="00846B2B" w:rsidP="00846B2B"/>
    <w:sectPr w:rsidR="00846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92" w:rsidRDefault="00B84E92" w:rsidP="00AA1E93">
      <w:r>
        <w:separator/>
      </w:r>
    </w:p>
  </w:endnote>
  <w:endnote w:type="continuationSeparator" w:id="0">
    <w:p w:rsidR="00B84E92" w:rsidRDefault="00B84E92" w:rsidP="00A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92" w:rsidRDefault="00B84E92" w:rsidP="00AA1E93">
      <w:r>
        <w:separator/>
      </w:r>
    </w:p>
  </w:footnote>
  <w:footnote w:type="continuationSeparator" w:id="0">
    <w:p w:rsidR="00B84E92" w:rsidRDefault="00B84E92" w:rsidP="00AA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B"/>
    <w:rsid w:val="0008232E"/>
    <w:rsid w:val="00092ABC"/>
    <w:rsid w:val="000D096E"/>
    <w:rsid w:val="001B285F"/>
    <w:rsid w:val="001E37C9"/>
    <w:rsid w:val="001E66A7"/>
    <w:rsid w:val="00201B95"/>
    <w:rsid w:val="00203328"/>
    <w:rsid w:val="0027125C"/>
    <w:rsid w:val="002B1DAF"/>
    <w:rsid w:val="002D62BE"/>
    <w:rsid w:val="00310812"/>
    <w:rsid w:val="003113F0"/>
    <w:rsid w:val="003918C1"/>
    <w:rsid w:val="003D0EB5"/>
    <w:rsid w:val="003E72BB"/>
    <w:rsid w:val="004D1139"/>
    <w:rsid w:val="005205FC"/>
    <w:rsid w:val="0054330B"/>
    <w:rsid w:val="005441CD"/>
    <w:rsid w:val="005B4E70"/>
    <w:rsid w:val="005C60E2"/>
    <w:rsid w:val="00602DEF"/>
    <w:rsid w:val="00670F4C"/>
    <w:rsid w:val="006A7258"/>
    <w:rsid w:val="006A7E3E"/>
    <w:rsid w:val="006D74E3"/>
    <w:rsid w:val="006E4F2F"/>
    <w:rsid w:val="00826374"/>
    <w:rsid w:val="00846B2B"/>
    <w:rsid w:val="00896713"/>
    <w:rsid w:val="0097420A"/>
    <w:rsid w:val="00A068FA"/>
    <w:rsid w:val="00AA1E93"/>
    <w:rsid w:val="00AE41C2"/>
    <w:rsid w:val="00B13620"/>
    <w:rsid w:val="00B4019D"/>
    <w:rsid w:val="00B84E92"/>
    <w:rsid w:val="00BC588D"/>
    <w:rsid w:val="00C07A39"/>
    <w:rsid w:val="00C3551E"/>
    <w:rsid w:val="00C77B53"/>
    <w:rsid w:val="00DB6A90"/>
    <w:rsid w:val="00E66AFF"/>
    <w:rsid w:val="00F95B5B"/>
    <w:rsid w:val="00FC3D9E"/>
    <w:rsid w:val="00F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paragraph" w:styleId="Header">
    <w:name w:val="header"/>
    <w:basedOn w:val="Normal"/>
    <w:link w:val="HeaderChar"/>
    <w:uiPriority w:val="99"/>
    <w:unhideWhenUsed/>
    <w:rsid w:val="00AA1E93"/>
    <w:pPr>
      <w:tabs>
        <w:tab w:val="center" w:pos="4680"/>
        <w:tab w:val="right" w:pos="9360"/>
      </w:tabs>
    </w:pPr>
  </w:style>
  <w:style w:type="character" w:customStyle="1" w:styleId="HeaderChar">
    <w:name w:val="Header Char"/>
    <w:basedOn w:val="DefaultParagraphFont"/>
    <w:link w:val="Header"/>
    <w:uiPriority w:val="99"/>
    <w:rsid w:val="00AA1E93"/>
    <w:rPr>
      <w:szCs w:val="20"/>
    </w:rPr>
  </w:style>
  <w:style w:type="paragraph" w:styleId="Footer">
    <w:name w:val="footer"/>
    <w:basedOn w:val="Normal"/>
    <w:link w:val="FooterChar"/>
    <w:uiPriority w:val="99"/>
    <w:unhideWhenUsed/>
    <w:rsid w:val="00AA1E93"/>
    <w:pPr>
      <w:tabs>
        <w:tab w:val="center" w:pos="4680"/>
        <w:tab w:val="right" w:pos="9360"/>
      </w:tabs>
    </w:pPr>
  </w:style>
  <w:style w:type="character" w:customStyle="1" w:styleId="FooterChar">
    <w:name w:val="Footer Char"/>
    <w:basedOn w:val="DefaultParagraphFont"/>
    <w:link w:val="Footer"/>
    <w:uiPriority w:val="99"/>
    <w:rsid w:val="00AA1E9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Vaught,Krista</cp:lastModifiedBy>
  <cp:revision>2</cp:revision>
  <dcterms:created xsi:type="dcterms:W3CDTF">2019-01-08T21:48:00Z</dcterms:created>
  <dcterms:modified xsi:type="dcterms:W3CDTF">2019-01-08T21:48:00Z</dcterms:modified>
</cp:coreProperties>
</file>