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C8149" w14:textId="28C8F8BE" w:rsidR="00925094" w:rsidRDefault="00B020C4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Florida Criminal Procedure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Professor Jennifer Zedalis</w:t>
      </w:r>
    </w:p>
    <w:p w14:paraId="542986F1" w14:textId="5FD2EEAE" w:rsidR="00B020C4" w:rsidRDefault="00B020C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Reading List for First</w:t>
      </w:r>
      <w:r w:rsidR="00802F5D">
        <w:rPr>
          <w:b/>
          <w:sz w:val="24"/>
          <w:szCs w:val="24"/>
        </w:rPr>
        <w:t xml:space="preserve"> Class, January </w:t>
      </w:r>
      <w:r w:rsidR="00D47F59">
        <w:rPr>
          <w:b/>
          <w:sz w:val="24"/>
          <w:szCs w:val="24"/>
        </w:rPr>
        <w:t>25</w:t>
      </w:r>
      <w:r w:rsidR="00802F5D">
        <w:rPr>
          <w:b/>
          <w:sz w:val="24"/>
          <w:szCs w:val="24"/>
        </w:rPr>
        <w:t>, 2020</w:t>
      </w:r>
    </w:p>
    <w:p w14:paraId="052055EA" w14:textId="448C9FCA" w:rsidR="00B020C4" w:rsidRDefault="00B020C4">
      <w:pPr>
        <w:rPr>
          <w:b/>
          <w:sz w:val="24"/>
          <w:szCs w:val="24"/>
        </w:rPr>
      </w:pPr>
    </w:p>
    <w:p w14:paraId="61DAE18C" w14:textId="4AF34A3A" w:rsidR="00B020C4" w:rsidRDefault="00B020C4">
      <w:pPr>
        <w:rPr>
          <w:sz w:val="24"/>
          <w:szCs w:val="24"/>
        </w:rPr>
      </w:pPr>
      <w:r>
        <w:rPr>
          <w:sz w:val="24"/>
          <w:szCs w:val="24"/>
        </w:rPr>
        <w:t xml:space="preserve">Dear Students, Welcome to Florida Criminal Procedure. I want each of you to have a valuable and positive experience in </w:t>
      </w:r>
      <w:r w:rsidR="00D47F59">
        <w:rPr>
          <w:sz w:val="24"/>
          <w:szCs w:val="24"/>
        </w:rPr>
        <w:t>this course</w:t>
      </w:r>
      <w:r>
        <w:rPr>
          <w:sz w:val="24"/>
          <w:szCs w:val="24"/>
        </w:rPr>
        <w:t xml:space="preserve">. If I do not already know you, I look forward to meeting you. </w:t>
      </w:r>
      <w:r w:rsidR="00D47F59">
        <w:rPr>
          <w:sz w:val="24"/>
          <w:szCs w:val="24"/>
        </w:rPr>
        <w:t>Rather than a textbook, we use Florida decisions as a means of understanding</w:t>
      </w:r>
      <w:r w:rsidR="00802F5D">
        <w:rPr>
          <w:sz w:val="24"/>
          <w:szCs w:val="24"/>
        </w:rPr>
        <w:t xml:space="preserve"> the rules in action</w:t>
      </w:r>
      <w:r w:rsidR="00D47F59">
        <w:rPr>
          <w:sz w:val="24"/>
          <w:szCs w:val="24"/>
        </w:rPr>
        <w:t>.</w:t>
      </w:r>
      <w:r w:rsidR="00802F5D">
        <w:rPr>
          <w:sz w:val="24"/>
          <w:szCs w:val="24"/>
        </w:rPr>
        <w:t xml:space="preserve"> </w:t>
      </w:r>
      <w:r w:rsidR="00D47F59">
        <w:rPr>
          <w:sz w:val="24"/>
          <w:szCs w:val="24"/>
        </w:rPr>
        <w:t xml:space="preserve">The cases I assign </w:t>
      </w:r>
      <w:r w:rsidR="00802F5D">
        <w:rPr>
          <w:sz w:val="24"/>
          <w:szCs w:val="24"/>
        </w:rPr>
        <w:t>are typically short and helpful</w:t>
      </w:r>
      <w:r>
        <w:rPr>
          <w:sz w:val="24"/>
          <w:szCs w:val="24"/>
        </w:rPr>
        <w:t xml:space="preserve">. </w:t>
      </w:r>
      <w:r w:rsidR="004F617F">
        <w:rPr>
          <w:sz w:val="24"/>
          <w:szCs w:val="24"/>
        </w:rPr>
        <w:t xml:space="preserve">You will notice that each case below is relevant to one or more of the provisions in the assigned rules. </w:t>
      </w:r>
      <w:r>
        <w:rPr>
          <w:sz w:val="24"/>
          <w:szCs w:val="24"/>
        </w:rPr>
        <w:t xml:space="preserve">Please feel free to call me or e-mail me if you have any questions.  My e-mail is </w:t>
      </w:r>
      <w:hyperlink r:id="rId4" w:history="1">
        <w:r w:rsidRPr="000561FA">
          <w:rPr>
            <w:rStyle w:val="Hyperlink"/>
            <w:sz w:val="24"/>
            <w:szCs w:val="24"/>
          </w:rPr>
          <w:t>zedalis@law.ufl.edu</w:t>
        </w:r>
      </w:hyperlink>
      <w:r w:rsidR="00D47F59">
        <w:rPr>
          <w:sz w:val="24"/>
          <w:szCs w:val="24"/>
        </w:rPr>
        <w:t xml:space="preserve"> and you may also reach me at 352-281-2590 (cell) or my office (352-273-0814).</w:t>
      </w:r>
    </w:p>
    <w:p w14:paraId="4B61B688" w14:textId="55478F6F" w:rsidR="00D47F59" w:rsidRPr="00D47F59" w:rsidRDefault="00D47F59">
      <w:pPr>
        <w:rPr>
          <w:b/>
          <w:bCs/>
          <w:sz w:val="24"/>
          <w:szCs w:val="24"/>
          <w:u w:val="single"/>
        </w:rPr>
      </w:pPr>
      <w:r w:rsidRPr="00D47F59">
        <w:rPr>
          <w:b/>
          <w:bCs/>
          <w:sz w:val="24"/>
          <w:szCs w:val="24"/>
          <w:u w:val="single"/>
        </w:rPr>
        <w:t>First Week Reading</w:t>
      </w:r>
    </w:p>
    <w:p w14:paraId="12EED152" w14:textId="0256CCA4" w:rsidR="00B020C4" w:rsidRPr="00802F5D" w:rsidRDefault="00B020C4">
      <w:pPr>
        <w:rPr>
          <w:b/>
          <w:bCs/>
          <w:sz w:val="24"/>
          <w:szCs w:val="24"/>
        </w:rPr>
      </w:pPr>
      <w:r w:rsidRPr="00802F5D">
        <w:rPr>
          <w:b/>
          <w:bCs/>
          <w:sz w:val="24"/>
          <w:szCs w:val="24"/>
        </w:rPr>
        <w:t>Florida Rules of Criminal Procedure 3.0</w:t>
      </w:r>
      <w:r w:rsidR="00802F5D" w:rsidRPr="00802F5D">
        <w:rPr>
          <w:b/>
          <w:bCs/>
          <w:sz w:val="24"/>
          <w:szCs w:val="24"/>
        </w:rPr>
        <w:t>1</w:t>
      </w:r>
      <w:r w:rsidRPr="00802F5D">
        <w:rPr>
          <w:b/>
          <w:bCs/>
          <w:sz w:val="24"/>
          <w:szCs w:val="24"/>
        </w:rPr>
        <w:t>0-3.130</w:t>
      </w:r>
      <w:r w:rsidR="00C10FF5" w:rsidRPr="00802F5D">
        <w:rPr>
          <w:b/>
          <w:bCs/>
          <w:sz w:val="24"/>
          <w:szCs w:val="24"/>
        </w:rPr>
        <w:t xml:space="preserve"> (Intro through First Appearances)</w:t>
      </w:r>
    </w:p>
    <w:p w14:paraId="13B4CCEE" w14:textId="07173617" w:rsidR="00B020C4" w:rsidRDefault="00802F5D">
      <w:pPr>
        <w:rPr>
          <w:b/>
          <w:bCs/>
          <w:sz w:val="24"/>
          <w:szCs w:val="24"/>
        </w:rPr>
      </w:pPr>
      <w:r w:rsidRPr="00D47F59">
        <w:rPr>
          <w:b/>
          <w:bCs/>
          <w:sz w:val="24"/>
          <w:szCs w:val="24"/>
        </w:rPr>
        <w:t>For</w:t>
      </w:r>
      <w:r w:rsidR="00D47F59">
        <w:rPr>
          <w:b/>
          <w:bCs/>
          <w:sz w:val="24"/>
          <w:szCs w:val="24"/>
        </w:rPr>
        <w:t xml:space="preserve"> additional</w:t>
      </w:r>
      <w:r w:rsidRPr="00D47F59">
        <w:rPr>
          <w:b/>
          <w:bCs/>
          <w:sz w:val="24"/>
          <w:szCs w:val="24"/>
        </w:rPr>
        <w:t xml:space="preserve"> context, please also read related statutory provisions: </w:t>
      </w:r>
      <w:r w:rsidR="00B020C4" w:rsidRPr="00D47F59">
        <w:rPr>
          <w:b/>
          <w:bCs/>
          <w:sz w:val="24"/>
          <w:szCs w:val="24"/>
        </w:rPr>
        <w:t>Florida Statutes 27.25; 901.151</w:t>
      </w:r>
    </w:p>
    <w:p w14:paraId="64579746" w14:textId="0AF48D07" w:rsidR="00B020C4" w:rsidRDefault="00B020C4">
      <w:pPr>
        <w:rPr>
          <w:sz w:val="24"/>
          <w:szCs w:val="24"/>
        </w:rPr>
      </w:pPr>
      <w:r>
        <w:rPr>
          <w:sz w:val="24"/>
          <w:szCs w:val="24"/>
        </w:rPr>
        <w:t>Slinger v. State, 219 So.3d 163</w:t>
      </w:r>
      <w:r w:rsidR="00EE5184">
        <w:rPr>
          <w:sz w:val="24"/>
          <w:szCs w:val="24"/>
        </w:rPr>
        <w:t xml:space="preserve"> (5</w:t>
      </w:r>
      <w:r w:rsidR="00EE5184" w:rsidRPr="00EE5184">
        <w:rPr>
          <w:sz w:val="24"/>
          <w:szCs w:val="24"/>
          <w:vertAlign w:val="superscript"/>
        </w:rPr>
        <w:t>th</w:t>
      </w:r>
      <w:r w:rsidR="00EE5184">
        <w:rPr>
          <w:sz w:val="24"/>
          <w:szCs w:val="24"/>
        </w:rPr>
        <w:t xml:space="preserve"> DCA 2017)</w:t>
      </w:r>
    </w:p>
    <w:p w14:paraId="7E5835C9" w14:textId="48572DC9" w:rsidR="00B020C4" w:rsidRDefault="00B020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Loor</w:t>
      </w:r>
      <w:proofErr w:type="spellEnd"/>
      <w:r>
        <w:rPr>
          <w:sz w:val="24"/>
          <w:szCs w:val="24"/>
        </w:rPr>
        <w:t xml:space="preserve"> v. State, 240</w:t>
      </w:r>
      <w:r w:rsidR="00D16DA7">
        <w:rPr>
          <w:sz w:val="24"/>
          <w:szCs w:val="24"/>
        </w:rPr>
        <w:t xml:space="preserve"> So.3d 136</w:t>
      </w:r>
      <w:r w:rsidR="00EE5184">
        <w:rPr>
          <w:sz w:val="24"/>
          <w:szCs w:val="24"/>
        </w:rPr>
        <w:t xml:space="preserve"> (</w:t>
      </w:r>
      <w:r w:rsidR="007277EE">
        <w:rPr>
          <w:sz w:val="24"/>
          <w:szCs w:val="24"/>
        </w:rPr>
        <w:t>3</w:t>
      </w:r>
      <w:r w:rsidR="007277EE" w:rsidRPr="007277EE">
        <w:rPr>
          <w:sz w:val="24"/>
          <w:szCs w:val="24"/>
          <w:vertAlign w:val="superscript"/>
        </w:rPr>
        <w:t>rd</w:t>
      </w:r>
      <w:r w:rsidR="007277EE">
        <w:rPr>
          <w:sz w:val="24"/>
          <w:szCs w:val="24"/>
        </w:rPr>
        <w:t xml:space="preserve"> DCA 2018)</w:t>
      </w:r>
    </w:p>
    <w:p w14:paraId="6C2D4639" w14:textId="215F4DB0" w:rsidR="00D16DA7" w:rsidRDefault="00D16DA7">
      <w:pPr>
        <w:rPr>
          <w:sz w:val="24"/>
          <w:szCs w:val="24"/>
        </w:rPr>
      </w:pPr>
      <w:r>
        <w:rPr>
          <w:sz w:val="24"/>
          <w:szCs w:val="24"/>
        </w:rPr>
        <w:t>Scott v. State, 230 So.3d 53</w:t>
      </w:r>
      <w:r w:rsidR="007277EE">
        <w:rPr>
          <w:sz w:val="24"/>
          <w:szCs w:val="24"/>
        </w:rPr>
        <w:t xml:space="preserve"> (1</w:t>
      </w:r>
      <w:r w:rsidR="007277EE" w:rsidRPr="007277EE">
        <w:rPr>
          <w:sz w:val="24"/>
          <w:szCs w:val="24"/>
          <w:vertAlign w:val="superscript"/>
        </w:rPr>
        <w:t>st</w:t>
      </w:r>
      <w:r w:rsidR="007277EE">
        <w:rPr>
          <w:sz w:val="24"/>
          <w:szCs w:val="24"/>
        </w:rPr>
        <w:t xml:space="preserve"> DCA 2017)</w:t>
      </w:r>
    </w:p>
    <w:p w14:paraId="22BAF3AA" w14:textId="5E676115" w:rsidR="00D16DA7" w:rsidRDefault="00D16DA7">
      <w:pPr>
        <w:rPr>
          <w:sz w:val="24"/>
          <w:szCs w:val="24"/>
        </w:rPr>
      </w:pPr>
      <w:r>
        <w:rPr>
          <w:sz w:val="24"/>
          <w:szCs w:val="24"/>
        </w:rPr>
        <w:t>State v. Norris, 768 So.2d 1070</w:t>
      </w:r>
      <w:r w:rsidR="007277EE">
        <w:rPr>
          <w:sz w:val="24"/>
          <w:szCs w:val="24"/>
        </w:rPr>
        <w:t xml:space="preserve"> (Fla. 2000)</w:t>
      </w:r>
    </w:p>
    <w:p w14:paraId="35512891" w14:textId="204845C1" w:rsidR="00D16DA7" w:rsidRDefault="00D16DA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Deel</w:t>
      </w:r>
      <w:proofErr w:type="spellEnd"/>
      <w:r>
        <w:rPr>
          <w:sz w:val="24"/>
          <w:szCs w:val="24"/>
        </w:rPr>
        <w:t xml:space="preserve"> v. State, 750 So.2d 112</w:t>
      </w:r>
      <w:r w:rsidR="007277EE">
        <w:rPr>
          <w:sz w:val="24"/>
          <w:szCs w:val="24"/>
        </w:rPr>
        <w:t xml:space="preserve"> (</w:t>
      </w:r>
      <w:r w:rsidR="00EE0550">
        <w:rPr>
          <w:sz w:val="24"/>
          <w:szCs w:val="24"/>
        </w:rPr>
        <w:t>5</w:t>
      </w:r>
      <w:r w:rsidR="00EE0550" w:rsidRPr="00EE0550">
        <w:rPr>
          <w:sz w:val="24"/>
          <w:szCs w:val="24"/>
          <w:vertAlign w:val="superscript"/>
        </w:rPr>
        <w:t>th</w:t>
      </w:r>
      <w:r w:rsidR="00EE0550">
        <w:rPr>
          <w:sz w:val="24"/>
          <w:szCs w:val="24"/>
        </w:rPr>
        <w:t xml:space="preserve"> DCA 1999)</w:t>
      </w:r>
    </w:p>
    <w:p w14:paraId="5A8C6875" w14:textId="420844F3" w:rsidR="00D16DA7" w:rsidRDefault="00D16DA7">
      <w:pPr>
        <w:rPr>
          <w:sz w:val="24"/>
          <w:szCs w:val="24"/>
        </w:rPr>
      </w:pPr>
      <w:r>
        <w:rPr>
          <w:sz w:val="24"/>
          <w:szCs w:val="24"/>
        </w:rPr>
        <w:t>Mallard v. State, 699 So.2d 797</w:t>
      </w:r>
      <w:r w:rsidR="00EE0550">
        <w:rPr>
          <w:sz w:val="24"/>
          <w:szCs w:val="24"/>
        </w:rPr>
        <w:t xml:space="preserve"> (4</w:t>
      </w:r>
      <w:r w:rsidR="00EE0550" w:rsidRPr="00EE0550">
        <w:rPr>
          <w:sz w:val="24"/>
          <w:szCs w:val="24"/>
          <w:vertAlign w:val="superscript"/>
        </w:rPr>
        <w:t>th</w:t>
      </w:r>
      <w:r w:rsidR="00EE0550">
        <w:rPr>
          <w:sz w:val="24"/>
          <w:szCs w:val="24"/>
        </w:rPr>
        <w:t xml:space="preserve"> DCA 1997)</w:t>
      </w:r>
    </w:p>
    <w:p w14:paraId="6226B3CE" w14:textId="72738316" w:rsidR="00D16DA7" w:rsidRDefault="00D16DA7">
      <w:pPr>
        <w:rPr>
          <w:sz w:val="24"/>
          <w:szCs w:val="24"/>
        </w:rPr>
      </w:pPr>
      <w:r>
        <w:rPr>
          <w:sz w:val="24"/>
          <w:szCs w:val="24"/>
        </w:rPr>
        <w:t>McCray v. State, 626 So.2d 1017</w:t>
      </w:r>
      <w:r w:rsidR="00EE0550">
        <w:rPr>
          <w:sz w:val="24"/>
          <w:szCs w:val="24"/>
        </w:rPr>
        <w:t xml:space="preserve"> (</w:t>
      </w:r>
      <w:r w:rsidR="007621E6">
        <w:rPr>
          <w:sz w:val="24"/>
          <w:szCs w:val="24"/>
        </w:rPr>
        <w:t>2d DCA 1993)</w:t>
      </w:r>
    </w:p>
    <w:p w14:paraId="5478D209" w14:textId="2EFC1C6C" w:rsidR="004F617F" w:rsidRDefault="004F617F">
      <w:pPr>
        <w:rPr>
          <w:sz w:val="24"/>
          <w:szCs w:val="24"/>
        </w:rPr>
      </w:pPr>
      <w:r>
        <w:rPr>
          <w:sz w:val="24"/>
          <w:szCs w:val="24"/>
        </w:rPr>
        <w:t>Kelly v. State, 999 So.2d 1029 (Fla. 2008)</w:t>
      </w:r>
    </w:p>
    <w:p w14:paraId="18DB2198" w14:textId="37DAC0F4" w:rsidR="004F617F" w:rsidRDefault="004F617F">
      <w:pPr>
        <w:rPr>
          <w:sz w:val="24"/>
          <w:szCs w:val="24"/>
        </w:rPr>
      </w:pPr>
      <w:r>
        <w:rPr>
          <w:sz w:val="24"/>
          <w:szCs w:val="24"/>
        </w:rPr>
        <w:t>Finney v. State, 9 So.3d 741 (2d DCA 2009)</w:t>
      </w:r>
    </w:p>
    <w:p w14:paraId="37835633" w14:textId="001408C6" w:rsidR="004F617F" w:rsidRDefault="004F617F">
      <w:pPr>
        <w:rPr>
          <w:sz w:val="24"/>
          <w:szCs w:val="24"/>
        </w:rPr>
      </w:pPr>
      <w:r>
        <w:rPr>
          <w:sz w:val="24"/>
          <w:szCs w:val="24"/>
        </w:rPr>
        <w:t>Solano v. State, 32 So. 3d 648 (1</w:t>
      </w:r>
      <w:r w:rsidRPr="004F617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DCA 2010)</w:t>
      </w:r>
    </w:p>
    <w:p w14:paraId="7A5D5134" w14:textId="6404995C" w:rsidR="004F617F" w:rsidRDefault="004F617F">
      <w:pPr>
        <w:rPr>
          <w:sz w:val="24"/>
          <w:szCs w:val="24"/>
        </w:rPr>
      </w:pPr>
      <w:r>
        <w:rPr>
          <w:sz w:val="24"/>
          <w:szCs w:val="24"/>
        </w:rPr>
        <w:t>Hooks v. State, 286 So.3d 163 (Fla. 2019)</w:t>
      </w:r>
    </w:p>
    <w:p w14:paraId="1F7C5A5B" w14:textId="7776E0E6" w:rsidR="004F617F" w:rsidRDefault="004F617F">
      <w:pPr>
        <w:rPr>
          <w:sz w:val="24"/>
          <w:szCs w:val="24"/>
        </w:rPr>
      </w:pPr>
      <w:r>
        <w:rPr>
          <w:sz w:val="24"/>
          <w:szCs w:val="24"/>
        </w:rPr>
        <w:t>Richardson v. State, WL7766303  (1</w:t>
      </w:r>
      <w:r w:rsidRPr="004F617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DCA 12/30/2020) –So.3d ---</w:t>
      </w:r>
    </w:p>
    <w:p w14:paraId="20BBE9C9" w14:textId="77777777" w:rsidR="004F617F" w:rsidRDefault="004F617F">
      <w:pPr>
        <w:rPr>
          <w:sz w:val="24"/>
          <w:szCs w:val="24"/>
        </w:rPr>
      </w:pPr>
    </w:p>
    <w:p w14:paraId="38EA33D7" w14:textId="77777777" w:rsidR="00D16DA7" w:rsidRDefault="00D16DA7">
      <w:pPr>
        <w:rPr>
          <w:sz w:val="24"/>
          <w:szCs w:val="24"/>
        </w:rPr>
      </w:pPr>
    </w:p>
    <w:p w14:paraId="54F4D5A9" w14:textId="24574CCE" w:rsidR="00D16DA7" w:rsidRPr="00B020C4" w:rsidRDefault="00D16DA7">
      <w:pPr>
        <w:rPr>
          <w:sz w:val="24"/>
          <w:szCs w:val="24"/>
        </w:rPr>
      </w:pPr>
    </w:p>
    <w:sectPr w:rsidR="00D16DA7" w:rsidRPr="00B02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C4"/>
    <w:rsid w:val="00021D95"/>
    <w:rsid w:val="004F617F"/>
    <w:rsid w:val="007277EE"/>
    <w:rsid w:val="007621E6"/>
    <w:rsid w:val="00802F5D"/>
    <w:rsid w:val="00925094"/>
    <w:rsid w:val="00B020C4"/>
    <w:rsid w:val="00C10FF5"/>
    <w:rsid w:val="00D16DA7"/>
    <w:rsid w:val="00D47F59"/>
    <w:rsid w:val="00EE0550"/>
    <w:rsid w:val="00E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95AF9"/>
  <w15:chartTrackingRefBased/>
  <w15:docId w15:val="{A323F8E7-631B-4586-9478-67316D1E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dalis@law.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Zedalis</dc:creator>
  <cp:keywords/>
  <dc:description/>
  <cp:lastModifiedBy>McIlhenny, Ruth M.</cp:lastModifiedBy>
  <cp:revision>2</cp:revision>
  <dcterms:created xsi:type="dcterms:W3CDTF">2021-01-12T13:51:00Z</dcterms:created>
  <dcterms:modified xsi:type="dcterms:W3CDTF">2021-01-12T13:51:00Z</dcterms:modified>
</cp:coreProperties>
</file>